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line="720" w:lineRule="auto" w:before="103"/>
        <w:ind w:left="2845" w:right="1398" w:hanging="596"/>
      </w:pPr>
      <w:r>
        <w:rPr/>
        <w:drawing>
          <wp:anchor distT="0" distB="0" distL="0" distR="0" allowOverlap="1" layoutInCell="1" locked="0" behindDoc="0" simplePos="0" relativeHeight="0">
            <wp:simplePos x="0" y="0"/>
            <wp:positionH relativeFrom="page">
              <wp:posOffset>593725</wp:posOffset>
            </wp:positionH>
            <wp:positionV relativeFrom="paragraph">
              <wp:posOffset>4265</wp:posOffset>
            </wp:positionV>
            <wp:extent cx="828040" cy="720725"/>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828040" cy="720725"/>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6339204</wp:posOffset>
            </wp:positionH>
            <wp:positionV relativeFrom="paragraph">
              <wp:posOffset>3630</wp:posOffset>
            </wp:positionV>
            <wp:extent cx="732790" cy="732790"/>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732790" cy="732790"/>
                    </a:xfrm>
                    <a:prstGeom prst="rect">
                      <a:avLst/>
                    </a:prstGeom>
                  </pic:spPr>
                </pic:pic>
              </a:graphicData>
            </a:graphic>
          </wp:anchor>
        </w:drawing>
      </w:r>
      <w:r>
        <w:rPr/>
        <w:t>UNIVERSIDAD AUTÓNOMA DEL ESTADO DE MÉXICO FACULTAD DE ARQUITECTURA  Y DISEÑO</w:t>
      </w:r>
    </w:p>
    <w:p>
      <w:pPr>
        <w:pStyle w:val="BodyText"/>
        <w:rPr>
          <w:sz w:val="20"/>
        </w:rPr>
      </w:pPr>
    </w:p>
    <w:p>
      <w:pPr>
        <w:pStyle w:val="BodyText"/>
        <w:rPr>
          <w:sz w:val="20"/>
        </w:rPr>
      </w:pPr>
    </w:p>
    <w:p>
      <w:pPr>
        <w:pStyle w:val="BodyText"/>
        <w:spacing w:before="2"/>
        <w:rPr>
          <w:sz w:val="21"/>
        </w:rPr>
      </w:pPr>
    </w:p>
    <w:p>
      <w:pPr>
        <w:pStyle w:val="BodyText"/>
        <w:ind w:left="1537" w:right="1362"/>
        <w:jc w:val="center"/>
      </w:pPr>
      <w:r>
        <w:rPr/>
        <w:t>DOCTORADO EN DISEÑO</w:t>
      </w:r>
    </w:p>
    <w:p>
      <w:pPr>
        <w:pStyle w:val="BodyText"/>
      </w:pPr>
    </w:p>
    <w:p>
      <w:pPr>
        <w:pStyle w:val="BodyText"/>
      </w:pPr>
    </w:p>
    <w:p>
      <w:pPr>
        <w:pStyle w:val="BodyText"/>
      </w:pPr>
    </w:p>
    <w:p>
      <w:pPr>
        <w:pStyle w:val="BodyText"/>
      </w:pPr>
    </w:p>
    <w:p>
      <w:pPr>
        <w:pStyle w:val="BodyText"/>
      </w:pPr>
    </w:p>
    <w:p>
      <w:pPr>
        <w:pStyle w:val="BodyText"/>
        <w:spacing w:line="362" w:lineRule="auto"/>
        <w:ind w:left="1545" w:right="1362"/>
        <w:jc w:val="center"/>
      </w:pPr>
      <w:r>
        <w:rPr/>
        <w:t>Estudio de tecnología de modelado 3D para su aplicación en escultura sustentable.</w:t>
      </w:r>
    </w:p>
    <w:p>
      <w:pPr>
        <w:pStyle w:val="BodyText"/>
      </w:pPr>
    </w:p>
    <w:p>
      <w:pPr>
        <w:pStyle w:val="BodyText"/>
      </w:pPr>
    </w:p>
    <w:p>
      <w:pPr>
        <w:pStyle w:val="BodyText"/>
      </w:pPr>
    </w:p>
    <w:p>
      <w:pPr>
        <w:pStyle w:val="BodyText"/>
      </w:pPr>
    </w:p>
    <w:p>
      <w:pPr>
        <w:pStyle w:val="BodyText"/>
        <w:spacing w:before="140"/>
        <w:ind w:left="1538" w:right="1362"/>
        <w:jc w:val="center"/>
      </w:pPr>
      <w:r>
        <w:rPr/>
        <w:t>TESIS DE DOCTORADO</w:t>
      </w:r>
    </w:p>
    <w:p>
      <w:pPr>
        <w:pStyle w:val="BodyText"/>
      </w:pPr>
    </w:p>
    <w:p>
      <w:pPr>
        <w:pStyle w:val="BodyText"/>
      </w:pPr>
    </w:p>
    <w:p>
      <w:pPr>
        <w:pStyle w:val="BodyText"/>
        <w:spacing w:before="9"/>
        <w:rPr>
          <w:sz w:val="35"/>
        </w:rPr>
      </w:pPr>
    </w:p>
    <w:p>
      <w:pPr>
        <w:pStyle w:val="BodyText"/>
        <w:ind w:left="1531" w:right="1362"/>
        <w:jc w:val="center"/>
      </w:pPr>
      <w:r>
        <w:rPr/>
        <w:t>QUE PARA OBTENER EL TÍTULO DE DOCTORA EN DISEÑO</w:t>
      </w:r>
    </w:p>
    <w:p>
      <w:pPr>
        <w:pStyle w:val="BodyText"/>
      </w:pPr>
    </w:p>
    <w:p>
      <w:pPr>
        <w:pStyle w:val="BodyText"/>
      </w:pPr>
    </w:p>
    <w:p>
      <w:pPr>
        <w:pStyle w:val="BodyText"/>
      </w:pPr>
    </w:p>
    <w:p>
      <w:pPr>
        <w:pStyle w:val="BodyText"/>
        <w:spacing w:before="140"/>
        <w:ind w:left="1533" w:right="1362"/>
        <w:jc w:val="center"/>
      </w:pPr>
      <w:r>
        <w:rPr/>
        <w:t>PRESENTA: M. en A.V. GUADALUPE NAYELLI GARCÍA RAMÍREZ</w:t>
      </w:r>
    </w:p>
    <w:p>
      <w:pPr>
        <w:pStyle w:val="BodyText"/>
      </w:pPr>
    </w:p>
    <w:p>
      <w:pPr>
        <w:pStyle w:val="BodyText"/>
        <w:spacing w:before="7"/>
        <w:rPr>
          <w:sz w:val="23"/>
        </w:rPr>
      </w:pPr>
    </w:p>
    <w:p>
      <w:pPr>
        <w:spacing w:before="0"/>
        <w:ind w:left="1536" w:right="1362" w:firstLine="0"/>
        <w:jc w:val="center"/>
        <w:rPr>
          <w:i/>
          <w:sz w:val="24"/>
        </w:rPr>
      </w:pPr>
      <w:r>
        <w:rPr>
          <w:i/>
          <w:color w:val="404040"/>
          <w:sz w:val="24"/>
        </w:rPr>
        <w:t>Director: Dr. Silverio Hernández Moreno</w:t>
      </w:r>
    </w:p>
    <w:p>
      <w:pPr>
        <w:pStyle w:val="BodyText"/>
        <w:rPr>
          <w:i/>
        </w:rPr>
      </w:pPr>
    </w:p>
    <w:p>
      <w:pPr>
        <w:pStyle w:val="BodyText"/>
        <w:rPr>
          <w:i/>
        </w:rPr>
      </w:pPr>
    </w:p>
    <w:p>
      <w:pPr>
        <w:spacing w:line="357" w:lineRule="auto" w:before="0"/>
        <w:ind w:left="2308" w:right="1398" w:firstLine="464"/>
        <w:jc w:val="left"/>
        <w:rPr>
          <w:i/>
          <w:sz w:val="24"/>
        </w:rPr>
      </w:pPr>
      <w:r>
        <w:rPr>
          <w:i/>
          <w:color w:val="404040"/>
          <w:sz w:val="24"/>
        </w:rPr>
        <w:t>Tutor adjunto externo: Dr. Álvaro Villalobos Herrera </w:t>
      </w:r>
      <w:r>
        <w:rPr>
          <w:i/>
          <w:color w:val="404040"/>
          <w:sz w:val="24"/>
        </w:rPr>
        <w:t>Tutores adjuntos internos: Dr. Ignacio Mendiola German</w:t>
      </w:r>
    </w:p>
    <w:p>
      <w:pPr>
        <w:spacing w:before="8"/>
        <w:ind w:left="5142" w:right="1398" w:firstLine="0"/>
        <w:jc w:val="left"/>
        <w:rPr>
          <w:i/>
          <w:sz w:val="24"/>
        </w:rPr>
      </w:pPr>
      <w:r>
        <w:rPr>
          <w:i/>
          <w:color w:val="404040"/>
          <w:sz w:val="24"/>
        </w:rPr>
        <w:t>Dr. Ricardo Victoria Uribe</w:t>
      </w:r>
    </w:p>
    <w:p>
      <w:pPr>
        <w:spacing w:before="136"/>
        <w:ind w:left="5130" w:right="1398" w:firstLine="0"/>
        <w:jc w:val="left"/>
        <w:rPr>
          <w:i/>
          <w:sz w:val="24"/>
        </w:rPr>
      </w:pPr>
      <w:r>
        <w:rPr>
          <w:i/>
          <w:color w:val="404040"/>
          <w:sz w:val="24"/>
        </w:rPr>
        <w:t>Dr. Arturo Santamaría Ortega</w:t>
      </w:r>
    </w:p>
    <w:p>
      <w:pPr>
        <w:pStyle w:val="BodyText"/>
        <w:rPr>
          <w:i/>
        </w:rPr>
      </w:pPr>
    </w:p>
    <w:p>
      <w:pPr>
        <w:pStyle w:val="BodyText"/>
        <w:rPr>
          <w:i/>
        </w:rPr>
      </w:pPr>
    </w:p>
    <w:p>
      <w:pPr>
        <w:pStyle w:val="BodyText"/>
        <w:rPr>
          <w:i/>
        </w:rPr>
      </w:pPr>
    </w:p>
    <w:p>
      <w:pPr>
        <w:pStyle w:val="BodyText"/>
        <w:spacing w:before="140"/>
        <w:ind w:left="1534" w:right="1362"/>
        <w:jc w:val="center"/>
      </w:pPr>
      <w:r>
        <w:rPr/>
        <w:t>Toluca, Estado de México, Febrero 2017</w:t>
      </w:r>
    </w:p>
    <w:p>
      <w:pPr>
        <w:spacing w:after="0"/>
        <w:jc w:val="center"/>
        <w:sectPr>
          <w:type w:val="continuous"/>
          <w:pgSz w:w="12240" w:h="15840"/>
          <w:pgMar w:top="1020" w:bottom="280" w:left="820" w:right="1000"/>
        </w:sectPr>
      </w:pPr>
    </w:p>
    <w:p>
      <w:pPr>
        <w:pStyle w:val="Heading2"/>
        <w:spacing w:before="49"/>
        <w:ind w:left="1321" w:right="166" w:firstLine="0"/>
        <w:jc w:val="center"/>
      </w:pPr>
      <w:bookmarkStart w:name="Contenido" w:id="1"/>
      <w:bookmarkEnd w:id="1"/>
      <w:r>
        <w:rPr/>
      </w:r>
      <w:bookmarkStart w:name="_bookmark0" w:id="2"/>
      <w:bookmarkEnd w:id="2"/>
      <w:r>
        <w:rPr/>
      </w:r>
      <w:r>
        <w:rPr/>
        <w:t>Contenido</w:t>
      </w:r>
    </w:p>
    <w:p>
      <w:pPr>
        <w:tabs>
          <w:tab w:pos="8930" w:val="right" w:leader="dot"/>
        </w:tabs>
        <w:spacing w:before="585"/>
        <w:ind w:left="100" w:right="0" w:firstLine="0"/>
        <w:jc w:val="left"/>
        <w:rPr>
          <w:b/>
          <w:sz w:val="20"/>
        </w:rPr>
      </w:pPr>
      <w:hyperlink w:history="true" w:anchor="_bookmark0">
        <w:r>
          <w:rPr>
            <w:b/>
            <w:sz w:val="20"/>
          </w:rPr>
          <w:t>CONTENIDO</w:t>
          <w:tab/>
          <w:t>5</w:t>
        </w:r>
      </w:hyperlink>
    </w:p>
    <w:p>
      <w:pPr>
        <w:tabs>
          <w:tab w:pos="8930" w:val="right" w:leader="dot"/>
        </w:tabs>
        <w:spacing w:before="234"/>
        <w:ind w:left="100" w:right="0" w:firstLine="0"/>
        <w:jc w:val="left"/>
        <w:rPr>
          <w:b/>
          <w:sz w:val="20"/>
        </w:rPr>
      </w:pPr>
      <w:hyperlink w:history="true" w:anchor="_bookmark1">
        <w:r>
          <w:rPr>
            <w:b/>
            <w:sz w:val="20"/>
          </w:rPr>
          <w:t>INTRODUCCIÓN</w:t>
          <w:tab/>
          <w:t>9</w:t>
        </w:r>
      </w:hyperlink>
    </w:p>
    <w:p>
      <w:pPr>
        <w:pStyle w:val="ListParagraph"/>
        <w:numPr>
          <w:ilvl w:val="0"/>
          <w:numId w:val="1"/>
        </w:numPr>
        <w:tabs>
          <w:tab w:pos="540" w:val="left" w:leader="none"/>
          <w:tab w:pos="541" w:val="left" w:leader="none"/>
          <w:tab w:pos="8931" w:val="right" w:leader="dot"/>
        </w:tabs>
        <w:spacing w:line="240" w:lineRule="auto" w:before="238" w:after="0"/>
        <w:ind w:left="100" w:right="0" w:firstLine="0"/>
        <w:jc w:val="left"/>
        <w:rPr>
          <w:b/>
          <w:sz w:val="20"/>
        </w:rPr>
      </w:pPr>
      <w:hyperlink w:history="true" w:anchor="_bookmark2">
        <w:r>
          <w:rPr>
            <w:b/>
            <w:sz w:val="20"/>
          </w:rPr>
          <w:t>ANTECEDENTES</w:t>
        </w:r>
        <w:r>
          <w:rPr>
            <w:b/>
            <w:spacing w:val="-2"/>
            <w:sz w:val="20"/>
          </w:rPr>
          <w:t> </w:t>
        </w:r>
        <w:r>
          <w:rPr>
            <w:b/>
            <w:sz w:val="20"/>
          </w:rPr>
          <w:t>Y</w:t>
        </w:r>
        <w:r>
          <w:rPr>
            <w:b/>
            <w:spacing w:val="-2"/>
            <w:sz w:val="20"/>
          </w:rPr>
          <w:t> </w:t>
        </w:r>
        <w:r>
          <w:rPr>
            <w:b/>
            <w:sz w:val="20"/>
          </w:rPr>
          <w:t>PROBLEMÁTICA</w:t>
          <w:tab/>
          <w:t>13</w:t>
        </w:r>
      </w:hyperlink>
    </w:p>
    <w:p>
      <w:pPr>
        <w:pStyle w:val="ListParagraph"/>
        <w:numPr>
          <w:ilvl w:val="1"/>
          <w:numId w:val="1"/>
        </w:numPr>
        <w:tabs>
          <w:tab w:pos="980" w:val="left" w:leader="none"/>
          <w:tab w:pos="981" w:val="left" w:leader="none"/>
          <w:tab w:pos="8931" w:val="right" w:leader="dot"/>
        </w:tabs>
        <w:spacing w:line="240" w:lineRule="auto" w:before="238" w:after="0"/>
        <w:ind w:left="981" w:right="0" w:hanging="661"/>
        <w:jc w:val="left"/>
        <w:rPr>
          <w:sz w:val="20"/>
        </w:rPr>
      </w:pPr>
      <w:hyperlink w:history="true" w:anchor="_bookmark3">
        <w:r>
          <w:rPr>
            <w:sz w:val="20"/>
          </w:rPr>
          <w:t>I</w:t>
        </w:r>
        <w:r>
          <w:rPr>
            <w:sz w:val="16"/>
          </w:rPr>
          <w:t>NTRODUCCIÓN</w:t>
        </w:r>
        <w:r>
          <w:rPr>
            <w:spacing w:val="-1"/>
            <w:sz w:val="16"/>
          </w:rPr>
          <w:t> </w:t>
        </w:r>
        <w:r>
          <w:rPr>
            <w:sz w:val="16"/>
          </w:rPr>
          <w:t>DE CAPÍTULO</w:t>
        </w:r>
        <w:r>
          <w:rPr>
            <w:sz w:val="20"/>
          </w:rPr>
          <w:tab/>
          <w:t>14</w:t>
        </w:r>
      </w:hyperlink>
    </w:p>
    <w:p>
      <w:pPr>
        <w:pStyle w:val="ListParagraph"/>
        <w:numPr>
          <w:ilvl w:val="1"/>
          <w:numId w:val="1"/>
        </w:numPr>
        <w:tabs>
          <w:tab w:pos="980" w:val="left" w:leader="none"/>
          <w:tab w:pos="981" w:val="left" w:leader="none"/>
          <w:tab w:pos="8931" w:val="right" w:leader="dot"/>
        </w:tabs>
        <w:spacing w:line="240" w:lineRule="auto" w:before="114" w:after="0"/>
        <w:ind w:left="981" w:right="0" w:hanging="661"/>
        <w:jc w:val="left"/>
        <w:rPr>
          <w:sz w:val="20"/>
        </w:rPr>
      </w:pPr>
      <w:hyperlink w:history="true" w:anchor="_bookmark4">
        <w:r>
          <w:rPr>
            <w:sz w:val="20"/>
          </w:rPr>
          <w:t>A</w:t>
        </w:r>
        <w:r>
          <w:rPr>
            <w:sz w:val="16"/>
          </w:rPr>
          <w:t>NTECEDENTES DEL</w:t>
        </w:r>
        <w:r>
          <w:rPr>
            <w:spacing w:val="-2"/>
            <w:sz w:val="16"/>
          </w:rPr>
          <w:t> </w:t>
        </w:r>
        <w:r>
          <w:rPr>
            <w:sz w:val="16"/>
          </w:rPr>
          <w:t>TEMA</w:t>
        </w:r>
        <w:r>
          <w:rPr>
            <w:sz w:val="20"/>
          </w:rPr>
          <w:tab/>
          <w:t>14</w:t>
        </w:r>
      </w:hyperlink>
    </w:p>
    <w:p>
      <w:pPr>
        <w:pStyle w:val="ListParagraph"/>
        <w:numPr>
          <w:ilvl w:val="2"/>
          <w:numId w:val="1"/>
        </w:numPr>
        <w:tabs>
          <w:tab w:pos="1420" w:val="left" w:leader="none"/>
          <w:tab w:pos="1421" w:val="left" w:leader="none"/>
          <w:tab w:pos="8931" w:val="right" w:leader="dot"/>
        </w:tabs>
        <w:spacing w:line="240" w:lineRule="auto" w:before="114" w:after="0"/>
        <w:ind w:left="1421" w:right="0" w:hanging="881"/>
        <w:jc w:val="left"/>
        <w:rPr>
          <w:i/>
          <w:sz w:val="20"/>
        </w:rPr>
      </w:pPr>
      <w:hyperlink w:history="true" w:anchor="_bookmark5">
        <w:r>
          <w:rPr>
            <w:i/>
            <w:sz w:val="20"/>
          </w:rPr>
          <w:t>Planteamiento del</w:t>
        </w:r>
        <w:r>
          <w:rPr>
            <w:i/>
            <w:spacing w:val="55"/>
            <w:sz w:val="20"/>
          </w:rPr>
          <w:t> </w:t>
        </w:r>
        <w:r>
          <w:rPr>
            <w:i/>
            <w:sz w:val="20"/>
          </w:rPr>
          <w:t>problema</w:t>
          <w:tab/>
          <w:t>17</w:t>
        </w:r>
      </w:hyperlink>
    </w:p>
    <w:p>
      <w:pPr>
        <w:pStyle w:val="ListParagraph"/>
        <w:numPr>
          <w:ilvl w:val="2"/>
          <w:numId w:val="1"/>
        </w:numPr>
        <w:tabs>
          <w:tab w:pos="1420" w:val="left" w:leader="none"/>
          <w:tab w:pos="1421" w:val="left" w:leader="none"/>
          <w:tab w:pos="8931" w:val="right" w:leader="dot"/>
        </w:tabs>
        <w:spacing w:line="240" w:lineRule="auto" w:before="118" w:after="0"/>
        <w:ind w:left="1421" w:right="0" w:hanging="881"/>
        <w:jc w:val="left"/>
        <w:rPr>
          <w:i/>
          <w:sz w:val="20"/>
        </w:rPr>
      </w:pPr>
      <w:hyperlink w:history="true" w:anchor="_bookmark6">
        <w:r>
          <w:rPr>
            <w:i/>
            <w:sz w:val="20"/>
          </w:rPr>
          <w:t>Justificación</w:t>
          <w:tab/>
          <w:t>19</w:t>
        </w:r>
      </w:hyperlink>
    </w:p>
    <w:p>
      <w:pPr>
        <w:pStyle w:val="ListParagraph"/>
        <w:numPr>
          <w:ilvl w:val="2"/>
          <w:numId w:val="1"/>
        </w:numPr>
        <w:tabs>
          <w:tab w:pos="1420" w:val="left" w:leader="none"/>
          <w:tab w:pos="1421" w:val="left" w:leader="none"/>
          <w:tab w:pos="8931" w:val="right" w:leader="dot"/>
        </w:tabs>
        <w:spacing w:line="240" w:lineRule="auto" w:before="114" w:after="0"/>
        <w:ind w:left="1421" w:right="0" w:hanging="881"/>
        <w:jc w:val="left"/>
        <w:rPr>
          <w:i/>
          <w:sz w:val="20"/>
        </w:rPr>
      </w:pPr>
      <w:hyperlink w:history="true" w:anchor="_bookmark10">
        <w:r>
          <w:rPr>
            <w:i/>
            <w:sz w:val="20"/>
          </w:rPr>
          <w:t>Hipótesis</w:t>
          <w:tab/>
          <w:t>23</w:t>
        </w:r>
      </w:hyperlink>
    </w:p>
    <w:p>
      <w:pPr>
        <w:pStyle w:val="ListParagraph"/>
        <w:numPr>
          <w:ilvl w:val="2"/>
          <w:numId w:val="1"/>
        </w:numPr>
        <w:tabs>
          <w:tab w:pos="1420" w:val="left" w:leader="none"/>
          <w:tab w:pos="1421" w:val="left" w:leader="none"/>
          <w:tab w:pos="8931" w:val="right" w:leader="dot"/>
        </w:tabs>
        <w:spacing w:line="240" w:lineRule="auto" w:before="114" w:after="0"/>
        <w:ind w:left="1421" w:right="0" w:hanging="881"/>
        <w:jc w:val="left"/>
        <w:rPr>
          <w:i/>
          <w:sz w:val="20"/>
        </w:rPr>
      </w:pPr>
      <w:hyperlink w:history="true" w:anchor="_bookmark11">
        <w:r>
          <w:rPr>
            <w:i/>
            <w:sz w:val="20"/>
          </w:rPr>
          <w:t>Objetivo</w:t>
        </w:r>
        <w:r>
          <w:rPr>
            <w:i/>
            <w:spacing w:val="-1"/>
            <w:sz w:val="20"/>
          </w:rPr>
          <w:t> </w:t>
        </w:r>
        <w:r>
          <w:rPr>
            <w:i/>
            <w:sz w:val="20"/>
          </w:rPr>
          <w:t>general</w:t>
          <w:tab/>
          <w:t>24</w:t>
        </w:r>
      </w:hyperlink>
    </w:p>
    <w:p>
      <w:pPr>
        <w:pStyle w:val="ListParagraph"/>
        <w:numPr>
          <w:ilvl w:val="2"/>
          <w:numId w:val="1"/>
        </w:numPr>
        <w:tabs>
          <w:tab w:pos="1420" w:val="left" w:leader="none"/>
          <w:tab w:pos="1421" w:val="left" w:leader="none"/>
          <w:tab w:pos="8931" w:val="right" w:leader="dot"/>
        </w:tabs>
        <w:spacing w:line="240" w:lineRule="auto" w:before="114" w:after="0"/>
        <w:ind w:left="1421" w:right="0" w:hanging="881"/>
        <w:jc w:val="left"/>
        <w:rPr>
          <w:i/>
          <w:sz w:val="20"/>
        </w:rPr>
      </w:pPr>
      <w:hyperlink w:history="true" w:anchor="_bookmark12">
        <w:r>
          <w:rPr>
            <w:i/>
            <w:sz w:val="20"/>
          </w:rPr>
          <w:t>Objetivos</w:t>
        </w:r>
        <w:r>
          <w:rPr>
            <w:i/>
            <w:spacing w:val="-1"/>
            <w:sz w:val="20"/>
          </w:rPr>
          <w:t> </w:t>
        </w:r>
        <w:r>
          <w:rPr>
            <w:i/>
            <w:sz w:val="20"/>
          </w:rPr>
          <w:t>particulares</w:t>
          <w:tab/>
          <w:t>24</w:t>
        </w:r>
      </w:hyperlink>
    </w:p>
    <w:p>
      <w:pPr>
        <w:pStyle w:val="ListParagraph"/>
        <w:numPr>
          <w:ilvl w:val="2"/>
          <w:numId w:val="1"/>
        </w:numPr>
        <w:tabs>
          <w:tab w:pos="1420" w:val="left" w:leader="none"/>
          <w:tab w:pos="1421" w:val="left" w:leader="none"/>
          <w:tab w:pos="8931" w:val="right" w:leader="dot"/>
        </w:tabs>
        <w:spacing w:line="240" w:lineRule="auto" w:before="118" w:after="0"/>
        <w:ind w:left="1421" w:right="0" w:hanging="881"/>
        <w:jc w:val="left"/>
        <w:rPr>
          <w:i/>
          <w:sz w:val="20"/>
        </w:rPr>
      </w:pPr>
      <w:hyperlink w:history="true" w:anchor="_bookmark13">
        <w:r>
          <w:rPr>
            <w:i/>
            <w:sz w:val="20"/>
          </w:rPr>
          <w:t>Metodología</w:t>
          <w:tab/>
          <w:t>25</w:t>
        </w:r>
      </w:hyperlink>
    </w:p>
    <w:p>
      <w:pPr>
        <w:pStyle w:val="ListParagraph"/>
        <w:numPr>
          <w:ilvl w:val="1"/>
          <w:numId w:val="1"/>
        </w:numPr>
        <w:tabs>
          <w:tab w:pos="980" w:val="left" w:leader="none"/>
          <w:tab w:pos="981" w:val="left" w:leader="none"/>
          <w:tab w:pos="8931" w:val="right" w:leader="dot"/>
        </w:tabs>
        <w:spacing w:line="240" w:lineRule="auto" w:before="114" w:after="0"/>
        <w:ind w:left="981" w:right="0" w:hanging="661"/>
        <w:jc w:val="left"/>
        <w:rPr>
          <w:sz w:val="20"/>
        </w:rPr>
      </w:pPr>
      <w:hyperlink w:history="true" w:anchor="_bookmark15">
        <w:r>
          <w:rPr>
            <w:sz w:val="20"/>
          </w:rPr>
          <w:t>C</w:t>
        </w:r>
        <w:r>
          <w:rPr>
            <w:sz w:val="16"/>
          </w:rPr>
          <w:t>ONCLUSIONES DE PLANTEAMIENTO</w:t>
        </w:r>
        <w:r>
          <w:rPr>
            <w:sz w:val="20"/>
          </w:rPr>
          <w:tab/>
          <w:t>28</w:t>
        </w:r>
      </w:hyperlink>
    </w:p>
    <w:p>
      <w:pPr>
        <w:pStyle w:val="ListParagraph"/>
        <w:numPr>
          <w:ilvl w:val="0"/>
          <w:numId w:val="1"/>
        </w:numPr>
        <w:tabs>
          <w:tab w:pos="540" w:val="left" w:leader="none"/>
          <w:tab w:pos="541" w:val="left" w:leader="none"/>
          <w:tab w:pos="8931" w:val="right" w:leader="dot"/>
        </w:tabs>
        <w:spacing w:line="240" w:lineRule="auto" w:before="230" w:after="0"/>
        <w:ind w:left="540" w:right="0" w:hanging="440"/>
        <w:jc w:val="left"/>
        <w:rPr>
          <w:b/>
          <w:sz w:val="20"/>
        </w:rPr>
      </w:pPr>
      <w:hyperlink w:history="true" w:anchor="_bookmark16">
        <w:r>
          <w:rPr>
            <w:b/>
            <w:sz w:val="20"/>
          </w:rPr>
          <w:t>TECNOLOGÍA DE MODELADO 3D Y SU APLICACIÓN EN</w:t>
        </w:r>
        <w:r>
          <w:rPr>
            <w:b/>
            <w:spacing w:val="-6"/>
            <w:sz w:val="20"/>
          </w:rPr>
          <w:t> </w:t>
        </w:r>
        <w:r>
          <w:rPr>
            <w:b/>
            <w:spacing w:val="2"/>
            <w:sz w:val="20"/>
          </w:rPr>
          <w:t>LA</w:t>
        </w:r>
        <w:r>
          <w:rPr>
            <w:b/>
            <w:spacing w:val="-6"/>
            <w:sz w:val="20"/>
          </w:rPr>
          <w:t> </w:t>
        </w:r>
        <w:r>
          <w:rPr>
            <w:b/>
            <w:sz w:val="20"/>
          </w:rPr>
          <w:t>ESCULTURA</w:t>
          <w:tab/>
          <w:t>30</w:t>
        </w:r>
      </w:hyperlink>
    </w:p>
    <w:p>
      <w:pPr>
        <w:pStyle w:val="ListParagraph"/>
        <w:numPr>
          <w:ilvl w:val="1"/>
          <w:numId w:val="1"/>
        </w:numPr>
        <w:tabs>
          <w:tab w:pos="980" w:val="left" w:leader="none"/>
          <w:tab w:pos="981" w:val="left" w:leader="none"/>
          <w:tab w:pos="8931" w:val="right" w:leader="dot"/>
        </w:tabs>
        <w:spacing w:line="240" w:lineRule="auto" w:before="238" w:after="0"/>
        <w:ind w:left="981" w:right="0" w:hanging="661"/>
        <w:jc w:val="left"/>
        <w:rPr>
          <w:sz w:val="20"/>
        </w:rPr>
      </w:pPr>
      <w:hyperlink w:history="true" w:anchor="_bookmark17">
        <w:r>
          <w:rPr>
            <w:sz w:val="20"/>
          </w:rPr>
          <w:t>I</w:t>
        </w:r>
        <w:r>
          <w:rPr>
            <w:sz w:val="16"/>
          </w:rPr>
          <w:t>NTRODUCCIÓN</w:t>
        </w:r>
        <w:r>
          <w:rPr>
            <w:spacing w:val="-1"/>
            <w:sz w:val="16"/>
          </w:rPr>
          <w:t> </w:t>
        </w:r>
        <w:r>
          <w:rPr>
            <w:sz w:val="16"/>
          </w:rPr>
          <w:t>DE CAPÍTULO</w:t>
        </w:r>
        <w:r>
          <w:rPr>
            <w:sz w:val="20"/>
          </w:rPr>
          <w:tab/>
          <w:t>31</w:t>
        </w:r>
      </w:hyperlink>
    </w:p>
    <w:p>
      <w:pPr>
        <w:pStyle w:val="ListParagraph"/>
        <w:numPr>
          <w:ilvl w:val="1"/>
          <w:numId w:val="1"/>
        </w:numPr>
        <w:tabs>
          <w:tab w:pos="980" w:val="left" w:leader="none"/>
          <w:tab w:pos="981" w:val="left" w:leader="none"/>
          <w:tab w:pos="8931" w:val="right" w:leader="dot"/>
        </w:tabs>
        <w:spacing w:line="240" w:lineRule="auto" w:before="118" w:after="0"/>
        <w:ind w:left="981" w:right="0" w:hanging="661"/>
        <w:jc w:val="left"/>
        <w:rPr>
          <w:sz w:val="20"/>
        </w:rPr>
      </w:pPr>
      <w:hyperlink w:history="true" w:anchor="_bookmark18">
        <w:r>
          <w:rPr>
            <w:sz w:val="20"/>
          </w:rPr>
          <w:t>C</w:t>
        </w:r>
        <w:r>
          <w:rPr>
            <w:sz w:val="16"/>
          </w:rPr>
          <w:t>ONCEPTO</w:t>
        </w:r>
        <w:r>
          <w:rPr>
            <w:spacing w:val="-2"/>
            <w:sz w:val="16"/>
          </w:rPr>
          <w:t> </w:t>
        </w:r>
        <w:r>
          <w:rPr>
            <w:sz w:val="16"/>
          </w:rPr>
          <w:t>DE</w:t>
        </w:r>
        <w:r>
          <w:rPr>
            <w:spacing w:val="1"/>
            <w:sz w:val="16"/>
          </w:rPr>
          <w:t> </w:t>
        </w:r>
        <w:r>
          <w:rPr>
            <w:sz w:val="20"/>
          </w:rPr>
          <w:t>CAD</w:t>
          <w:tab/>
          <w:t>32</w:t>
        </w:r>
      </w:hyperlink>
    </w:p>
    <w:p>
      <w:pPr>
        <w:pStyle w:val="ListParagraph"/>
        <w:numPr>
          <w:ilvl w:val="2"/>
          <w:numId w:val="1"/>
        </w:numPr>
        <w:tabs>
          <w:tab w:pos="1420" w:val="left" w:leader="none"/>
          <w:tab w:pos="1421" w:val="left" w:leader="none"/>
          <w:tab w:pos="8931" w:val="right" w:leader="dot"/>
        </w:tabs>
        <w:spacing w:line="240" w:lineRule="auto" w:before="114" w:after="0"/>
        <w:ind w:left="1421" w:right="0" w:hanging="881"/>
        <w:jc w:val="left"/>
        <w:rPr>
          <w:i/>
          <w:sz w:val="20"/>
        </w:rPr>
      </w:pPr>
      <w:hyperlink w:history="true" w:anchor="_bookmark21">
        <w:r>
          <w:rPr>
            <w:i/>
            <w:sz w:val="20"/>
          </w:rPr>
          <w:t>Modelado</w:t>
        </w:r>
        <w:r>
          <w:rPr>
            <w:i/>
            <w:spacing w:val="-4"/>
            <w:sz w:val="20"/>
          </w:rPr>
          <w:t> </w:t>
        </w:r>
        <w:r>
          <w:rPr>
            <w:i/>
            <w:sz w:val="20"/>
          </w:rPr>
          <w:t>de sólidos</w:t>
          <w:tab/>
          <w:t>34</w:t>
        </w:r>
      </w:hyperlink>
    </w:p>
    <w:p>
      <w:pPr>
        <w:pStyle w:val="ListParagraph"/>
        <w:numPr>
          <w:ilvl w:val="2"/>
          <w:numId w:val="1"/>
        </w:numPr>
        <w:tabs>
          <w:tab w:pos="1420" w:val="left" w:leader="none"/>
          <w:tab w:pos="1421" w:val="left" w:leader="none"/>
          <w:tab w:pos="8931" w:val="right" w:leader="dot"/>
        </w:tabs>
        <w:spacing w:line="240" w:lineRule="auto" w:before="114" w:after="0"/>
        <w:ind w:left="1421" w:right="0" w:hanging="881"/>
        <w:jc w:val="left"/>
        <w:rPr>
          <w:i/>
          <w:sz w:val="20"/>
        </w:rPr>
      </w:pPr>
      <w:hyperlink w:history="true" w:anchor="_bookmark24">
        <w:r>
          <w:rPr>
            <w:i/>
            <w:sz w:val="20"/>
          </w:rPr>
          <w:t>Renderizado</w:t>
          <w:tab/>
          <w:t>44</w:t>
        </w:r>
      </w:hyperlink>
    </w:p>
    <w:p>
      <w:pPr>
        <w:pStyle w:val="ListParagraph"/>
        <w:numPr>
          <w:ilvl w:val="1"/>
          <w:numId w:val="1"/>
        </w:numPr>
        <w:tabs>
          <w:tab w:pos="980" w:val="left" w:leader="none"/>
          <w:tab w:pos="981" w:val="left" w:leader="none"/>
          <w:tab w:pos="8931" w:val="right" w:leader="dot"/>
        </w:tabs>
        <w:spacing w:line="240" w:lineRule="auto" w:before="114" w:after="0"/>
        <w:ind w:left="981" w:right="0" w:hanging="661"/>
        <w:jc w:val="left"/>
        <w:rPr>
          <w:sz w:val="20"/>
        </w:rPr>
      </w:pPr>
      <w:hyperlink w:history="true" w:anchor="_bookmark27">
        <w:r>
          <w:rPr>
            <w:sz w:val="20"/>
          </w:rPr>
          <w:t>¿Q</w:t>
        </w:r>
        <w:r>
          <w:rPr>
            <w:sz w:val="16"/>
          </w:rPr>
          <w:t>UÉ ES</w:t>
        </w:r>
        <w:r>
          <w:rPr>
            <w:spacing w:val="-1"/>
            <w:sz w:val="16"/>
          </w:rPr>
          <w:t> </w:t>
        </w:r>
        <w:r>
          <w:rPr>
            <w:sz w:val="20"/>
          </w:rPr>
          <w:t>RP?</w:t>
          <w:tab/>
          <w:t>46</w:t>
        </w:r>
      </w:hyperlink>
    </w:p>
    <w:p>
      <w:pPr>
        <w:pStyle w:val="ListParagraph"/>
        <w:numPr>
          <w:ilvl w:val="2"/>
          <w:numId w:val="1"/>
        </w:numPr>
        <w:tabs>
          <w:tab w:pos="1420" w:val="left" w:leader="none"/>
          <w:tab w:pos="1421" w:val="left" w:leader="none"/>
          <w:tab w:pos="8931" w:val="right" w:leader="dot"/>
        </w:tabs>
        <w:spacing w:line="240" w:lineRule="auto" w:before="118" w:after="0"/>
        <w:ind w:left="1421" w:right="0" w:hanging="881"/>
        <w:jc w:val="left"/>
        <w:rPr>
          <w:i/>
          <w:sz w:val="20"/>
        </w:rPr>
      </w:pPr>
      <w:hyperlink w:history="true" w:anchor="_bookmark29">
        <w:r>
          <w:rPr>
            <w:i/>
            <w:sz w:val="20"/>
          </w:rPr>
          <w:t>Tecnología RP para</w:t>
        </w:r>
        <w:r>
          <w:rPr>
            <w:i/>
            <w:spacing w:val="-6"/>
            <w:sz w:val="20"/>
          </w:rPr>
          <w:t> </w:t>
        </w:r>
        <w:r>
          <w:rPr>
            <w:i/>
            <w:sz w:val="20"/>
          </w:rPr>
          <w:t>modelado</w:t>
        </w:r>
        <w:r>
          <w:rPr>
            <w:i/>
            <w:spacing w:val="-1"/>
            <w:sz w:val="20"/>
          </w:rPr>
          <w:t> </w:t>
        </w:r>
        <w:r>
          <w:rPr>
            <w:i/>
            <w:sz w:val="20"/>
          </w:rPr>
          <w:t>3D</w:t>
          <w:tab/>
          <w:t>48</w:t>
        </w:r>
      </w:hyperlink>
    </w:p>
    <w:p>
      <w:pPr>
        <w:pStyle w:val="ListParagraph"/>
        <w:numPr>
          <w:ilvl w:val="2"/>
          <w:numId w:val="1"/>
        </w:numPr>
        <w:tabs>
          <w:tab w:pos="1420" w:val="left" w:leader="none"/>
          <w:tab w:pos="1421" w:val="left" w:leader="none"/>
          <w:tab w:pos="8931" w:val="right" w:leader="dot"/>
        </w:tabs>
        <w:spacing w:line="240" w:lineRule="auto" w:before="114" w:after="0"/>
        <w:ind w:left="1421" w:right="0" w:hanging="881"/>
        <w:jc w:val="left"/>
        <w:rPr>
          <w:i/>
          <w:sz w:val="20"/>
        </w:rPr>
      </w:pPr>
      <w:hyperlink w:history="true" w:anchor="_bookmark31">
        <w:r>
          <w:rPr>
            <w:i/>
            <w:sz w:val="20"/>
          </w:rPr>
          <w:t>Breve historia de</w:t>
        </w:r>
        <w:r>
          <w:rPr>
            <w:i/>
            <w:spacing w:val="-1"/>
            <w:sz w:val="20"/>
          </w:rPr>
          <w:t> </w:t>
        </w:r>
        <w:r>
          <w:rPr>
            <w:i/>
            <w:sz w:val="20"/>
          </w:rPr>
          <w:t>tecnologías</w:t>
        </w:r>
        <w:r>
          <w:rPr>
            <w:i/>
            <w:spacing w:val="-1"/>
            <w:sz w:val="20"/>
          </w:rPr>
          <w:t> </w:t>
        </w:r>
        <w:r>
          <w:rPr>
            <w:i/>
            <w:sz w:val="20"/>
          </w:rPr>
          <w:t>RP</w:t>
          <w:tab/>
          <w:t>50</w:t>
        </w:r>
      </w:hyperlink>
    </w:p>
    <w:p>
      <w:pPr>
        <w:pStyle w:val="ListParagraph"/>
        <w:numPr>
          <w:ilvl w:val="2"/>
          <w:numId w:val="1"/>
        </w:numPr>
        <w:tabs>
          <w:tab w:pos="1420" w:val="left" w:leader="none"/>
          <w:tab w:pos="1421" w:val="left" w:leader="none"/>
          <w:tab w:pos="8931" w:val="right" w:leader="dot"/>
        </w:tabs>
        <w:spacing w:line="240" w:lineRule="auto" w:before="114" w:after="0"/>
        <w:ind w:left="1421" w:right="0" w:hanging="881"/>
        <w:jc w:val="left"/>
        <w:rPr>
          <w:i/>
          <w:sz w:val="20"/>
        </w:rPr>
      </w:pPr>
      <w:hyperlink w:history="true" w:anchor="_bookmark33">
        <w:r>
          <w:rPr>
            <w:i/>
            <w:sz w:val="20"/>
          </w:rPr>
          <w:t>Procesos</w:t>
        </w:r>
        <w:r>
          <w:rPr>
            <w:i/>
            <w:spacing w:val="-1"/>
            <w:sz w:val="20"/>
          </w:rPr>
          <w:t> </w:t>
        </w:r>
        <w:r>
          <w:rPr>
            <w:i/>
            <w:sz w:val="20"/>
          </w:rPr>
          <w:t>básicos</w:t>
          <w:tab/>
          <w:t>53</w:t>
        </w:r>
      </w:hyperlink>
    </w:p>
    <w:p>
      <w:pPr>
        <w:pStyle w:val="ListParagraph"/>
        <w:numPr>
          <w:ilvl w:val="2"/>
          <w:numId w:val="1"/>
        </w:numPr>
        <w:tabs>
          <w:tab w:pos="1420" w:val="left" w:leader="none"/>
          <w:tab w:pos="1421" w:val="left" w:leader="none"/>
          <w:tab w:pos="8931" w:val="right" w:leader="dot"/>
        </w:tabs>
        <w:spacing w:line="240" w:lineRule="auto" w:before="114" w:after="0"/>
        <w:ind w:left="1421" w:right="0" w:hanging="881"/>
        <w:jc w:val="left"/>
        <w:rPr>
          <w:i/>
          <w:sz w:val="20"/>
        </w:rPr>
      </w:pPr>
      <w:hyperlink w:history="true" w:anchor="_bookmark34">
        <w:r>
          <w:rPr>
            <w:i/>
            <w:sz w:val="20"/>
          </w:rPr>
          <w:t>Aplicaciones</w:t>
          <w:tab/>
          <w:t>55</w:t>
        </w:r>
      </w:hyperlink>
    </w:p>
    <w:p>
      <w:pPr>
        <w:pStyle w:val="ListParagraph"/>
        <w:numPr>
          <w:ilvl w:val="2"/>
          <w:numId w:val="1"/>
        </w:numPr>
        <w:tabs>
          <w:tab w:pos="1420" w:val="left" w:leader="none"/>
          <w:tab w:pos="1421" w:val="left" w:leader="none"/>
          <w:tab w:pos="8931" w:val="right" w:leader="dot"/>
        </w:tabs>
        <w:spacing w:line="240" w:lineRule="auto" w:before="118" w:after="0"/>
        <w:ind w:left="1421" w:right="0" w:hanging="881"/>
        <w:jc w:val="left"/>
        <w:rPr>
          <w:i/>
          <w:sz w:val="20"/>
        </w:rPr>
      </w:pPr>
      <w:hyperlink w:history="true" w:anchor="_bookmark35">
        <w:r>
          <w:rPr>
            <w:i/>
            <w:sz w:val="20"/>
          </w:rPr>
          <w:t>Tecnologías</w:t>
        </w:r>
        <w:r>
          <w:rPr>
            <w:i/>
            <w:spacing w:val="-1"/>
            <w:sz w:val="20"/>
          </w:rPr>
          <w:t> </w:t>
        </w:r>
        <w:r>
          <w:rPr>
            <w:i/>
            <w:sz w:val="20"/>
          </w:rPr>
          <w:t>más</w:t>
        </w:r>
        <w:r>
          <w:rPr>
            <w:i/>
            <w:spacing w:val="-5"/>
            <w:sz w:val="20"/>
          </w:rPr>
          <w:t> </w:t>
        </w:r>
        <w:r>
          <w:rPr>
            <w:i/>
            <w:sz w:val="20"/>
          </w:rPr>
          <w:t>difundidas</w:t>
          <w:tab/>
          <w:t>56</w:t>
        </w:r>
      </w:hyperlink>
    </w:p>
    <w:p>
      <w:pPr>
        <w:pStyle w:val="ListParagraph"/>
        <w:numPr>
          <w:ilvl w:val="2"/>
          <w:numId w:val="1"/>
        </w:numPr>
        <w:tabs>
          <w:tab w:pos="1420" w:val="left" w:leader="none"/>
          <w:tab w:pos="1421" w:val="left" w:leader="none"/>
          <w:tab w:pos="8931" w:val="right" w:leader="dot"/>
        </w:tabs>
        <w:spacing w:line="240" w:lineRule="auto" w:before="114" w:after="0"/>
        <w:ind w:left="1421" w:right="0" w:hanging="881"/>
        <w:jc w:val="left"/>
        <w:rPr>
          <w:i/>
          <w:sz w:val="20"/>
        </w:rPr>
      </w:pPr>
      <w:hyperlink w:history="true" w:anchor="_bookmark43">
        <w:r>
          <w:rPr>
            <w:i/>
            <w:sz w:val="20"/>
          </w:rPr>
          <w:t>Materiales</w:t>
        </w:r>
        <w:r>
          <w:rPr>
            <w:i/>
            <w:spacing w:val="-1"/>
            <w:sz w:val="20"/>
          </w:rPr>
          <w:t> </w:t>
        </w:r>
        <w:r>
          <w:rPr>
            <w:i/>
            <w:sz w:val="20"/>
          </w:rPr>
          <w:t>poliméricos</w:t>
          <w:tab/>
          <w:t>63</w:t>
        </w:r>
      </w:hyperlink>
    </w:p>
    <w:p>
      <w:pPr>
        <w:pStyle w:val="ListParagraph"/>
        <w:numPr>
          <w:ilvl w:val="1"/>
          <w:numId w:val="1"/>
        </w:numPr>
        <w:tabs>
          <w:tab w:pos="980" w:val="left" w:leader="none"/>
          <w:tab w:pos="981" w:val="left" w:leader="none"/>
          <w:tab w:pos="8931" w:val="right" w:leader="dot"/>
        </w:tabs>
        <w:spacing w:line="240" w:lineRule="auto" w:before="114" w:after="0"/>
        <w:ind w:left="981" w:right="0" w:hanging="661"/>
        <w:jc w:val="left"/>
        <w:rPr>
          <w:sz w:val="20"/>
        </w:rPr>
      </w:pPr>
      <w:hyperlink w:history="true" w:anchor="_bookmark45">
        <w:r>
          <w:rPr>
            <w:sz w:val="20"/>
          </w:rPr>
          <w:t>C</w:t>
        </w:r>
        <w:r>
          <w:rPr>
            <w:sz w:val="16"/>
          </w:rPr>
          <w:t>ONCEPTO</w:t>
        </w:r>
        <w:r>
          <w:rPr>
            <w:spacing w:val="-2"/>
            <w:sz w:val="16"/>
          </w:rPr>
          <w:t> </w:t>
        </w:r>
        <w:r>
          <w:rPr>
            <w:sz w:val="16"/>
          </w:rPr>
          <w:t>DE</w:t>
        </w:r>
        <w:r>
          <w:rPr>
            <w:spacing w:val="1"/>
            <w:sz w:val="16"/>
          </w:rPr>
          <w:t> </w:t>
        </w:r>
        <w:r>
          <w:rPr>
            <w:sz w:val="20"/>
          </w:rPr>
          <w:t>CNC</w:t>
          <w:tab/>
          <w:t>65</w:t>
        </w:r>
      </w:hyperlink>
    </w:p>
    <w:p>
      <w:pPr>
        <w:pStyle w:val="ListParagraph"/>
        <w:numPr>
          <w:ilvl w:val="2"/>
          <w:numId w:val="1"/>
        </w:numPr>
        <w:tabs>
          <w:tab w:pos="1420" w:val="left" w:leader="none"/>
          <w:tab w:pos="1421" w:val="left" w:leader="none"/>
          <w:tab w:pos="8931" w:val="right" w:leader="dot"/>
        </w:tabs>
        <w:spacing w:line="240" w:lineRule="auto" w:before="114" w:after="0"/>
        <w:ind w:left="1421" w:right="0" w:hanging="881"/>
        <w:jc w:val="left"/>
        <w:rPr>
          <w:i/>
          <w:sz w:val="20"/>
        </w:rPr>
      </w:pPr>
      <w:hyperlink w:history="true" w:anchor="_bookmark47">
        <w:r>
          <w:rPr>
            <w:i/>
            <w:sz w:val="20"/>
          </w:rPr>
          <w:t>Corte chorro de</w:t>
        </w:r>
        <w:r>
          <w:rPr>
            <w:i/>
            <w:spacing w:val="-1"/>
            <w:sz w:val="20"/>
          </w:rPr>
          <w:t> </w:t>
        </w:r>
        <w:r>
          <w:rPr>
            <w:i/>
            <w:sz w:val="20"/>
          </w:rPr>
          <w:t>agua</w:t>
          <w:tab/>
          <w:t>67</w:t>
        </w:r>
      </w:hyperlink>
    </w:p>
    <w:p>
      <w:pPr>
        <w:pStyle w:val="ListParagraph"/>
        <w:numPr>
          <w:ilvl w:val="2"/>
          <w:numId w:val="1"/>
        </w:numPr>
        <w:tabs>
          <w:tab w:pos="1420" w:val="left" w:leader="none"/>
          <w:tab w:pos="1421" w:val="left" w:leader="none"/>
          <w:tab w:pos="8931" w:val="right" w:leader="dot"/>
        </w:tabs>
        <w:spacing w:line="240" w:lineRule="auto" w:before="118" w:after="0"/>
        <w:ind w:left="1421" w:right="0" w:hanging="881"/>
        <w:jc w:val="left"/>
        <w:rPr>
          <w:i/>
          <w:sz w:val="20"/>
        </w:rPr>
      </w:pPr>
      <w:hyperlink w:history="true" w:anchor="_bookmark49">
        <w:r>
          <w:rPr>
            <w:i/>
            <w:sz w:val="20"/>
          </w:rPr>
          <w:t>Corte</w:t>
        </w:r>
        <w:r>
          <w:rPr>
            <w:i/>
            <w:spacing w:val="1"/>
            <w:sz w:val="20"/>
          </w:rPr>
          <w:t> </w:t>
        </w:r>
        <w:r>
          <w:rPr>
            <w:i/>
            <w:sz w:val="20"/>
          </w:rPr>
          <w:t>láser</w:t>
          <w:tab/>
          <w:t>68</w:t>
        </w:r>
      </w:hyperlink>
    </w:p>
    <w:p>
      <w:pPr>
        <w:pStyle w:val="ListParagraph"/>
        <w:numPr>
          <w:ilvl w:val="2"/>
          <w:numId w:val="1"/>
        </w:numPr>
        <w:tabs>
          <w:tab w:pos="1420" w:val="left" w:leader="none"/>
          <w:tab w:pos="1421" w:val="left" w:leader="none"/>
          <w:tab w:pos="8931" w:val="right" w:leader="dot"/>
        </w:tabs>
        <w:spacing w:line="240" w:lineRule="auto" w:before="114" w:after="0"/>
        <w:ind w:left="1421" w:right="0" w:hanging="881"/>
        <w:jc w:val="left"/>
        <w:rPr>
          <w:i/>
          <w:sz w:val="20"/>
        </w:rPr>
      </w:pPr>
      <w:hyperlink w:history="true" w:anchor="_bookmark53">
        <w:r>
          <w:rPr>
            <w:i/>
            <w:sz w:val="20"/>
          </w:rPr>
          <w:t>Corte</w:t>
        </w:r>
        <w:r>
          <w:rPr>
            <w:i/>
            <w:spacing w:val="1"/>
            <w:sz w:val="20"/>
          </w:rPr>
          <w:t> </w:t>
        </w:r>
        <w:r>
          <w:rPr>
            <w:i/>
            <w:sz w:val="20"/>
          </w:rPr>
          <w:t>de</w:t>
        </w:r>
        <w:r>
          <w:rPr>
            <w:i/>
            <w:spacing w:val="-3"/>
            <w:sz w:val="20"/>
          </w:rPr>
          <w:t> </w:t>
        </w:r>
        <w:r>
          <w:rPr>
            <w:i/>
            <w:sz w:val="20"/>
          </w:rPr>
          <w:t>plasma</w:t>
          <w:tab/>
          <w:t>72</w:t>
        </w:r>
      </w:hyperlink>
    </w:p>
    <w:p>
      <w:pPr>
        <w:pStyle w:val="ListParagraph"/>
        <w:numPr>
          <w:ilvl w:val="1"/>
          <w:numId w:val="1"/>
        </w:numPr>
        <w:tabs>
          <w:tab w:pos="980" w:val="left" w:leader="none"/>
          <w:tab w:pos="981" w:val="left" w:leader="none"/>
          <w:tab w:pos="8931" w:val="right" w:leader="dot"/>
        </w:tabs>
        <w:spacing w:line="240" w:lineRule="auto" w:before="114" w:after="0"/>
        <w:ind w:left="981" w:right="0" w:hanging="661"/>
        <w:jc w:val="left"/>
        <w:rPr>
          <w:sz w:val="20"/>
        </w:rPr>
      </w:pPr>
      <w:hyperlink w:history="true" w:anchor="_bookmark55">
        <w:r>
          <w:rPr>
            <w:sz w:val="20"/>
          </w:rPr>
          <w:t>E</w:t>
        </w:r>
        <w:r>
          <w:rPr>
            <w:sz w:val="16"/>
          </w:rPr>
          <w:t>SCÁNER </w:t>
        </w:r>
        <w:r>
          <w:rPr>
            <w:sz w:val="20"/>
          </w:rPr>
          <w:t>3D</w:t>
          <w:tab/>
          <w:t>73</w:t>
        </w:r>
      </w:hyperlink>
    </w:p>
    <w:p>
      <w:pPr>
        <w:pStyle w:val="ListParagraph"/>
        <w:numPr>
          <w:ilvl w:val="1"/>
          <w:numId w:val="1"/>
        </w:numPr>
        <w:tabs>
          <w:tab w:pos="980" w:val="left" w:leader="none"/>
          <w:tab w:pos="981" w:val="left" w:leader="none"/>
          <w:tab w:pos="8931" w:val="right" w:leader="dot"/>
        </w:tabs>
        <w:spacing w:line="240" w:lineRule="auto" w:before="114" w:after="0"/>
        <w:ind w:left="981" w:right="0" w:hanging="661"/>
        <w:jc w:val="left"/>
        <w:rPr>
          <w:sz w:val="20"/>
        </w:rPr>
      </w:pPr>
      <w:hyperlink w:history="true" w:anchor="_bookmark58">
        <w:r>
          <w:rPr>
            <w:sz w:val="20"/>
          </w:rPr>
          <w:t>I</w:t>
        </w:r>
        <w:r>
          <w:rPr>
            <w:sz w:val="16"/>
          </w:rPr>
          <w:t>MPRESIÓN</w:t>
        </w:r>
        <w:r>
          <w:rPr>
            <w:spacing w:val="-1"/>
            <w:sz w:val="16"/>
          </w:rPr>
          <w:t> </w:t>
        </w:r>
        <w:r>
          <w:rPr>
            <w:sz w:val="20"/>
          </w:rPr>
          <w:t>3D</w:t>
          <w:tab/>
          <w:t>77</w:t>
        </w:r>
      </w:hyperlink>
    </w:p>
    <w:p>
      <w:pPr>
        <w:pStyle w:val="ListParagraph"/>
        <w:numPr>
          <w:ilvl w:val="1"/>
          <w:numId w:val="1"/>
        </w:numPr>
        <w:tabs>
          <w:tab w:pos="980" w:val="left" w:leader="none"/>
          <w:tab w:pos="981" w:val="left" w:leader="none"/>
          <w:tab w:pos="8931" w:val="right" w:leader="dot"/>
        </w:tabs>
        <w:spacing w:line="240" w:lineRule="auto" w:before="118" w:after="0"/>
        <w:ind w:left="981" w:right="0" w:hanging="661"/>
        <w:jc w:val="left"/>
        <w:rPr>
          <w:sz w:val="20"/>
        </w:rPr>
      </w:pPr>
      <w:hyperlink w:history="true" w:anchor="_bookmark65">
        <w:r>
          <w:rPr>
            <w:sz w:val="20"/>
          </w:rPr>
          <w:t>E</w:t>
        </w:r>
        <w:r>
          <w:rPr>
            <w:sz w:val="16"/>
          </w:rPr>
          <w:t>SCULTURA DISEÑADA CON</w:t>
        </w:r>
        <w:r>
          <w:rPr>
            <w:spacing w:val="2"/>
            <w:sz w:val="16"/>
          </w:rPr>
          <w:t> </w:t>
        </w:r>
        <w:r>
          <w:rPr>
            <w:sz w:val="20"/>
          </w:rPr>
          <w:t>N</w:t>
        </w:r>
        <w:r>
          <w:rPr>
            <w:sz w:val="16"/>
          </w:rPr>
          <w:t>UEVAS </w:t>
        </w:r>
        <w:r>
          <w:rPr>
            <w:sz w:val="20"/>
          </w:rPr>
          <w:t>T</w:t>
        </w:r>
        <w:r>
          <w:rPr>
            <w:sz w:val="16"/>
          </w:rPr>
          <w:t>ECNOLOGÍAS</w:t>
        </w:r>
        <w:r>
          <w:rPr>
            <w:sz w:val="20"/>
          </w:rPr>
          <w:tab/>
          <w:t>82</w:t>
        </w:r>
      </w:hyperlink>
    </w:p>
    <w:p>
      <w:pPr>
        <w:pStyle w:val="ListParagraph"/>
        <w:numPr>
          <w:ilvl w:val="2"/>
          <w:numId w:val="1"/>
        </w:numPr>
        <w:tabs>
          <w:tab w:pos="1420" w:val="left" w:leader="none"/>
          <w:tab w:pos="1421" w:val="left" w:leader="none"/>
          <w:tab w:pos="8931" w:val="right" w:leader="dot"/>
        </w:tabs>
        <w:spacing w:line="240" w:lineRule="auto" w:before="114" w:after="0"/>
        <w:ind w:left="1421" w:right="0" w:hanging="881"/>
        <w:jc w:val="left"/>
        <w:rPr>
          <w:i/>
          <w:sz w:val="20"/>
        </w:rPr>
      </w:pPr>
      <w:hyperlink w:history="true" w:anchor="_bookmark66">
        <w:r>
          <w:rPr>
            <w:i/>
            <w:sz w:val="20"/>
          </w:rPr>
          <w:t>Concepto</w:t>
        </w:r>
        <w:r>
          <w:rPr>
            <w:i/>
            <w:spacing w:val="1"/>
            <w:sz w:val="20"/>
          </w:rPr>
          <w:t> </w:t>
        </w:r>
        <w:r>
          <w:rPr>
            <w:i/>
            <w:sz w:val="20"/>
          </w:rPr>
          <w:t>de</w:t>
        </w:r>
        <w:r>
          <w:rPr>
            <w:i/>
            <w:spacing w:val="-4"/>
            <w:sz w:val="20"/>
          </w:rPr>
          <w:t> </w:t>
        </w:r>
        <w:r>
          <w:rPr>
            <w:i/>
            <w:sz w:val="20"/>
          </w:rPr>
          <w:t>escultura</w:t>
          <w:tab/>
          <w:t>83</w:t>
        </w:r>
      </w:hyperlink>
    </w:p>
    <w:p>
      <w:pPr>
        <w:pStyle w:val="ListParagraph"/>
        <w:numPr>
          <w:ilvl w:val="2"/>
          <w:numId w:val="1"/>
        </w:numPr>
        <w:tabs>
          <w:tab w:pos="1420" w:val="left" w:leader="none"/>
          <w:tab w:pos="1421" w:val="left" w:leader="none"/>
          <w:tab w:pos="8931" w:val="right" w:leader="dot"/>
        </w:tabs>
        <w:spacing w:line="240" w:lineRule="auto" w:before="114" w:after="0"/>
        <w:ind w:left="1421" w:right="0" w:hanging="881"/>
        <w:jc w:val="left"/>
        <w:rPr>
          <w:i/>
          <w:sz w:val="20"/>
        </w:rPr>
      </w:pPr>
      <w:hyperlink w:history="true" w:anchor="_bookmark70">
        <w:r>
          <w:rPr>
            <w:i/>
            <w:sz w:val="20"/>
          </w:rPr>
          <w:t>Casos  de obra que utiliza tecnología de</w:t>
        </w:r>
        <w:r>
          <w:rPr>
            <w:i/>
            <w:spacing w:val="-6"/>
            <w:sz w:val="20"/>
          </w:rPr>
          <w:t> </w:t>
        </w:r>
        <w:r>
          <w:rPr>
            <w:i/>
            <w:sz w:val="20"/>
          </w:rPr>
          <w:t>modelado</w:t>
        </w:r>
        <w:r>
          <w:rPr>
            <w:i/>
            <w:spacing w:val="-1"/>
            <w:sz w:val="20"/>
          </w:rPr>
          <w:t> </w:t>
        </w:r>
        <w:r>
          <w:rPr>
            <w:i/>
            <w:sz w:val="20"/>
          </w:rPr>
          <w:t>tridimensional</w:t>
          <w:tab/>
          <w:t>85</w:t>
        </w:r>
      </w:hyperlink>
    </w:p>
    <w:p>
      <w:pPr>
        <w:spacing w:after="0" w:line="240" w:lineRule="auto"/>
        <w:jc w:val="left"/>
        <w:rPr>
          <w:sz w:val="20"/>
        </w:rPr>
        <w:sectPr>
          <w:pgSz w:w="12240" w:h="15840"/>
          <w:pgMar w:top="1400" w:bottom="280" w:left="1600" w:right="1600"/>
        </w:sectPr>
      </w:pPr>
    </w:p>
    <w:sdt>
      <w:sdtPr>
        <w:docPartObj>
          <w:docPartGallery w:val="Table of Contents"/>
          <w:docPartUnique/>
        </w:docPartObj>
      </w:sdtPr>
      <w:sdtEndPr/>
      <w:sdtContent>
        <w:p>
          <w:pPr>
            <w:pStyle w:val="TOC5"/>
            <w:numPr>
              <w:ilvl w:val="3"/>
              <w:numId w:val="1"/>
            </w:numPr>
            <w:tabs>
              <w:tab w:pos="1640" w:val="left" w:leader="none"/>
              <w:tab w:pos="1641" w:val="left" w:leader="none"/>
              <w:tab w:pos="8931" w:val="right" w:leader="dot"/>
            </w:tabs>
            <w:spacing w:line="240" w:lineRule="auto" w:before="51" w:after="0"/>
            <w:ind w:left="1641" w:right="0" w:hanging="880"/>
            <w:jc w:val="left"/>
          </w:pPr>
          <w:hyperlink w:history="true" w:anchor="_bookmark71">
            <w:r>
              <w:rPr/>
              <w:t>Software para</w:t>
            </w:r>
            <w:r>
              <w:rPr>
                <w:spacing w:val="-6"/>
              </w:rPr>
              <w:t> </w:t>
            </w:r>
            <w:r>
              <w:rPr/>
              <w:t>modelado</w:t>
            </w:r>
            <w:r>
              <w:rPr>
                <w:spacing w:val="-3"/>
              </w:rPr>
              <w:t> </w:t>
            </w:r>
            <w:r>
              <w:rPr/>
              <w:t>tridimensional</w:t>
              <w:tab/>
              <w:t>86</w:t>
            </w:r>
          </w:hyperlink>
        </w:p>
        <w:p>
          <w:pPr>
            <w:pStyle w:val="TOC5"/>
            <w:numPr>
              <w:ilvl w:val="3"/>
              <w:numId w:val="1"/>
            </w:numPr>
            <w:tabs>
              <w:tab w:pos="1640" w:val="left" w:leader="none"/>
              <w:tab w:pos="1641" w:val="left" w:leader="none"/>
              <w:tab w:pos="8931" w:val="right" w:leader="dot"/>
            </w:tabs>
            <w:spacing w:line="240" w:lineRule="auto" w:before="105" w:after="0"/>
            <w:ind w:left="1641" w:right="0" w:hanging="880"/>
            <w:jc w:val="left"/>
          </w:pPr>
          <w:hyperlink w:history="true" w:anchor="_bookmark79">
            <w:r>
              <w:rPr/>
              <w:t>Obra con</w:t>
            </w:r>
            <w:r>
              <w:rPr>
                <w:spacing w:val="1"/>
              </w:rPr>
              <w:t> </w:t>
            </w:r>
            <w:r>
              <w:rPr/>
              <w:t>impresión</w:t>
            </w:r>
            <w:r>
              <w:rPr>
                <w:spacing w:val="-3"/>
              </w:rPr>
              <w:t> </w:t>
            </w:r>
            <w:r>
              <w:rPr/>
              <w:t>3D</w:t>
              <w:tab/>
              <w:t>92</w:t>
            </w:r>
          </w:hyperlink>
        </w:p>
        <w:p>
          <w:pPr>
            <w:pStyle w:val="TOC5"/>
            <w:numPr>
              <w:ilvl w:val="3"/>
              <w:numId w:val="1"/>
            </w:numPr>
            <w:tabs>
              <w:tab w:pos="1640" w:val="left" w:leader="none"/>
              <w:tab w:pos="1641" w:val="left" w:leader="none"/>
              <w:tab w:pos="8931" w:val="right" w:leader="dot"/>
            </w:tabs>
            <w:spacing w:line="240" w:lineRule="auto" w:before="105" w:after="0"/>
            <w:ind w:left="1641" w:right="0" w:hanging="880"/>
            <w:jc w:val="left"/>
          </w:pPr>
          <w:hyperlink w:history="true" w:anchor="_bookmark87">
            <w:r>
              <w:rPr/>
              <w:t>Obra intervenida con</w:t>
            </w:r>
            <w:r>
              <w:rPr>
                <w:spacing w:val="-6"/>
              </w:rPr>
              <w:t> </w:t>
            </w:r>
            <w:r>
              <w:rPr/>
              <w:t>máquina</w:t>
            </w:r>
            <w:r>
              <w:rPr>
                <w:spacing w:val="-3"/>
              </w:rPr>
              <w:t> </w:t>
            </w:r>
            <w:r>
              <w:rPr/>
              <w:t>CNC</w:t>
              <w:tab/>
              <w:t>98</w:t>
            </w:r>
          </w:hyperlink>
        </w:p>
        <w:p>
          <w:pPr>
            <w:pStyle w:val="TOC5"/>
            <w:numPr>
              <w:ilvl w:val="3"/>
              <w:numId w:val="1"/>
            </w:numPr>
            <w:tabs>
              <w:tab w:pos="1640" w:val="left" w:leader="none"/>
              <w:tab w:pos="1641" w:val="left" w:leader="none"/>
              <w:tab w:pos="8931" w:val="right" w:leader="dot"/>
            </w:tabs>
            <w:spacing w:line="240" w:lineRule="auto" w:before="101" w:after="0"/>
            <w:ind w:left="1641" w:right="0" w:hanging="880"/>
            <w:jc w:val="left"/>
          </w:pPr>
          <w:hyperlink w:history="true" w:anchor="_bookmark91">
            <w:r>
              <w:rPr/>
              <w:t>Obra intervenida con</w:t>
            </w:r>
            <w:r>
              <w:rPr>
                <w:spacing w:val="-6"/>
              </w:rPr>
              <w:t> </w:t>
            </w:r>
            <w:r>
              <w:rPr/>
              <w:t>pantógrafos</w:t>
            </w:r>
            <w:r>
              <w:rPr>
                <w:spacing w:val="-2"/>
              </w:rPr>
              <w:t> </w:t>
            </w:r>
            <w:r>
              <w:rPr/>
              <w:t>motorizados</w:t>
              <w:tab/>
              <w:t>102</w:t>
            </w:r>
          </w:hyperlink>
        </w:p>
        <w:p>
          <w:pPr>
            <w:pStyle w:val="TOC5"/>
            <w:numPr>
              <w:ilvl w:val="3"/>
              <w:numId w:val="1"/>
            </w:numPr>
            <w:tabs>
              <w:tab w:pos="1640" w:val="left" w:leader="none"/>
              <w:tab w:pos="1641" w:val="left" w:leader="none"/>
              <w:tab w:pos="8931" w:val="right" w:leader="dot"/>
            </w:tabs>
            <w:spacing w:line="240" w:lineRule="auto" w:before="105" w:after="0"/>
            <w:ind w:left="1641" w:right="0" w:hanging="880"/>
            <w:jc w:val="left"/>
          </w:pPr>
          <w:hyperlink w:history="true" w:anchor="_bookmark93">
            <w:r>
              <w:rPr/>
              <w:t>Obra intervenida con corte con chorro</w:t>
            </w:r>
            <w:r>
              <w:rPr>
                <w:spacing w:val="-10"/>
              </w:rPr>
              <w:t> </w:t>
            </w:r>
            <w:r>
              <w:rPr/>
              <w:t>de</w:t>
            </w:r>
            <w:r>
              <w:rPr>
                <w:spacing w:val="-3"/>
              </w:rPr>
              <w:t> </w:t>
            </w:r>
            <w:r>
              <w:rPr/>
              <w:t>agua</w:t>
              <w:tab/>
              <w:t>102</w:t>
            </w:r>
          </w:hyperlink>
        </w:p>
        <w:p>
          <w:pPr>
            <w:pStyle w:val="TOC5"/>
            <w:numPr>
              <w:ilvl w:val="3"/>
              <w:numId w:val="1"/>
            </w:numPr>
            <w:tabs>
              <w:tab w:pos="1640" w:val="left" w:leader="none"/>
              <w:tab w:pos="1641" w:val="left" w:leader="none"/>
              <w:tab w:pos="8931" w:val="right" w:leader="dot"/>
            </w:tabs>
            <w:spacing w:line="240" w:lineRule="auto" w:before="105" w:after="0"/>
            <w:ind w:left="1641" w:right="0" w:hanging="880"/>
            <w:jc w:val="left"/>
          </w:pPr>
          <w:hyperlink w:history="true" w:anchor="_bookmark95">
            <w:r>
              <w:rPr/>
              <w:t>Obra intervenida con</w:t>
            </w:r>
            <w:r>
              <w:rPr>
                <w:spacing w:val="-6"/>
              </w:rPr>
              <w:t> </w:t>
            </w:r>
            <w:r>
              <w:rPr/>
              <w:t>corte láser</w:t>
              <w:tab/>
              <w:t>109</w:t>
            </w:r>
          </w:hyperlink>
        </w:p>
        <w:p>
          <w:pPr>
            <w:pStyle w:val="TOC5"/>
            <w:numPr>
              <w:ilvl w:val="3"/>
              <w:numId w:val="1"/>
            </w:numPr>
            <w:tabs>
              <w:tab w:pos="1640" w:val="left" w:leader="none"/>
              <w:tab w:pos="1641" w:val="left" w:leader="none"/>
              <w:tab w:pos="8931" w:val="right" w:leader="dot"/>
            </w:tabs>
            <w:spacing w:line="240" w:lineRule="auto" w:before="101" w:after="0"/>
            <w:ind w:left="1641" w:right="0" w:hanging="880"/>
            <w:jc w:val="left"/>
          </w:pPr>
          <w:hyperlink w:history="true" w:anchor="_bookmark97">
            <w:r>
              <w:rPr/>
              <w:t>Obra intervenida con corte</w:t>
            </w:r>
            <w:r>
              <w:rPr>
                <w:spacing w:val="-5"/>
              </w:rPr>
              <w:t> </w:t>
            </w:r>
            <w:r>
              <w:rPr/>
              <w:t>de</w:t>
            </w:r>
            <w:r>
              <w:rPr>
                <w:spacing w:val="-4"/>
              </w:rPr>
              <w:t> </w:t>
            </w:r>
            <w:r>
              <w:rPr/>
              <w:t>plasma</w:t>
              <w:tab/>
              <w:t>109</w:t>
            </w:r>
          </w:hyperlink>
        </w:p>
        <w:p>
          <w:pPr>
            <w:pStyle w:val="TOC5"/>
            <w:numPr>
              <w:ilvl w:val="3"/>
              <w:numId w:val="1"/>
            </w:numPr>
            <w:tabs>
              <w:tab w:pos="1640" w:val="left" w:leader="none"/>
              <w:tab w:pos="1641" w:val="left" w:leader="none"/>
              <w:tab w:pos="8931" w:val="right" w:leader="dot"/>
            </w:tabs>
            <w:spacing w:line="240" w:lineRule="auto" w:before="105" w:after="0"/>
            <w:ind w:left="1641" w:right="0" w:hanging="880"/>
            <w:jc w:val="left"/>
          </w:pPr>
          <w:hyperlink w:history="true" w:anchor="_bookmark99">
            <w:r>
              <w:rPr/>
              <w:t>Obra con intervención de</w:t>
            </w:r>
            <w:r>
              <w:rPr>
                <w:spacing w:val="-1"/>
              </w:rPr>
              <w:t> </w:t>
            </w:r>
            <w:r>
              <w:rPr/>
              <w:t>escaner 3D</w:t>
              <w:tab/>
              <w:t>111</w:t>
            </w:r>
          </w:hyperlink>
        </w:p>
        <w:p>
          <w:pPr>
            <w:pStyle w:val="TOC2"/>
            <w:numPr>
              <w:ilvl w:val="1"/>
              <w:numId w:val="1"/>
            </w:numPr>
            <w:tabs>
              <w:tab w:pos="980" w:val="left" w:leader="none"/>
              <w:tab w:pos="981" w:val="left" w:leader="none"/>
              <w:tab w:pos="8935" w:val="right" w:leader="dot"/>
            </w:tabs>
            <w:spacing w:line="240" w:lineRule="auto" w:before="102" w:after="0"/>
            <w:ind w:left="981" w:right="0" w:hanging="661"/>
            <w:jc w:val="left"/>
            <w:rPr>
              <w:sz w:val="20"/>
            </w:rPr>
          </w:pPr>
          <w:hyperlink w:history="true" w:anchor="_bookmark107">
            <w:r>
              <w:rPr>
                <w:sz w:val="20"/>
              </w:rPr>
              <w:t>C</w:t>
            </w:r>
            <w:r>
              <w:rPr/>
              <w:t>ONCLUSIONES DE TECNOLOGÍA DE MODELADO </w:t>
            </w:r>
            <w:r>
              <w:rPr>
                <w:sz w:val="20"/>
              </w:rPr>
              <w:t>3D </w:t>
            </w:r>
            <w:r>
              <w:rPr/>
              <w:t>Y SU APLICACIÓN EN</w:t>
            </w:r>
            <w:r>
              <w:rPr>
                <w:spacing w:val="-22"/>
              </w:rPr>
              <w:t> </w:t>
            </w:r>
            <w:r>
              <w:rPr/>
              <w:t>LA ESCULTURA</w:t>
            </w:r>
            <w:r>
              <w:rPr>
                <w:sz w:val="20"/>
              </w:rPr>
              <w:tab/>
              <w:t>120</w:t>
            </w:r>
          </w:hyperlink>
        </w:p>
        <w:p>
          <w:pPr>
            <w:pStyle w:val="TOC1"/>
            <w:numPr>
              <w:ilvl w:val="0"/>
              <w:numId w:val="1"/>
            </w:numPr>
            <w:tabs>
              <w:tab w:pos="540" w:val="left" w:leader="none"/>
              <w:tab w:pos="541" w:val="left" w:leader="none"/>
              <w:tab w:pos="8935" w:val="right" w:leader="dot"/>
            </w:tabs>
            <w:spacing w:line="240" w:lineRule="auto" w:before="234" w:after="0"/>
            <w:ind w:left="540" w:right="0" w:hanging="440"/>
            <w:jc w:val="left"/>
          </w:pPr>
          <w:hyperlink w:history="true" w:anchor="_bookmark108">
            <w:r>
              <w:rPr/>
              <w:t>CONCEPTOS BÁSICOS</w:t>
            </w:r>
            <w:r>
              <w:rPr>
                <w:spacing w:val="-4"/>
              </w:rPr>
              <w:t> </w:t>
            </w:r>
            <w:r>
              <w:rPr/>
              <w:t>DE</w:t>
            </w:r>
            <w:r>
              <w:rPr>
                <w:spacing w:val="-1"/>
              </w:rPr>
              <w:t> </w:t>
            </w:r>
            <w:r>
              <w:rPr/>
              <w:t>SUSTENTABILIDAD</w:t>
              <w:tab/>
              <w:t>123</w:t>
            </w:r>
          </w:hyperlink>
        </w:p>
        <w:p>
          <w:pPr>
            <w:pStyle w:val="TOC2"/>
            <w:numPr>
              <w:ilvl w:val="1"/>
              <w:numId w:val="1"/>
            </w:numPr>
            <w:tabs>
              <w:tab w:pos="980" w:val="left" w:leader="none"/>
              <w:tab w:pos="981" w:val="left" w:leader="none"/>
              <w:tab w:pos="8935" w:val="right" w:leader="dot"/>
            </w:tabs>
            <w:spacing w:line="240" w:lineRule="auto" w:before="238" w:after="0"/>
            <w:ind w:left="981" w:right="0" w:hanging="661"/>
            <w:jc w:val="left"/>
            <w:rPr>
              <w:sz w:val="20"/>
            </w:rPr>
          </w:pPr>
          <w:hyperlink w:history="true" w:anchor="_bookmark109">
            <w:r>
              <w:rPr>
                <w:sz w:val="20"/>
              </w:rPr>
              <w:t>I</w:t>
            </w:r>
            <w:r>
              <w:rPr/>
              <w:t>NTRODUCCIÓN</w:t>
            </w:r>
            <w:r>
              <w:rPr>
                <w:spacing w:val="-1"/>
              </w:rPr>
              <w:t> </w:t>
            </w:r>
            <w:r>
              <w:rPr/>
              <w:t>DE CAPÍTULO</w:t>
            </w:r>
            <w:r>
              <w:rPr>
                <w:sz w:val="20"/>
              </w:rPr>
              <w:tab/>
              <w:t>124</w:t>
            </w:r>
          </w:hyperlink>
        </w:p>
        <w:p>
          <w:pPr>
            <w:pStyle w:val="TOC2"/>
            <w:numPr>
              <w:ilvl w:val="1"/>
              <w:numId w:val="1"/>
            </w:numPr>
            <w:tabs>
              <w:tab w:pos="980" w:val="left" w:leader="none"/>
              <w:tab w:pos="981" w:val="left" w:leader="none"/>
              <w:tab w:pos="8935" w:val="right" w:leader="dot"/>
            </w:tabs>
            <w:spacing w:line="240" w:lineRule="auto" w:before="114" w:after="0"/>
            <w:ind w:left="981" w:right="0" w:hanging="661"/>
            <w:jc w:val="left"/>
            <w:rPr>
              <w:sz w:val="20"/>
            </w:rPr>
          </w:pPr>
          <w:hyperlink w:history="true" w:anchor="_bookmark110">
            <w:r>
              <w:rPr>
                <w:sz w:val="20"/>
              </w:rPr>
              <w:t>C</w:t>
            </w:r>
            <w:r>
              <w:rPr/>
              <w:t>ONCEPTOS BÁSICOS</w:t>
            </w:r>
            <w:r>
              <w:rPr>
                <w:spacing w:val="1"/>
              </w:rPr>
              <w:t> </w:t>
            </w:r>
            <w:r>
              <w:rPr/>
              <w:t>DE</w:t>
            </w:r>
            <w:r>
              <w:rPr>
                <w:spacing w:val="2"/>
              </w:rPr>
              <w:t> </w:t>
            </w:r>
            <w:r>
              <w:rPr/>
              <w:t>SUSTENTABILIDAD</w:t>
            </w:r>
            <w:r>
              <w:rPr>
                <w:sz w:val="20"/>
              </w:rPr>
              <w:tab/>
              <w:t>124</w:t>
            </w:r>
          </w:hyperlink>
        </w:p>
        <w:p>
          <w:pPr>
            <w:pStyle w:val="TOC4"/>
            <w:numPr>
              <w:ilvl w:val="2"/>
              <w:numId w:val="1"/>
            </w:numPr>
            <w:tabs>
              <w:tab w:pos="1420" w:val="left" w:leader="none"/>
              <w:tab w:pos="1421" w:val="left" w:leader="none"/>
              <w:tab w:pos="8935" w:val="right" w:leader="dot"/>
            </w:tabs>
            <w:spacing w:line="240" w:lineRule="auto" w:before="114" w:after="0"/>
            <w:ind w:left="1421" w:right="0" w:hanging="881"/>
            <w:jc w:val="left"/>
            <w:rPr>
              <w:i/>
            </w:rPr>
          </w:pPr>
          <w:hyperlink w:history="true" w:anchor="_bookmark111">
            <w:r>
              <w:rPr>
                <w:i/>
              </w:rPr>
              <w:t>Desarrollo sustentable</w:t>
            </w:r>
            <w:r>
              <w:rPr>
                <w:i/>
                <w:spacing w:val="-1"/>
              </w:rPr>
              <w:t> </w:t>
            </w:r>
            <w:r>
              <w:rPr>
                <w:i/>
              </w:rPr>
              <w:t>o</w:t>
            </w:r>
            <w:r>
              <w:rPr>
                <w:i/>
                <w:spacing w:val="3"/>
              </w:rPr>
              <w:t> </w:t>
            </w:r>
            <w:r>
              <w:rPr>
                <w:i/>
              </w:rPr>
              <w:t>Sustentabilidad</w:t>
              <w:tab/>
              <w:t>124</w:t>
            </w:r>
          </w:hyperlink>
        </w:p>
        <w:p>
          <w:pPr>
            <w:pStyle w:val="TOC4"/>
            <w:numPr>
              <w:ilvl w:val="2"/>
              <w:numId w:val="1"/>
            </w:numPr>
            <w:tabs>
              <w:tab w:pos="1420" w:val="left" w:leader="none"/>
              <w:tab w:pos="1421" w:val="left" w:leader="none"/>
              <w:tab w:pos="8935" w:val="right" w:leader="dot"/>
            </w:tabs>
            <w:spacing w:line="240" w:lineRule="auto" w:before="118" w:after="0"/>
            <w:ind w:left="1421" w:right="0" w:hanging="881"/>
            <w:jc w:val="left"/>
            <w:rPr>
              <w:i/>
            </w:rPr>
          </w:pPr>
          <w:hyperlink w:history="true" w:anchor="_bookmark114">
            <w:r>
              <w:rPr>
                <w:i/>
              </w:rPr>
              <w:t>Eco-Diseño</w:t>
              <w:tab/>
              <w:t>126</w:t>
            </w:r>
          </w:hyperlink>
        </w:p>
        <w:p>
          <w:pPr>
            <w:pStyle w:val="TOC4"/>
            <w:numPr>
              <w:ilvl w:val="2"/>
              <w:numId w:val="1"/>
            </w:numPr>
            <w:tabs>
              <w:tab w:pos="1420" w:val="left" w:leader="none"/>
              <w:tab w:pos="1421" w:val="left" w:leader="none"/>
              <w:tab w:pos="8935" w:val="right" w:leader="dot"/>
            </w:tabs>
            <w:spacing w:line="240" w:lineRule="auto" w:before="114" w:after="0"/>
            <w:ind w:left="1421" w:right="0" w:hanging="881"/>
            <w:jc w:val="left"/>
            <w:rPr>
              <w:i/>
            </w:rPr>
          </w:pPr>
          <w:hyperlink w:history="true" w:anchor="_bookmark117">
            <w:r>
              <w:rPr>
                <w:i/>
              </w:rPr>
              <w:t>Eco-Rediseño</w:t>
              <w:tab/>
              <w:t>131</w:t>
            </w:r>
          </w:hyperlink>
        </w:p>
        <w:p>
          <w:pPr>
            <w:pStyle w:val="TOC4"/>
            <w:numPr>
              <w:ilvl w:val="2"/>
              <w:numId w:val="1"/>
            </w:numPr>
            <w:tabs>
              <w:tab w:pos="1420" w:val="left" w:leader="none"/>
              <w:tab w:pos="1421" w:val="left" w:leader="none"/>
              <w:tab w:pos="8935" w:val="right" w:leader="dot"/>
            </w:tabs>
            <w:spacing w:line="240" w:lineRule="auto" w:before="114" w:after="0"/>
            <w:ind w:left="1421" w:right="0" w:hanging="881"/>
            <w:jc w:val="left"/>
            <w:rPr>
              <w:i/>
            </w:rPr>
          </w:pPr>
          <w:hyperlink w:history="true" w:anchor="_bookmark118">
            <w:r>
              <w:rPr>
                <w:i/>
              </w:rPr>
              <w:t>Diseño</w:t>
            </w:r>
            <w:r>
              <w:rPr>
                <w:i/>
                <w:spacing w:val="-1"/>
              </w:rPr>
              <w:t> </w:t>
            </w:r>
            <w:r>
              <w:rPr>
                <w:i/>
              </w:rPr>
              <w:t>Sustentable</w:t>
              <w:tab/>
              <w:t>132</w:t>
            </w:r>
          </w:hyperlink>
        </w:p>
        <w:p>
          <w:pPr>
            <w:pStyle w:val="TOC2"/>
            <w:numPr>
              <w:ilvl w:val="1"/>
              <w:numId w:val="1"/>
            </w:numPr>
            <w:tabs>
              <w:tab w:pos="980" w:val="left" w:leader="none"/>
              <w:tab w:pos="981" w:val="left" w:leader="none"/>
              <w:tab w:pos="8935" w:val="right" w:leader="dot"/>
            </w:tabs>
            <w:spacing w:line="240" w:lineRule="auto" w:before="114" w:after="0"/>
            <w:ind w:left="981" w:right="0" w:hanging="661"/>
            <w:jc w:val="left"/>
            <w:rPr>
              <w:sz w:val="20"/>
            </w:rPr>
          </w:pPr>
          <w:hyperlink w:history="true" w:anchor="_bookmark120">
            <w:r>
              <w:rPr>
                <w:sz w:val="20"/>
              </w:rPr>
              <w:t>C</w:t>
            </w:r>
            <w:r>
              <w:rPr/>
              <w:t>ONCEPTO DE </w:t>
            </w:r>
            <w:r>
              <w:rPr>
                <w:sz w:val="20"/>
              </w:rPr>
              <w:t>A</w:t>
            </w:r>
            <w:r>
              <w:rPr/>
              <w:t>NÁLISIS DE </w:t>
            </w:r>
            <w:r>
              <w:rPr>
                <w:sz w:val="20"/>
              </w:rPr>
              <w:t>C</w:t>
            </w:r>
            <w:r>
              <w:rPr/>
              <w:t>ICLO</w:t>
            </w:r>
            <w:r>
              <w:rPr>
                <w:spacing w:val="1"/>
              </w:rPr>
              <w:t> </w:t>
            </w:r>
            <w:r>
              <w:rPr/>
              <w:t>DE </w:t>
            </w:r>
            <w:r>
              <w:rPr>
                <w:sz w:val="20"/>
              </w:rPr>
              <w:t>V</w:t>
            </w:r>
            <w:r>
              <w:rPr/>
              <w:t>IDA</w:t>
            </w:r>
            <w:r>
              <w:rPr>
                <w:sz w:val="20"/>
              </w:rPr>
              <w:tab/>
              <w:t>134</w:t>
            </w:r>
          </w:hyperlink>
        </w:p>
        <w:p>
          <w:pPr>
            <w:pStyle w:val="TOC4"/>
            <w:numPr>
              <w:ilvl w:val="2"/>
              <w:numId w:val="1"/>
            </w:numPr>
            <w:tabs>
              <w:tab w:pos="1420" w:val="left" w:leader="none"/>
              <w:tab w:pos="1421" w:val="left" w:leader="none"/>
              <w:tab w:pos="8935" w:val="right" w:leader="dot"/>
            </w:tabs>
            <w:spacing w:line="240" w:lineRule="auto" w:before="118" w:after="0"/>
            <w:ind w:left="1421" w:right="0" w:hanging="881"/>
            <w:jc w:val="left"/>
            <w:rPr>
              <w:i/>
            </w:rPr>
          </w:pPr>
          <w:hyperlink w:history="true" w:anchor="_bookmark121">
            <w:r>
              <w:rPr>
                <w:i/>
              </w:rPr>
              <w:t>Aplicaciones</w:t>
            </w:r>
            <w:r>
              <w:rPr>
                <w:i/>
                <w:spacing w:val="-1"/>
              </w:rPr>
              <w:t> </w:t>
            </w:r>
            <w:r>
              <w:rPr>
                <w:i/>
              </w:rPr>
              <w:t>del</w:t>
            </w:r>
            <w:r>
              <w:rPr>
                <w:i/>
                <w:spacing w:val="-1"/>
              </w:rPr>
              <w:t> </w:t>
            </w:r>
            <w:r>
              <w:rPr>
                <w:i/>
              </w:rPr>
              <w:t>ACV</w:t>
              <w:tab/>
              <w:t>136</w:t>
            </w:r>
          </w:hyperlink>
        </w:p>
        <w:p>
          <w:pPr>
            <w:pStyle w:val="TOC4"/>
            <w:numPr>
              <w:ilvl w:val="2"/>
              <w:numId w:val="1"/>
            </w:numPr>
            <w:tabs>
              <w:tab w:pos="1420" w:val="left" w:leader="none"/>
              <w:tab w:pos="1421" w:val="left" w:leader="none"/>
              <w:tab w:pos="8935" w:val="right" w:leader="dot"/>
            </w:tabs>
            <w:spacing w:line="240" w:lineRule="auto" w:before="114" w:after="0"/>
            <w:ind w:left="1421" w:right="0" w:hanging="881"/>
            <w:jc w:val="left"/>
            <w:rPr>
              <w:i/>
            </w:rPr>
          </w:pPr>
          <w:hyperlink w:history="true" w:anchor="_bookmark122">
            <w:r>
              <w:rPr>
                <w:i/>
              </w:rPr>
              <w:t>Etapas</w:t>
            </w:r>
            <w:r>
              <w:rPr>
                <w:i/>
                <w:spacing w:val="-1"/>
              </w:rPr>
              <w:t> </w:t>
            </w:r>
            <w:r>
              <w:rPr>
                <w:i/>
              </w:rPr>
              <w:t>del</w:t>
            </w:r>
            <w:r>
              <w:rPr>
                <w:i/>
                <w:spacing w:val="-1"/>
              </w:rPr>
              <w:t> </w:t>
            </w:r>
            <w:r>
              <w:rPr>
                <w:i/>
              </w:rPr>
              <w:t>ACV</w:t>
              <w:tab/>
              <w:t>138</w:t>
            </w:r>
          </w:hyperlink>
        </w:p>
        <w:p>
          <w:pPr>
            <w:pStyle w:val="TOC4"/>
            <w:numPr>
              <w:ilvl w:val="2"/>
              <w:numId w:val="1"/>
            </w:numPr>
            <w:tabs>
              <w:tab w:pos="1420" w:val="left" w:leader="none"/>
              <w:tab w:pos="1421" w:val="left" w:leader="none"/>
              <w:tab w:pos="8935" w:val="right" w:leader="dot"/>
            </w:tabs>
            <w:spacing w:line="240" w:lineRule="auto" w:before="114" w:after="0"/>
            <w:ind w:left="1421" w:right="0" w:hanging="881"/>
            <w:jc w:val="left"/>
            <w:rPr>
              <w:i/>
            </w:rPr>
          </w:pPr>
          <w:hyperlink w:history="true" w:anchor="_bookmark124">
            <w:r>
              <w:rPr>
                <w:i/>
              </w:rPr>
              <w:t>Objetivo de estudio del Análisis de Ciclo de Vida</w:t>
            </w:r>
            <w:r>
              <w:rPr>
                <w:i/>
                <w:spacing w:val="-3"/>
              </w:rPr>
              <w:t> </w:t>
            </w:r>
            <w:r>
              <w:rPr>
                <w:i/>
              </w:rPr>
              <w:t>y</w:t>
            </w:r>
            <w:r>
              <w:rPr>
                <w:i/>
                <w:spacing w:val="-1"/>
              </w:rPr>
              <w:t> </w:t>
            </w:r>
            <w:r>
              <w:rPr>
                <w:i/>
              </w:rPr>
              <w:t>alcance</w:t>
              <w:tab/>
              <w:t>139</w:t>
            </w:r>
          </w:hyperlink>
        </w:p>
        <w:p>
          <w:pPr>
            <w:pStyle w:val="TOC4"/>
            <w:numPr>
              <w:ilvl w:val="2"/>
              <w:numId w:val="1"/>
            </w:numPr>
            <w:tabs>
              <w:tab w:pos="1420" w:val="left" w:leader="none"/>
              <w:tab w:pos="1421" w:val="left" w:leader="none"/>
              <w:tab w:pos="8935" w:val="right" w:leader="dot"/>
            </w:tabs>
            <w:spacing w:line="240" w:lineRule="auto" w:before="114" w:after="0"/>
            <w:ind w:left="1421" w:right="0" w:hanging="881"/>
            <w:jc w:val="left"/>
            <w:rPr>
              <w:i/>
            </w:rPr>
          </w:pPr>
          <w:hyperlink w:history="true" w:anchor="_bookmark126">
            <w:r>
              <w:rPr>
                <w:i/>
              </w:rPr>
              <w:t>Análisis de inventario de Ciclo</w:t>
            </w:r>
            <w:r>
              <w:rPr>
                <w:i/>
                <w:spacing w:val="2"/>
              </w:rPr>
              <w:t> </w:t>
            </w:r>
            <w:r>
              <w:rPr>
                <w:i/>
              </w:rPr>
              <w:t>de</w:t>
            </w:r>
            <w:r>
              <w:rPr>
                <w:i/>
                <w:spacing w:val="-1"/>
              </w:rPr>
              <w:t> </w:t>
            </w:r>
            <w:r>
              <w:rPr>
                <w:i/>
              </w:rPr>
              <w:t>Vida</w:t>
              <w:tab/>
              <w:t>141</w:t>
            </w:r>
          </w:hyperlink>
        </w:p>
        <w:p>
          <w:pPr>
            <w:pStyle w:val="TOC4"/>
            <w:numPr>
              <w:ilvl w:val="2"/>
              <w:numId w:val="1"/>
            </w:numPr>
            <w:tabs>
              <w:tab w:pos="1420" w:val="left" w:leader="none"/>
              <w:tab w:pos="1421" w:val="left" w:leader="none"/>
              <w:tab w:pos="8935" w:val="right" w:leader="dot"/>
            </w:tabs>
            <w:spacing w:line="240" w:lineRule="auto" w:before="118" w:after="0"/>
            <w:ind w:left="1421" w:right="0" w:hanging="881"/>
            <w:jc w:val="left"/>
            <w:rPr>
              <w:i/>
            </w:rPr>
          </w:pPr>
          <w:hyperlink w:history="true" w:anchor="_bookmark127">
            <w:r>
              <w:rPr>
                <w:i/>
              </w:rPr>
              <w:t>Evaluación de Impacto de Ciclo de Vida. Cálculo</w:t>
            </w:r>
            <w:r>
              <w:rPr>
                <w:i/>
                <w:spacing w:val="-4"/>
              </w:rPr>
              <w:t> </w:t>
            </w:r>
            <w:r>
              <w:rPr>
                <w:i/>
              </w:rPr>
              <w:t>de</w:t>
            </w:r>
            <w:r>
              <w:rPr>
                <w:i/>
                <w:spacing w:val="-1"/>
              </w:rPr>
              <w:t> </w:t>
            </w:r>
            <w:r>
              <w:rPr>
                <w:i/>
              </w:rPr>
              <w:t>Indicadores</w:t>
              <w:tab/>
              <w:t>144</w:t>
            </w:r>
          </w:hyperlink>
        </w:p>
        <w:p>
          <w:pPr>
            <w:pStyle w:val="TOC4"/>
            <w:numPr>
              <w:ilvl w:val="2"/>
              <w:numId w:val="1"/>
            </w:numPr>
            <w:tabs>
              <w:tab w:pos="1420" w:val="left" w:leader="none"/>
              <w:tab w:pos="1421" w:val="left" w:leader="none"/>
              <w:tab w:pos="8935" w:val="right" w:leader="dot"/>
            </w:tabs>
            <w:spacing w:line="240" w:lineRule="auto" w:before="114" w:after="0"/>
            <w:ind w:left="1421" w:right="0" w:hanging="881"/>
            <w:jc w:val="left"/>
            <w:rPr>
              <w:i/>
            </w:rPr>
          </w:pPr>
          <w:hyperlink w:history="true" w:anchor="_bookmark128">
            <w:r>
              <w:rPr>
                <w:i/>
              </w:rPr>
              <w:t>Metodologías básicas para evaluar</w:t>
            </w:r>
            <w:r>
              <w:rPr>
                <w:i/>
                <w:spacing w:val="-4"/>
              </w:rPr>
              <w:t> </w:t>
            </w:r>
            <w:r>
              <w:rPr>
                <w:i/>
              </w:rPr>
              <w:t>impacto ambiental</w:t>
              <w:tab/>
              <w:t>147</w:t>
            </w:r>
          </w:hyperlink>
        </w:p>
        <w:p>
          <w:pPr>
            <w:pStyle w:val="TOC2"/>
            <w:numPr>
              <w:ilvl w:val="1"/>
              <w:numId w:val="1"/>
            </w:numPr>
            <w:tabs>
              <w:tab w:pos="980" w:val="left" w:leader="none"/>
              <w:tab w:pos="981" w:val="left" w:leader="none"/>
              <w:tab w:pos="8935" w:val="right" w:leader="dot"/>
            </w:tabs>
            <w:spacing w:line="240" w:lineRule="auto" w:before="114" w:after="0"/>
            <w:ind w:left="981" w:right="0" w:hanging="661"/>
            <w:jc w:val="left"/>
            <w:rPr>
              <w:sz w:val="20"/>
            </w:rPr>
          </w:pPr>
          <w:hyperlink w:history="true" w:anchor="_bookmark131">
            <w:r>
              <w:rPr>
                <w:sz w:val="20"/>
              </w:rPr>
              <w:t>C</w:t>
            </w:r>
            <w:r>
              <w:rPr/>
              <w:t>ONCLUSIONES DE CONCEPTOS BÁSICOS</w:t>
            </w:r>
            <w:r>
              <w:rPr>
                <w:spacing w:val="2"/>
              </w:rPr>
              <w:t> </w:t>
            </w:r>
            <w:r>
              <w:rPr/>
              <w:t>DE SUSTENTABILIDAD</w:t>
            </w:r>
            <w:r>
              <w:rPr>
                <w:sz w:val="20"/>
              </w:rPr>
              <w:tab/>
              <w:t>153</w:t>
            </w:r>
          </w:hyperlink>
        </w:p>
        <w:p>
          <w:pPr>
            <w:pStyle w:val="TOC1"/>
            <w:numPr>
              <w:ilvl w:val="0"/>
              <w:numId w:val="1"/>
            </w:numPr>
            <w:tabs>
              <w:tab w:pos="540" w:val="left" w:leader="none"/>
              <w:tab w:pos="541" w:val="left" w:leader="none"/>
              <w:tab w:pos="8935" w:val="right" w:leader="dot"/>
            </w:tabs>
            <w:spacing w:line="240" w:lineRule="auto" w:before="230" w:after="0"/>
            <w:ind w:left="540" w:right="0" w:hanging="440"/>
            <w:jc w:val="left"/>
          </w:pPr>
          <w:hyperlink w:history="true" w:anchor="_bookmark132">
            <w:r>
              <w:rPr/>
              <w:t>LCA EN</w:t>
            </w:r>
            <w:r>
              <w:rPr>
                <w:spacing w:val="-3"/>
              </w:rPr>
              <w:t> </w:t>
            </w:r>
            <w:r>
              <w:rPr/>
              <w:t>IMPRESIÓN</w:t>
            </w:r>
            <w:r>
              <w:rPr>
                <w:spacing w:val="-1"/>
              </w:rPr>
              <w:t> </w:t>
            </w:r>
            <w:r>
              <w:rPr/>
              <w:t>3D</w:t>
              <w:tab/>
              <w:t>156</w:t>
            </w:r>
          </w:hyperlink>
        </w:p>
        <w:p>
          <w:pPr>
            <w:pStyle w:val="TOC2"/>
            <w:numPr>
              <w:ilvl w:val="1"/>
              <w:numId w:val="1"/>
            </w:numPr>
            <w:tabs>
              <w:tab w:pos="980" w:val="left" w:leader="none"/>
              <w:tab w:pos="981" w:val="left" w:leader="none"/>
              <w:tab w:pos="8935" w:val="right" w:leader="dot"/>
            </w:tabs>
            <w:spacing w:line="240" w:lineRule="auto" w:before="242" w:after="0"/>
            <w:ind w:left="981" w:right="0" w:hanging="661"/>
            <w:jc w:val="left"/>
            <w:rPr>
              <w:sz w:val="20"/>
            </w:rPr>
          </w:pPr>
          <w:hyperlink w:history="true" w:anchor="_bookmark133">
            <w:r>
              <w:rPr>
                <w:sz w:val="20"/>
              </w:rPr>
              <w:t>I</w:t>
            </w:r>
            <w:r>
              <w:rPr/>
              <w:t>NTRODUCCIÓN</w:t>
            </w:r>
            <w:r>
              <w:rPr>
                <w:spacing w:val="-1"/>
              </w:rPr>
              <w:t> </w:t>
            </w:r>
            <w:r>
              <w:rPr/>
              <w:t>DE CAPÍTULO</w:t>
            </w:r>
            <w:r>
              <w:rPr>
                <w:sz w:val="20"/>
              </w:rPr>
              <w:tab/>
              <w:t>157</w:t>
            </w:r>
          </w:hyperlink>
        </w:p>
        <w:p>
          <w:pPr>
            <w:pStyle w:val="TOC3"/>
            <w:numPr>
              <w:ilvl w:val="1"/>
              <w:numId w:val="1"/>
            </w:numPr>
            <w:tabs>
              <w:tab w:pos="980" w:val="left" w:leader="none"/>
              <w:tab w:pos="981" w:val="left" w:leader="none"/>
              <w:tab w:pos="8935" w:val="right" w:leader="dot"/>
            </w:tabs>
            <w:spacing w:line="240" w:lineRule="auto" w:before="114" w:after="0"/>
            <w:ind w:left="981" w:right="0" w:hanging="661"/>
            <w:jc w:val="left"/>
            <w:rPr>
              <w:b w:val="0"/>
              <w:i w:val="0"/>
              <w:sz w:val="20"/>
            </w:rPr>
          </w:pPr>
          <w:hyperlink w:history="true" w:anchor="_bookmark134">
            <w:r>
              <w:rPr>
                <w:b w:val="0"/>
                <w:i w:val="0"/>
                <w:sz w:val="20"/>
              </w:rPr>
              <w:t>ACV </w:t>
            </w:r>
            <w:r>
              <w:rPr>
                <w:b w:val="0"/>
                <w:i w:val="0"/>
                <w:sz w:val="16"/>
              </w:rPr>
              <w:t>EN</w:t>
            </w:r>
            <w:r>
              <w:rPr>
                <w:b w:val="0"/>
                <w:i w:val="0"/>
                <w:spacing w:val="-12"/>
                <w:sz w:val="16"/>
              </w:rPr>
              <w:t> </w:t>
            </w:r>
            <w:r>
              <w:rPr>
                <w:b w:val="0"/>
                <w:i w:val="0"/>
                <w:sz w:val="16"/>
              </w:rPr>
              <w:t>IMPRESIÓN </w:t>
            </w:r>
            <w:r>
              <w:rPr>
                <w:b w:val="0"/>
                <w:i w:val="0"/>
                <w:sz w:val="20"/>
              </w:rPr>
              <w:t>3D</w:t>
              <w:tab/>
              <w:t>157</w:t>
            </w:r>
          </w:hyperlink>
        </w:p>
        <w:p>
          <w:pPr>
            <w:pStyle w:val="TOC3"/>
            <w:numPr>
              <w:ilvl w:val="1"/>
              <w:numId w:val="1"/>
            </w:numPr>
            <w:tabs>
              <w:tab w:pos="980" w:val="left" w:leader="none"/>
              <w:tab w:pos="981" w:val="left" w:leader="none"/>
              <w:tab w:pos="8935" w:val="right" w:leader="dot"/>
            </w:tabs>
            <w:spacing w:line="240" w:lineRule="auto" w:before="114" w:after="0"/>
            <w:ind w:left="981" w:right="0" w:hanging="661"/>
            <w:jc w:val="left"/>
            <w:rPr>
              <w:b w:val="0"/>
              <w:i w:val="0"/>
              <w:sz w:val="20"/>
            </w:rPr>
          </w:pPr>
          <w:hyperlink w:history="true" w:anchor="_bookmark139">
            <w:r>
              <w:rPr>
                <w:b w:val="0"/>
                <w:i w:val="0"/>
                <w:sz w:val="20"/>
              </w:rPr>
              <w:t>¿Q</w:t>
            </w:r>
            <w:r>
              <w:rPr>
                <w:b w:val="0"/>
                <w:i w:val="0"/>
                <w:sz w:val="16"/>
              </w:rPr>
              <w:t>UÉ ES  ÁCIDO</w:t>
            </w:r>
            <w:r>
              <w:rPr>
                <w:b w:val="0"/>
                <w:i w:val="0"/>
                <w:spacing w:val="-1"/>
                <w:sz w:val="16"/>
              </w:rPr>
              <w:t> </w:t>
            </w:r>
            <w:r>
              <w:rPr>
                <w:b w:val="0"/>
                <w:i w:val="0"/>
                <w:sz w:val="16"/>
              </w:rPr>
              <w:t>POLILÁCTICO</w:t>
            </w:r>
            <w:r>
              <w:rPr>
                <w:b w:val="0"/>
                <w:i w:val="0"/>
                <w:spacing w:val="-2"/>
                <w:sz w:val="16"/>
              </w:rPr>
              <w:t> </w:t>
            </w:r>
            <w:r>
              <w:rPr>
                <w:b w:val="0"/>
                <w:i w:val="0"/>
                <w:sz w:val="20"/>
              </w:rPr>
              <w:t>(PLA)?</w:t>
              <w:tab/>
              <w:t>165</w:t>
            </w:r>
          </w:hyperlink>
        </w:p>
        <w:p>
          <w:pPr>
            <w:pStyle w:val="TOC4"/>
            <w:numPr>
              <w:ilvl w:val="2"/>
              <w:numId w:val="1"/>
            </w:numPr>
            <w:tabs>
              <w:tab w:pos="1420" w:val="left" w:leader="none"/>
              <w:tab w:pos="1421" w:val="left" w:leader="none"/>
              <w:tab w:pos="8935" w:val="right" w:leader="dot"/>
            </w:tabs>
            <w:spacing w:line="240" w:lineRule="auto" w:before="114" w:after="0"/>
            <w:ind w:left="1421" w:right="0" w:hanging="881"/>
            <w:jc w:val="left"/>
            <w:rPr>
              <w:i/>
            </w:rPr>
          </w:pPr>
          <w:hyperlink w:history="true" w:anchor="_bookmark141">
            <w:r>
              <w:rPr>
                <w:i/>
              </w:rPr>
              <w:t>PLA para</w:t>
            </w:r>
            <w:r>
              <w:rPr>
                <w:i/>
                <w:spacing w:val="-3"/>
              </w:rPr>
              <w:t> </w:t>
            </w:r>
            <w:r>
              <w:rPr>
                <w:i/>
              </w:rPr>
              <w:t>impresión</w:t>
            </w:r>
            <w:r>
              <w:rPr>
                <w:i/>
                <w:spacing w:val="-1"/>
              </w:rPr>
              <w:t> </w:t>
            </w:r>
            <w:r>
              <w:rPr>
                <w:i/>
              </w:rPr>
              <w:t>3D</w:t>
              <w:tab/>
              <w:t>169</w:t>
            </w:r>
          </w:hyperlink>
        </w:p>
        <w:p>
          <w:pPr>
            <w:pStyle w:val="TOC4"/>
            <w:numPr>
              <w:ilvl w:val="2"/>
              <w:numId w:val="1"/>
            </w:numPr>
            <w:tabs>
              <w:tab w:pos="1420" w:val="left" w:leader="none"/>
              <w:tab w:pos="1421" w:val="left" w:leader="none"/>
              <w:tab w:pos="8935" w:val="right" w:leader="dot"/>
            </w:tabs>
            <w:spacing w:line="240" w:lineRule="auto" w:before="118" w:after="0"/>
            <w:ind w:left="1421" w:right="0" w:hanging="881"/>
            <w:jc w:val="left"/>
            <w:rPr>
              <w:i/>
            </w:rPr>
          </w:pPr>
          <w:hyperlink w:history="true" w:anchor="_bookmark144">
            <w:r>
              <w:rPr>
                <w:i/>
              </w:rPr>
              <w:t>ACV</w:t>
            </w:r>
            <w:r>
              <w:rPr>
                <w:i/>
                <w:spacing w:val="-2"/>
              </w:rPr>
              <w:t> </w:t>
            </w:r>
            <w:r>
              <w:rPr>
                <w:i/>
              </w:rPr>
              <w:t>de PLA</w:t>
              <w:tab/>
              <w:t>171</w:t>
            </w:r>
          </w:hyperlink>
        </w:p>
        <w:p>
          <w:pPr>
            <w:pStyle w:val="TOC3"/>
            <w:numPr>
              <w:ilvl w:val="1"/>
              <w:numId w:val="1"/>
            </w:numPr>
            <w:tabs>
              <w:tab w:pos="980" w:val="left" w:leader="none"/>
              <w:tab w:pos="981" w:val="left" w:leader="none"/>
              <w:tab w:pos="8935" w:val="right" w:leader="dot"/>
            </w:tabs>
            <w:spacing w:line="240" w:lineRule="auto" w:before="114" w:after="0"/>
            <w:ind w:left="981" w:right="0" w:hanging="661"/>
            <w:jc w:val="left"/>
            <w:rPr>
              <w:b w:val="0"/>
              <w:i w:val="0"/>
              <w:sz w:val="20"/>
            </w:rPr>
          </w:pPr>
          <w:hyperlink w:history="true" w:anchor="_bookmark147">
            <w:r>
              <w:rPr>
                <w:b w:val="0"/>
                <w:i w:val="0"/>
                <w:sz w:val="20"/>
              </w:rPr>
              <w:t>C</w:t>
            </w:r>
            <w:r>
              <w:rPr>
                <w:b w:val="0"/>
                <w:i w:val="0"/>
                <w:sz w:val="16"/>
              </w:rPr>
              <w:t>ONCLUSIONES DE </w:t>
            </w:r>
            <w:r>
              <w:rPr>
                <w:b w:val="0"/>
                <w:i w:val="0"/>
                <w:sz w:val="20"/>
              </w:rPr>
              <w:t>ACV </w:t>
            </w:r>
            <w:r>
              <w:rPr>
                <w:b w:val="0"/>
                <w:i w:val="0"/>
                <w:sz w:val="16"/>
              </w:rPr>
              <w:t>EN</w:t>
            </w:r>
            <w:r>
              <w:rPr>
                <w:b w:val="0"/>
                <w:i w:val="0"/>
                <w:spacing w:val="-9"/>
                <w:sz w:val="16"/>
              </w:rPr>
              <w:t> </w:t>
            </w:r>
            <w:r>
              <w:rPr>
                <w:b w:val="0"/>
                <w:i w:val="0"/>
                <w:sz w:val="16"/>
              </w:rPr>
              <w:t>IMPRESIÓN </w:t>
            </w:r>
            <w:r>
              <w:rPr>
                <w:b w:val="0"/>
                <w:i w:val="0"/>
                <w:sz w:val="20"/>
              </w:rPr>
              <w:t>3D</w:t>
              <w:tab/>
              <w:t>174</w:t>
            </w:r>
          </w:hyperlink>
        </w:p>
        <w:p>
          <w:pPr>
            <w:pStyle w:val="TOC1"/>
            <w:numPr>
              <w:ilvl w:val="0"/>
              <w:numId w:val="1"/>
            </w:numPr>
            <w:tabs>
              <w:tab w:pos="540" w:val="left" w:leader="none"/>
              <w:tab w:pos="541" w:val="left" w:leader="none"/>
              <w:tab w:pos="8935" w:val="right" w:leader="dot"/>
            </w:tabs>
            <w:spacing w:line="360" w:lineRule="auto" w:before="230" w:after="0"/>
            <w:ind w:left="100" w:right="117" w:firstLine="0"/>
            <w:jc w:val="left"/>
          </w:pPr>
          <w:hyperlink w:history="true" w:anchor="_bookmark148">
            <w:r>
              <w:rPr/>
              <w:t>CASO DE ESTUDIO: ANÁLISIS COMPARATIVO DE DOS FORMAS DE FABRICACIÓN DE</w:t>
            </w:r>
          </w:hyperlink>
          <w:r>
            <w:rPr/>
            <w:t> </w:t>
          </w:r>
          <w:hyperlink w:history="true" w:anchor="_bookmark148">
            <w:r>
              <w:rPr/>
              <w:t>UNA BANDA DE MOEBIUS, CON</w:t>
            </w:r>
            <w:r>
              <w:rPr>
                <w:spacing w:val="-8"/>
              </w:rPr>
              <w:t> </w:t>
            </w:r>
            <w:r>
              <w:rPr/>
              <w:t>ENFOQUE</w:t>
            </w:r>
            <w:r>
              <w:rPr>
                <w:spacing w:val="-2"/>
              </w:rPr>
              <w:t> </w:t>
            </w:r>
            <w:r>
              <w:rPr/>
              <w:t>SUSTENTABLE</w:t>
              <w:tab/>
              <w:t>176</w:t>
            </w:r>
          </w:hyperlink>
        </w:p>
        <w:p>
          <w:pPr>
            <w:pStyle w:val="TOC2"/>
            <w:numPr>
              <w:ilvl w:val="1"/>
              <w:numId w:val="1"/>
            </w:numPr>
            <w:tabs>
              <w:tab w:pos="980" w:val="left" w:leader="none"/>
              <w:tab w:pos="981" w:val="left" w:leader="none"/>
              <w:tab w:pos="8935" w:val="right" w:leader="dot"/>
            </w:tabs>
            <w:spacing w:line="240" w:lineRule="auto" w:before="131" w:after="0"/>
            <w:ind w:left="981" w:right="0" w:hanging="661"/>
            <w:jc w:val="left"/>
            <w:rPr>
              <w:sz w:val="20"/>
            </w:rPr>
          </w:pPr>
          <w:hyperlink w:history="true" w:anchor="_bookmark149">
            <w:r>
              <w:rPr>
                <w:sz w:val="20"/>
              </w:rPr>
              <w:t>I</w:t>
            </w:r>
            <w:r>
              <w:rPr/>
              <w:t>NTRODUCCIÓN</w:t>
            </w:r>
            <w:r>
              <w:rPr>
                <w:spacing w:val="-1"/>
              </w:rPr>
              <w:t> </w:t>
            </w:r>
            <w:r>
              <w:rPr/>
              <w:t>DE CAPÍTULO</w:t>
            </w:r>
            <w:r>
              <w:rPr>
                <w:sz w:val="20"/>
              </w:rPr>
              <w:tab/>
              <w:t>177</w:t>
            </w:r>
          </w:hyperlink>
        </w:p>
        <w:p>
          <w:pPr>
            <w:pStyle w:val="TOC3"/>
            <w:numPr>
              <w:ilvl w:val="1"/>
              <w:numId w:val="1"/>
            </w:numPr>
            <w:tabs>
              <w:tab w:pos="980" w:val="left" w:leader="none"/>
              <w:tab w:pos="981" w:val="left" w:leader="none"/>
              <w:tab w:pos="8935" w:val="right" w:leader="dot"/>
            </w:tabs>
            <w:spacing w:line="240" w:lineRule="auto" w:before="114" w:after="0"/>
            <w:ind w:left="981" w:right="0" w:hanging="661"/>
            <w:jc w:val="left"/>
            <w:rPr>
              <w:b w:val="0"/>
              <w:i w:val="0"/>
              <w:sz w:val="20"/>
            </w:rPr>
          </w:pPr>
          <w:hyperlink w:history="true" w:anchor="_bookmark150">
            <w:r>
              <w:rPr>
                <w:b w:val="0"/>
                <w:i w:val="0"/>
                <w:sz w:val="20"/>
              </w:rPr>
              <w:t>C</w:t>
            </w:r>
            <w:r>
              <w:rPr>
                <w:b w:val="0"/>
                <w:i w:val="0"/>
                <w:sz w:val="16"/>
              </w:rPr>
              <w:t>ASO</w:t>
            </w:r>
            <w:r>
              <w:rPr>
                <w:b w:val="0"/>
                <w:i w:val="0"/>
                <w:sz w:val="20"/>
              </w:rPr>
              <w:t>: B</w:t>
            </w:r>
            <w:r>
              <w:rPr>
                <w:b w:val="0"/>
                <w:i w:val="0"/>
                <w:sz w:val="16"/>
              </w:rPr>
              <w:t>ANDA</w:t>
            </w:r>
            <w:r>
              <w:rPr>
                <w:b w:val="0"/>
                <w:i w:val="0"/>
                <w:spacing w:val="-12"/>
                <w:sz w:val="16"/>
              </w:rPr>
              <w:t> </w:t>
            </w:r>
            <w:r>
              <w:rPr>
                <w:b w:val="0"/>
                <w:i w:val="0"/>
                <w:sz w:val="16"/>
              </w:rPr>
              <w:t>DE</w:t>
            </w:r>
            <w:r>
              <w:rPr>
                <w:b w:val="0"/>
                <w:i w:val="0"/>
                <w:spacing w:val="1"/>
                <w:sz w:val="16"/>
              </w:rPr>
              <w:t> </w:t>
            </w:r>
            <w:r>
              <w:rPr>
                <w:b w:val="0"/>
                <w:i w:val="0"/>
                <w:sz w:val="20"/>
              </w:rPr>
              <w:t>M</w:t>
            </w:r>
            <w:r>
              <w:rPr>
                <w:b w:val="0"/>
                <w:i w:val="0"/>
                <w:sz w:val="16"/>
              </w:rPr>
              <w:t>OEBIUS</w:t>
            </w:r>
            <w:r>
              <w:rPr>
                <w:b w:val="0"/>
                <w:i w:val="0"/>
                <w:sz w:val="20"/>
              </w:rPr>
              <w:tab/>
              <w:t>178</w:t>
            </w:r>
          </w:hyperlink>
        </w:p>
        <w:p>
          <w:pPr>
            <w:pStyle w:val="TOC4"/>
            <w:numPr>
              <w:ilvl w:val="2"/>
              <w:numId w:val="1"/>
            </w:numPr>
            <w:tabs>
              <w:tab w:pos="1420" w:val="left" w:leader="none"/>
              <w:tab w:pos="1421" w:val="left" w:leader="none"/>
              <w:tab w:pos="8935" w:val="right" w:leader="dot"/>
            </w:tabs>
            <w:spacing w:line="240" w:lineRule="auto" w:before="114" w:after="0"/>
            <w:ind w:left="1421" w:right="0" w:hanging="881"/>
            <w:jc w:val="left"/>
            <w:rPr>
              <w:i/>
            </w:rPr>
          </w:pPr>
          <w:hyperlink w:history="true" w:anchor="_bookmark151">
            <w:r>
              <w:rPr>
                <w:i/>
              </w:rPr>
              <w:t>La escultura Banda</w:t>
            </w:r>
            <w:r>
              <w:rPr>
                <w:i/>
                <w:spacing w:val="-1"/>
              </w:rPr>
              <w:t> </w:t>
            </w:r>
            <w:r>
              <w:rPr>
                <w:i/>
              </w:rPr>
              <w:t>de</w:t>
            </w:r>
            <w:r>
              <w:rPr>
                <w:i/>
                <w:spacing w:val="-1"/>
              </w:rPr>
              <w:t> </w:t>
            </w:r>
            <w:r>
              <w:rPr>
                <w:i/>
              </w:rPr>
              <w:t>Moebius</w:t>
              <w:tab/>
              <w:t>178</w:t>
            </w:r>
          </w:hyperlink>
        </w:p>
      </w:sdtContent>
    </w:sdt>
    <w:p>
      <w:pPr>
        <w:spacing w:after="0" w:line="240" w:lineRule="auto"/>
        <w:jc w:val="left"/>
        <w:sectPr>
          <w:pgSz w:w="12240" w:h="15840"/>
          <w:pgMar w:top="1360" w:bottom="280" w:left="1600" w:right="1580"/>
        </w:sectPr>
      </w:pPr>
    </w:p>
    <w:p>
      <w:pPr>
        <w:pStyle w:val="ListParagraph"/>
        <w:numPr>
          <w:ilvl w:val="2"/>
          <w:numId w:val="1"/>
        </w:numPr>
        <w:tabs>
          <w:tab w:pos="1420" w:val="left" w:leader="none"/>
          <w:tab w:pos="1421" w:val="left" w:leader="none"/>
          <w:tab w:pos="8935" w:val="right" w:leader="dot"/>
        </w:tabs>
        <w:spacing w:line="240" w:lineRule="auto" w:before="53" w:after="0"/>
        <w:ind w:left="1421" w:right="0" w:hanging="881"/>
        <w:jc w:val="left"/>
        <w:rPr>
          <w:i/>
          <w:sz w:val="20"/>
        </w:rPr>
      </w:pPr>
      <w:hyperlink w:history="true" w:anchor="_bookmark157">
        <w:r>
          <w:rPr>
            <w:i/>
            <w:sz w:val="20"/>
          </w:rPr>
          <w:t>Fabricación</w:t>
        </w:r>
        <w:r>
          <w:rPr>
            <w:i/>
            <w:spacing w:val="-1"/>
            <w:sz w:val="20"/>
          </w:rPr>
          <w:t> </w:t>
        </w:r>
        <w:r>
          <w:rPr>
            <w:i/>
            <w:sz w:val="20"/>
          </w:rPr>
          <w:t>en</w:t>
        </w:r>
        <w:r>
          <w:rPr>
            <w:i/>
            <w:spacing w:val="-1"/>
            <w:sz w:val="20"/>
          </w:rPr>
          <w:t> </w:t>
        </w:r>
        <w:r>
          <w:rPr>
            <w:i/>
            <w:sz w:val="20"/>
          </w:rPr>
          <w:t>FV</w:t>
          <w:tab/>
          <w:t>185</w:t>
        </w:r>
      </w:hyperlink>
    </w:p>
    <w:p>
      <w:pPr>
        <w:pStyle w:val="ListParagraph"/>
        <w:numPr>
          <w:ilvl w:val="2"/>
          <w:numId w:val="1"/>
        </w:numPr>
        <w:tabs>
          <w:tab w:pos="1420" w:val="left" w:leader="none"/>
          <w:tab w:pos="1421" w:val="left" w:leader="none"/>
          <w:tab w:pos="8935" w:val="right" w:leader="dot"/>
        </w:tabs>
        <w:spacing w:line="240" w:lineRule="auto" w:before="118" w:after="0"/>
        <w:ind w:left="1421" w:right="0" w:hanging="881"/>
        <w:jc w:val="left"/>
        <w:rPr>
          <w:i/>
          <w:sz w:val="20"/>
        </w:rPr>
      </w:pPr>
      <w:hyperlink w:history="true" w:anchor="_bookmark161">
        <w:r>
          <w:rPr>
            <w:i/>
            <w:sz w:val="20"/>
          </w:rPr>
          <w:t>Fabricación impresa en 3D</w:t>
        </w:r>
        <w:r>
          <w:rPr>
            <w:i/>
            <w:spacing w:val="-1"/>
            <w:sz w:val="20"/>
          </w:rPr>
          <w:t> </w:t>
        </w:r>
        <w:r>
          <w:rPr>
            <w:i/>
            <w:sz w:val="20"/>
          </w:rPr>
          <w:t>con</w:t>
        </w:r>
        <w:r>
          <w:rPr>
            <w:i/>
            <w:spacing w:val="-1"/>
            <w:sz w:val="20"/>
          </w:rPr>
          <w:t> </w:t>
        </w:r>
        <w:r>
          <w:rPr>
            <w:i/>
            <w:sz w:val="20"/>
          </w:rPr>
          <w:t>PLA</w:t>
          <w:tab/>
          <w:t>187</w:t>
        </w:r>
      </w:hyperlink>
    </w:p>
    <w:p>
      <w:pPr>
        <w:pStyle w:val="ListParagraph"/>
        <w:numPr>
          <w:ilvl w:val="1"/>
          <w:numId w:val="1"/>
        </w:numPr>
        <w:tabs>
          <w:tab w:pos="980" w:val="left" w:leader="none"/>
          <w:tab w:pos="981" w:val="left" w:leader="none"/>
          <w:tab w:pos="8935" w:val="right" w:leader="dot"/>
        </w:tabs>
        <w:spacing w:line="240" w:lineRule="auto" w:before="114" w:after="0"/>
        <w:ind w:left="981" w:right="0" w:hanging="661"/>
        <w:jc w:val="left"/>
        <w:rPr>
          <w:sz w:val="20"/>
        </w:rPr>
      </w:pPr>
      <w:hyperlink w:history="true" w:anchor="_bookmark167">
        <w:r>
          <w:rPr>
            <w:sz w:val="20"/>
          </w:rPr>
          <w:t>C</w:t>
        </w:r>
        <w:r>
          <w:rPr>
            <w:sz w:val="16"/>
          </w:rPr>
          <w:t>OMPARACIÓN DE COSTOS ENTRE </w:t>
        </w:r>
        <w:r>
          <w:rPr>
            <w:sz w:val="20"/>
          </w:rPr>
          <w:t>F</w:t>
        </w:r>
        <w:r>
          <w:rPr>
            <w:sz w:val="16"/>
          </w:rPr>
          <w:t>ABRICACIÓN DE </w:t>
        </w:r>
        <w:r>
          <w:rPr>
            <w:sz w:val="20"/>
          </w:rPr>
          <w:t>FV </w:t>
        </w:r>
        <w:r>
          <w:rPr>
            <w:sz w:val="16"/>
          </w:rPr>
          <w:t>E</w:t>
        </w:r>
        <w:r>
          <w:rPr>
            <w:spacing w:val="-10"/>
            <w:sz w:val="16"/>
          </w:rPr>
          <w:t> </w:t>
        </w:r>
        <w:r>
          <w:rPr>
            <w:sz w:val="16"/>
          </w:rPr>
          <w:t>IMPRESIÓN</w:t>
        </w:r>
        <w:r>
          <w:rPr>
            <w:spacing w:val="-1"/>
            <w:sz w:val="16"/>
          </w:rPr>
          <w:t> </w:t>
        </w:r>
        <w:r>
          <w:rPr>
            <w:sz w:val="20"/>
          </w:rPr>
          <w:t>3D-PLA</w:t>
          <w:tab/>
          <w:t>190</w:t>
        </w:r>
      </w:hyperlink>
    </w:p>
    <w:p>
      <w:pPr>
        <w:pStyle w:val="ListParagraph"/>
        <w:numPr>
          <w:ilvl w:val="1"/>
          <w:numId w:val="1"/>
        </w:numPr>
        <w:tabs>
          <w:tab w:pos="980" w:val="left" w:leader="none"/>
          <w:tab w:pos="981" w:val="left" w:leader="none"/>
          <w:tab w:pos="8935" w:val="right" w:leader="dot"/>
        </w:tabs>
        <w:spacing w:line="240" w:lineRule="auto" w:before="114" w:after="0"/>
        <w:ind w:left="981" w:right="0" w:hanging="661"/>
        <w:jc w:val="left"/>
        <w:rPr>
          <w:sz w:val="20"/>
        </w:rPr>
      </w:pPr>
      <w:hyperlink w:history="true" w:anchor="_bookmark171">
        <w:r>
          <w:rPr>
            <w:sz w:val="20"/>
          </w:rPr>
          <w:t>F</w:t>
        </w:r>
        <w:r>
          <w:rPr>
            <w:sz w:val="16"/>
          </w:rPr>
          <w:t>UNDAMENTOS DEL ANÁLISIS DE CICLO DE VIDA</w:t>
        </w:r>
        <w:r>
          <w:rPr>
            <w:sz w:val="20"/>
          </w:rPr>
          <w:tab/>
          <w:t>193</w:t>
        </w:r>
      </w:hyperlink>
    </w:p>
    <w:p>
      <w:pPr>
        <w:pStyle w:val="ListParagraph"/>
        <w:numPr>
          <w:ilvl w:val="2"/>
          <w:numId w:val="1"/>
        </w:numPr>
        <w:tabs>
          <w:tab w:pos="1420" w:val="left" w:leader="none"/>
          <w:tab w:pos="1421" w:val="left" w:leader="none"/>
          <w:tab w:pos="8935" w:val="right" w:leader="dot"/>
        </w:tabs>
        <w:spacing w:line="240" w:lineRule="auto" w:before="114" w:after="0"/>
        <w:ind w:left="1421" w:right="0" w:hanging="881"/>
        <w:jc w:val="left"/>
        <w:rPr>
          <w:i/>
          <w:sz w:val="20"/>
        </w:rPr>
      </w:pPr>
      <w:hyperlink w:history="true" w:anchor="_bookmark172">
        <w:r>
          <w:rPr>
            <w:i/>
            <w:sz w:val="20"/>
          </w:rPr>
          <w:t>Metodología</w:t>
          <w:tab/>
          <w:t>194</w:t>
        </w:r>
      </w:hyperlink>
    </w:p>
    <w:p>
      <w:pPr>
        <w:pStyle w:val="ListParagraph"/>
        <w:numPr>
          <w:ilvl w:val="2"/>
          <w:numId w:val="1"/>
        </w:numPr>
        <w:tabs>
          <w:tab w:pos="1420" w:val="left" w:leader="none"/>
          <w:tab w:pos="1421" w:val="left" w:leader="none"/>
          <w:tab w:pos="8935" w:val="right" w:leader="dot"/>
        </w:tabs>
        <w:spacing w:line="240" w:lineRule="auto" w:before="118" w:after="0"/>
        <w:ind w:left="1421" w:right="0" w:hanging="881"/>
        <w:jc w:val="left"/>
        <w:rPr>
          <w:i/>
          <w:sz w:val="20"/>
        </w:rPr>
      </w:pPr>
      <w:hyperlink w:history="true" w:anchor="_bookmark174">
        <w:r>
          <w:rPr>
            <w:i/>
            <w:sz w:val="20"/>
          </w:rPr>
          <w:t>Objetivos y alcance</w:t>
        </w:r>
        <w:r>
          <w:rPr>
            <w:i/>
            <w:spacing w:val="-1"/>
            <w:sz w:val="20"/>
          </w:rPr>
          <w:t> </w:t>
        </w:r>
        <w:r>
          <w:rPr>
            <w:i/>
            <w:sz w:val="20"/>
          </w:rPr>
          <w:t>de</w:t>
        </w:r>
        <w:r>
          <w:rPr>
            <w:i/>
            <w:spacing w:val="-1"/>
            <w:sz w:val="20"/>
          </w:rPr>
          <w:t> </w:t>
        </w:r>
        <w:r>
          <w:rPr>
            <w:i/>
            <w:sz w:val="20"/>
          </w:rPr>
          <w:t>estudio</w:t>
          <w:tab/>
          <w:t>195</w:t>
        </w:r>
      </w:hyperlink>
    </w:p>
    <w:p>
      <w:pPr>
        <w:pStyle w:val="ListParagraph"/>
        <w:numPr>
          <w:ilvl w:val="2"/>
          <w:numId w:val="1"/>
        </w:numPr>
        <w:tabs>
          <w:tab w:pos="1420" w:val="left" w:leader="none"/>
          <w:tab w:pos="1421" w:val="left" w:leader="none"/>
          <w:tab w:pos="8935" w:val="right" w:leader="dot"/>
        </w:tabs>
        <w:spacing w:line="240" w:lineRule="auto" w:before="114" w:after="0"/>
        <w:ind w:left="1421" w:right="0" w:hanging="881"/>
        <w:jc w:val="left"/>
        <w:rPr>
          <w:i/>
          <w:sz w:val="20"/>
        </w:rPr>
      </w:pPr>
      <w:hyperlink w:history="true" w:anchor="_bookmark176">
        <w:r>
          <w:rPr>
            <w:i/>
            <w:sz w:val="20"/>
          </w:rPr>
          <w:t>Datos</w:t>
        </w:r>
        <w:r>
          <w:rPr>
            <w:i/>
            <w:spacing w:val="-1"/>
            <w:sz w:val="20"/>
          </w:rPr>
          <w:t> </w:t>
        </w:r>
        <w:r>
          <w:rPr>
            <w:i/>
            <w:sz w:val="20"/>
          </w:rPr>
          <w:t>de</w:t>
        </w:r>
        <w:r>
          <w:rPr>
            <w:i/>
            <w:spacing w:val="-1"/>
            <w:sz w:val="20"/>
          </w:rPr>
          <w:t> </w:t>
        </w:r>
        <w:r>
          <w:rPr>
            <w:i/>
            <w:sz w:val="20"/>
          </w:rPr>
          <w:t>inventario</w:t>
          <w:tab/>
          <w:t>196</w:t>
        </w:r>
      </w:hyperlink>
    </w:p>
    <w:p>
      <w:pPr>
        <w:pStyle w:val="ListParagraph"/>
        <w:numPr>
          <w:ilvl w:val="3"/>
          <w:numId w:val="1"/>
        </w:numPr>
        <w:tabs>
          <w:tab w:pos="1640" w:val="left" w:leader="none"/>
          <w:tab w:pos="1641" w:val="left" w:leader="none"/>
          <w:tab w:pos="8931" w:val="right" w:leader="dot"/>
        </w:tabs>
        <w:spacing w:line="240" w:lineRule="auto" w:before="112" w:after="0"/>
        <w:ind w:left="1641" w:right="0" w:hanging="880"/>
        <w:jc w:val="left"/>
        <w:rPr>
          <w:sz w:val="18"/>
        </w:rPr>
      </w:pPr>
      <w:hyperlink w:history="true" w:anchor="_bookmark177">
        <w:r>
          <w:rPr>
            <w:sz w:val="18"/>
          </w:rPr>
          <w:t>Modelado artesanal</w:t>
          <w:tab/>
          <w:t>196</w:t>
        </w:r>
      </w:hyperlink>
    </w:p>
    <w:p>
      <w:pPr>
        <w:pStyle w:val="ListParagraph"/>
        <w:numPr>
          <w:ilvl w:val="3"/>
          <w:numId w:val="1"/>
        </w:numPr>
        <w:tabs>
          <w:tab w:pos="1640" w:val="left" w:leader="none"/>
          <w:tab w:pos="1641" w:val="left" w:leader="none"/>
          <w:tab w:pos="8931" w:val="right" w:leader="dot"/>
        </w:tabs>
        <w:spacing w:line="240" w:lineRule="auto" w:before="105" w:after="0"/>
        <w:ind w:left="1641" w:right="0" w:hanging="880"/>
        <w:jc w:val="left"/>
        <w:rPr>
          <w:sz w:val="18"/>
        </w:rPr>
      </w:pPr>
      <w:hyperlink w:history="true" w:anchor="_bookmark181">
        <w:r>
          <w:rPr>
            <w:sz w:val="18"/>
          </w:rPr>
          <w:t>Modelado 3D</w:t>
          <w:tab/>
          <w:t>198</w:t>
        </w:r>
      </w:hyperlink>
    </w:p>
    <w:p>
      <w:pPr>
        <w:pStyle w:val="ListParagraph"/>
        <w:numPr>
          <w:ilvl w:val="1"/>
          <w:numId w:val="1"/>
        </w:numPr>
        <w:tabs>
          <w:tab w:pos="980" w:val="left" w:leader="none"/>
          <w:tab w:pos="981" w:val="left" w:leader="none"/>
          <w:tab w:pos="8935" w:val="right" w:leader="dot"/>
        </w:tabs>
        <w:spacing w:line="240" w:lineRule="auto" w:before="102" w:after="0"/>
        <w:ind w:left="981" w:right="0" w:hanging="661"/>
        <w:jc w:val="left"/>
        <w:rPr>
          <w:sz w:val="20"/>
        </w:rPr>
      </w:pPr>
      <w:hyperlink w:history="true" w:anchor="_bookmark184">
        <w:r>
          <w:rPr>
            <w:sz w:val="20"/>
          </w:rPr>
          <w:t>E</w:t>
        </w:r>
        <w:r>
          <w:rPr>
            <w:sz w:val="16"/>
          </w:rPr>
          <w:t>VALUACIÓN DEL</w:t>
        </w:r>
        <w:r>
          <w:rPr>
            <w:spacing w:val="-1"/>
            <w:sz w:val="16"/>
          </w:rPr>
          <w:t> </w:t>
        </w:r>
        <w:r>
          <w:rPr>
            <w:sz w:val="20"/>
          </w:rPr>
          <w:t>I</w:t>
        </w:r>
        <w:r>
          <w:rPr>
            <w:sz w:val="16"/>
          </w:rPr>
          <w:t>MPACTO</w:t>
        </w:r>
        <w:r>
          <w:rPr>
            <w:spacing w:val="-2"/>
            <w:sz w:val="16"/>
          </w:rPr>
          <w:t> </w:t>
        </w:r>
        <w:r>
          <w:rPr>
            <w:sz w:val="20"/>
          </w:rPr>
          <w:t>A</w:t>
        </w:r>
        <w:r>
          <w:rPr>
            <w:sz w:val="16"/>
          </w:rPr>
          <w:t>MBIENTAL</w:t>
        </w:r>
        <w:r>
          <w:rPr>
            <w:sz w:val="20"/>
          </w:rPr>
          <w:tab/>
          <w:t>199</w:t>
        </w:r>
      </w:hyperlink>
    </w:p>
    <w:p>
      <w:pPr>
        <w:pStyle w:val="ListParagraph"/>
        <w:numPr>
          <w:ilvl w:val="2"/>
          <w:numId w:val="1"/>
        </w:numPr>
        <w:tabs>
          <w:tab w:pos="1420" w:val="left" w:leader="none"/>
          <w:tab w:pos="1421" w:val="left" w:leader="none"/>
          <w:tab w:pos="8935" w:val="right" w:leader="dot"/>
        </w:tabs>
        <w:spacing w:line="240" w:lineRule="auto" w:before="118" w:after="0"/>
        <w:ind w:left="1421" w:right="0" w:hanging="881"/>
        <w:jc w:val="left"/>
        <w:rPr>
          <w:i/>
          <w:sz w:val="20"/>
        </w:rPr>
      </w:pPr>
      <w:hyperlink w:history="true" w:anchor="_bookmark188">
        <w:r>
          <w:rPr>
            <w:i/>
            <w:sz w:val="20"/>
          </w:rPr>
          <w:t>Interpretación</w:t>
        </w:r>
        <w:r>
          <w:rPr>
            <w:i/>
            <w:spacing w:val="2"/>
            <w:sz w:val="20"/>
          </w:rPr>
          <w:t> </w:t>
        </w:r>
        <w:r>
          <w:rPr>
            <w:i/>
            <w:sz w:val="20"/>
          </w:rPr>
          <w:t>de resultados</w:t>
          <w:tab/>
          <w:t>201</w:t>
        </w:r>
      </w:hyperlink>
    </w:p>
    <w:p>
      <w:pPr>
        <w:pStyle w:val="ListParagraph"/>
        <w:numPr>
          <w:ilvl w:val="3"/>
          <w:numId w:val="1"/>
        </w:numPr>
        <w:tabs>
          <w:tab w:pos="1640" w:val="left" w:leader="none"/>
          <w:tab w:pos="1641" w:val="left" w:leader="none"/>
          <w:tab w:pos="8931" w:val="right" w:leader="dot"/>
        </w:tabs>
        <w:spacing w:line="240" w:lineRule="auto" w:before="113" w:after="0"/>
        <w:ind w:left="1641" w:right="0" w:hanging="880"/>
        <w:jc w:val="left"/>
        <w:rPr>
          <w:sz w:val="18"/>
        </w:rPr>
      </w:pPr>
      <w:hyperlink w:history="true" w:anchor="_bookmark189">
        <w:r>
          <w:rPr>
            <w:sz w:val="18"/>
          </w:rPr>
          <w:t>Comparación de alternativas</w:t>
          <w:tab/>
          <w:t>201</w:t>
        </w:r>
      </w:hyperlink>
    </w:p>
    <w:p>
      <w:pPr>
        <w:pStyle w:val="ListParagraph"/>
        <w:numPr>
          <w:ilvl w:val="3"/>
          <w:numId w:val="1"/>
        </w:numPr>
        <w:tabs>
          <w:tab w:pos="1640" w:val="left" w:leader="none"/>
          <w:tab w:pos="1641" w:val="left" w:leader="none"/>
          <w:tab w:pos="8931" w:val="right" w:leader="dot"/>
        </w:tabs>
        <w:spacing w:line="240" w:lineRule="auto" w:before="105" w:after="0"/>
        <w:ind w:left="1641" w:right="0" w:hanging="880"/>
        <w:jc w:val="left"/>
        <w:rPr>
          <w:sz w:val="18"/>
        </w:rPr>
      </w:pPr>
      <w:hyperlink w:history="true" w:anchor="_bookmark192">
        <w:r>
          <w:rPr>
            <w:sz w:val="18"/>
          </w:rPr>
          <w:t>Análisis individual</w:t>
        </w:r>
        <w:r>
          <w:rPr>
            <w:spacing w:val="3"/>
            <w:sz w:val="18"/>
          </w:rPr>
          <w:t> </w:t>
        </w:r>
        <w:r>
          <w:rPr>
            <w:sz w:val="18"/>
          </w:rPr>
          <w:t>de</w:t>
        </w:r>
        <w:r>
          <w:rPr>
            <w:spacing w:val="-4"/>
            <w:sz w:val="18"/>
          </w:rPr>
          <w:t> </w:t>
        </w:r>
        <w:r>
          <w:rPr>
            <w:sz w:val="18"/>
          </w:rPr>
          <w:t>etapas</w:t>
          <w:tab/>
          <w:t>202</w:t>
        </w:r>
      </w:hyperlink>
    </w:p>
    <w:p>
      <w:pPr>
        <w:pStyle w:val="ListParagraph"/>
        <w:numPr>
          <w:ilvl w:val="1"/>
          <w:numId w:val="1"/>
        </w:numPr>
        <w:tabs>
          <w:tab w:pos="980" w:val="left" w:leader="none"/>
          <w:tab w:pos="981" w:val="left" w:leader="none"/>
          <w:tab w:pos="8935" w:val="right" w:leader="dot"/>
        </w:tabs>
        <w:spacing w:line="240" w:lineRule="auto" w:before="102" w:after="0"/>
        <w:ind w:left="981" w:right="0" w:hanging="661"/>
        <w:jc w:val="left"/>
        <w:rPr>
          <w:sz w:val="20"/>
        </w:rPr>
      </w:pPr>
      <w:hyperlink w:history="true" w:anchor="_bookmark195">
        <w:r>
          <w:rPr>
            <w:sz w:val="20"/>
          </w:rPr>
          <w:t>D</w:t>
        </w:r>
        <w:r>
          <w:rPr>
            <w:sz w:val="16"/>
          </w:rPr>
          <w:t>ISCUSIONES</w:t>
        </w:r>
        <w:r>
          <w:rPr>
            <w:sz w:val="20"/>
          </w:rPr>
          <w:tab/>
          <w:t>205</w:t>
        </w:r>
      </w:hyperlink>
    </w:p>
    <w:p>
      <w:pPr>
        <w:pStyle w:val="ListParagraph"/>
        <w:numPr>
          <w:ilvl w:val="1"/>
          <w:numId w:val="1"/>
        </w:numPr>
        <w:tabs>
          <w:tab w:pos="980" w:val="left" w:leader="none"/>
          <w:tab w:pos="981" w:val="left" w:leader="none"/>
          <w:tab w:pos="8935" w:val="right" w:leader="dot"/>
        </w:tabs>
        <w:spacing w:line="240" w:lineRule="auto" w:before="114" w:after="0"/>
        <w:ind w:left="981" w:right="0" w:hanging="661"/>
        <w:jc w:val="left"/>
        <w:rPr>
          <w:sz w:val="20"/>
        </w:rPr>
      </w:pPr>
      <w:hyperlink w:history="true" w:anchor="_bookmark203">
        <w:r>
          <w:rPr>
            <w:sz w:val="20"/>
          </w:rPr>
          <w:t>C</w:t>
        </w:r>
        <w:r>
          <w:rPr>
            <w:sz w:val="16"/>
          </w:rPr>
          <w:t>ONCLUSIONES DEL CASO DE ESTUDIO</w:t>
        </w:r>
        <w:r>
          <w:rPr>
            <w:sz w:val="20"/>
          </w:rPr>
          <w:tab/>
          <w:t>213</w:t>
        </w:r>
      </w:hyperlink>
    </w:p>
    <w:p>
      <w:pPr>
        <w:pStyle w:val="ListParagraph"/>
        <w:numPr>
          <w:ilvl w:val="0"/>
          <w:numId w:val="1"/>
        </w:numPr>
        <w:tabs>
          <w:tab w:pos="540" w:val="left" w:leader="none"/>
          <w:tab w:pos="541" w:val="left" w:leader="none"/>
          <w:tab w:pos="8935" w:val="right" w:leader="dot"/>
        </w:tabs>
        <w:spacing w:line="240" w:lineRule="auto" w:before="234" w:after="0"/>
        <w:ind w:left="540" w:right="0" w:hanging="440"/>
        <w:jc w:val="left"/>
        <w:rPr>
          <w:b/>
          <w:sz w:val="20"/>
        </w:rPr>
      </w:pPr>
      <w:hyperlink w:history="true" w:anchor="_bookmark205">
        <w:r>
          <w:rPr>
            <w:b/>
            <w:sz w:val="20"/>
          </w:rPr>
          <w:t>CONCLUSIONES</w:t>
        </w:r>
        <w:r>
          <w:rPr>
            <w:b/>
            <w:spacing w:val="-3"/>
            <w:sz w:val="20"/>
          </w:rPr>
          <w:t> </w:t>
        </w:r>
        <w:r>
          <w:rPr>
            <w:b/>
            <w:sz w:val="20"/>
          </w:rPr>
          <w:t>GENERALES</w:t>
          <w:tab/>
          <w:t>215</w:t>
        </w:r>
      </w:hyperlink>
    </w:p>
    <w:p>
      <w:pPr>
        <w:pStyle w:val="ListParagraph"/>
        <w:numPr>
          <w:ilvl w:val="0"/>
          <w:numId w:val="1"/>
        </w:numPr>
        <w:tabs>
          <w:tab w:pos="540" w:val="left" w:leader="none"/>
          <w:tab w:pos="541" w:val="left" w:leader="none"/>
          <w:tab w:pos="8935" w:val="right" w:leader="dot"/>
        </w:tabs>
        <w:spacing w:line="240" w:lineRule="auto" w:before="234" w:after="0"/>
        <w:ind w:left="540" w:right="0" w:hanging="440"/>
        <w:jc w:val="left"/>
        <w:rPr>
          <w:b/>
          <w:sz w:val="20"/>
        </w:rPr>
      </w:pPr>
      <w:hyperlink w:history="true" w:anchor="_bookmark206">
        <w:r>
          <w:rPr>
            <w:b/>
            <w:sz w:val="20"/>
          </w:rPr>
          <w:t>FUENTES</w:t>
        </w:r>
        <w:r>
          <w:rPr>
            <w:b/>
            <w:spacing w:val="-3"/>
            <w:sz w:val="20"/>
          </w:rPr>
          <w:t> </w:t>
        </w:r>
        <w:r>
          <w:rPr>
            <w:b/>
            <w:sz w:val="20"/>
          </w:rPr>
          <w:t>DE</w:t>
        </w:r>
        <w:r>
          <w:rPr>
            <w:b/>
            <w:spacing w:val="-3"/>
            <w:sz w:val="20"/>
          </w:rPr>
          <w:t> </w:t>
        </w:r>
        <w:r>
          <w:rPr>
            <w:b/>
            <w:sz w:val="20"/>
          </w:rPr>
          <w:t>INFORMACIÓN</w:t>
          <w:tab/>
          <w:t>219</w:t>
        </w:r>
      </w:hyperlink>
    </w:p>
    <w:p>
      <w:pPr>
        <w:pStyle w:val="ListParagraph"/>
        <w:numPr>
          <w:ilvl w:val="0"/>
          <w:numId w:val="1"/>
        </w:numPr>
        <w:tabs>
          <w:tab w:pos="540" w:val="left" w:leader="none"/>
          <w:tab w:pos="541" w:val="left" w:leader="none"/>
          <w:tab w:pos="8935" w:val="right" w:leader="dot"/>
        </w:tabs>
        <w:spacing w:line="240" w:lineRule="auto" w:before="234" w:after="0"/>
        <w:ind w:left="540" w:right="0" w:hanging="440"/>
        <w:jc w:val="left"/>
        <w:rPr>
          <w:b/>
          <w:sz w:val="20"/>
        </w:rPr>
      </w:pPr>
      <w:hyperlink w:history="true" w:anchor="_bookmark207">
        <w:r>
          <w:rPr>
            <w:b/>
            <w:sz w:val="20"/>
          </w:rPr>
          <w:t>GLOSARIO</w:t>
          <w:tab/>
          <w:t>230</w:t>
        </w:r>
      </w:hyperlink>
    </w:p>
    <w:p>
      <w:pPr>
        <w:pStyle w:val="ListParagraph"/>
        <w:numPr>
          <w:ilvl w:val="0"/>
          <w:numId w:val="1"/>
        </w:numPr>
        <w:tabs>
          <w:tab w:pos="540" w:val="left" w:leader="none"/>
          <w:tab w:pos="541" w:val="left" w:leader="none"/>
          <w:tab w:pos="8935" w:val="right" w:leader="dot"/>
        </w:tabs>
        <w:spacing w:line="240" w:lineRule="auto" w:before="234" w:after="0"/>
        <w:ind w:left="540" w:right="0" w:hanging="440"/>
        <w:jc w:val="left"/>
        <w:rPr>
          <w:b/>
          <w:sz w:val="20"/>
        </w:rPr>
      </w:pPr>
      <w:hyperlink w:history="true" w:anchor="_bookmark208">
        <w:r>
          <w:rPr>
            <w:b/>
            <w:sz w:val="20"/>
          </w:rPr>
          <w:t>ANEXOS</w:t>
          <w:tab/>
          <w:t>235</w:t>
        </w:r>
      </w:hyperlink>
    </w:p>
    <w:p>
      <w:pPr>
        <w:tabs>
          <w:tab w:pos="8935" w:val="right" w:leader="dot"/>
        </w:tabs>
        <w:spacing w:before="238"/>
        <w:ind w:left="100" w:right="0" w:firstLine="0"/>
        <w:jc w:val="left"/>
        <w:rPr>
          <w:b/>
          <w:sz w:val="20"/>
        </w:rPr>
      </w:pPr>
      <w:hyperlink w:history="true" w:anchor="_bookmark209">
        <w:r>
          <w:rPr>
            <w:b/>
            <w:sz w:val="20"/>
          </w:rPr>
          <w:t>ÍNDICE</w:t>
        </w:r>
        <w:r>
          <w:rPr>
            <w:b/>
            <w:spacing w:val="-2"/>
            <w:sz w:val="20"/>
          </w:rPr>
          <w:t> </w:t>
        </w:r>
        <w:r>
          <w:rPr>
            <w:b/>
            <w:sz w:val="20"/>
          </w:rPr>
          <w:t>DE</w:t>
        </w:r>
        <w:r>
          <w:rPr>
            <w:b/>
            <w:spacing w:val="-2"/>
            <w:sz w:val="20"/>
          </w:rPr>
          <w:t> </w:t>
        </w:r>
        <w:r>
          <w:rPr>
            <w:b/>
            <w:sz w:val="20"/>
          </w:rPr>
          <w:t>FIGURAS</w:t>
          <w:tab/>
          <w:t>241</w:t>
        </w:r>
      </w:hyperlink>
    </w:p>
    <w:p>
      <w:pPr>
        <w:tabs>
          <w:tab w:pos="8935" w:val="right" w:leader="dot"/>
        </w:tabs>
        <w:spacing w:before="234"/>
        <w:ind w:left="100" w:right="0" w:firstLine="0"/>
        <w:jc w:val="left"/>
        <w:rPr>
          <w:b/>
          <w:sz w:val="20"/>
        </w:rPr>
      </w:pPr>
      <w:hyperlink w:history="true" w:anchor="_bookmark210">
        <w:r>
          <w:rPr>
            <w:b/>
            <w:sz w:val="20"/>
          </w:rPr>
          <w:t>ÍNDICE</w:t>
        </w:r>
        <w:r>
          <w:rPr>
            <w:b/>
            <w:spacing w:val="-3"/>
            <w:sz w:val="20"/>
          </w:rPr>
          <w:t> </w:t>
        </w:r>
        <w:r>
          <w:rPr>
            <w:b/>
            <w:sz w:val="20"/>
          </w:rPr>
          <w:t>DE</w:t>
        </w:r>
        <w:r>
          <w:rPr>
            <w:b/>
            <w:spacing w:val="-3"/>
            <w:sz w:val="20"/>
          </w:rPr>
          <w:t> </w:t>
        </w:r>
        <w:r>
          <w:rPr>
            <w:b/>
            <w:sz w:val="20"/>
          </w:rPr>
          <w:t>TABLAS</w:t>
          <w:tab/>
          <w:t>245</w:t>
        </w:r>
      </w:hyperlink>
    </w:p>
    <w:p>
      <w:pPr>
        <w:spacing w:after="0"/>
        <w:jc w:val="left"/>
        <w:rPr>
          <w:sz w:val="20"/>
        </w:rPr>
        <w:sectPr>
          <w:pgSz w:w="12240" w:h="15840"/>
          <w:pgMar w:top="1360" w:bottom="280" w:left="1600" w:right="1600"/>
        </w:sectPr>
      </w:pPr>
    </w:p>
    <w:p>
      <w:pPr>
        <w:pStyle w:val="BodyText"/>
        <w:spacing w:before="4"/>
        <w:rPr>
          <w:rFonts w:ascii="Times New Roman"/>
          <w:sz w:val="17"/>
        </w:rPr>
      </w:pPr>
    </w:p>
    <w:p>
      <w:pPr>
        <w:spacing w:after="0"/>
        <w:rPr>
          <w:rFonts w:ascii="Times New Roman"/>
          <w:sz w:val="17"/>
        </w:rPr>
        <w:sectPr>
          <w:pgSz w:w="12240" w:h="15840"/>
          <w:pgMar w:top="1500" w:bottom="280" w:left="1720" w:right="1720"/>
        </w:sectPr>
      </w:pPr>
    </w:p>
    <w:p>
      <w:pPr>
        <w:pStyle w:val="BodyText"/>
        <w:spacing w:before="10"/>
        <w:rPr>
          <w:rFonts w:ascii="Times New Roman"/>
          <w:sz w:val="26"/>
        </w:rPr>
      </w:pPr>
    </w:p>
    <w:p>
      <w:pPr>
        <w:pStyle w:val="Heading2"/>
        <w:ind w:left="1241" w:right="111" w:firstLine="0"/>
        <w:jc w:val="center"/>
      </w:pPr>
      <w:bookmarkStart w:name="Introducción" w:id="3"/>
      <w:bookmarkEnd w:id="3"/>
      <w:r>
        <w:rPr/>
      </w:r>
      <w:bookmarkStart w:name="_bookmark1" w:id="4"/>
      <w:bookmarkEnd w:id="4"/>
      <w:r>
        <w:rPr/>
      </w:r>
      <w:r>
        <w:rPr/>
        <w:t>Introducción</w:t>
      </w:r>
    </w:p>
    <w:p>
      <w:pPr>
        <w:pStyle w:val="BodyText"/>
        <w:spacing w:before="5"/>
        <w:rPr>
          <w:sz w:val="36"/>
        </w:rPr>
      </w:pPr>
    </w:p>
    <w:p>
      <w:pPr>
        <w:pStyle w:val="BodyText"/>
        <w:ind w:left="100"/>
        <w:jc w:val="both"/>
      </w:pPr>
      <w:r>
        <w:rPr/>
        <w:t>Quiero iniciar con una cita de París Matía:</w:t>
      </w:r>
    </w:p>
    <w:p>
      <w:pPr>
        <w:pStyle w:val="BodyText"/>
      </w:pPr>
    </w:p>
    <w:p>
      <w:pPr>
        <w:pStyle w:val="BodyText"/>
        <w:spacing w:before="9"/>
        <w:rPr>
          <w:sz w:val="23"/>
        </w:rPr>
      </w:pPr>
    </w:p>
    <w:p>
      <w:pPr>
        <w:spacing w:line="360" w:lineRule="auto" w:before="0"/>
        <w:ind w:left="668" w:right="119" w:firstLine="0"/>
        <w:jc w:val="both"/>
        <w:rPr>
          <w:sz w:val="24"/>
        </w:rPr>
      </w:pPr>
      <w:r>
        <w:rPr>
          <w:i/>
          <w:sz w:val="20"/>
        </w:rPr>
        <w:t>Para cada forma habrá un material ideal, porque el material tiene propiedades de color, de </w:t>
      </w:r>
      <w:r>
        <w:rPr>
          <w:i/>
          <w:sz w:val="20"/>
        </w:rPr>
        <w:t>textura y de sensación. ...el peso en específico condicionará muchas veces el tamaño y distribución de volúmenes… las técnicas de construcción y los procesos industriales han ampliado mucho el campo de posibilidades de los escultores... Gracias a esta irrupción de nuevos materiales, el escultor de hoy en día podrá ser capaz de abordar la construcción de cualquier forma, siempre y cuando sepa elegir el material que por sus características intrínsecas y plásticas se adapte mejor a la idea. </w:t>
      </w:r>
      <w:r>
        <w:rPr>
          <w:sz w:val="20"/>
        </w:rPr>
        <w:t>(</w:t>
      </w:r>
      <w:r>
        <w:rPr>
          <w:sz w:val="24"/>
        </w:rPr>
        <w:t>Matía, 2009:15).</w:t>
      </w:r>
    </w:p>
    <w:p>
      <w:pPr>
        <w:pStyle w:val="BodyText"/>
      </w:pPr>
    </w:p>
    <w:p>
      <w:pPr>
        <w:pStyle w:val="BodyText"/>
        <w:spacing w:line="360" w:lineRule="auto" w:before="142"/>
        <w:ind w:left="100" w:right="117"/>
        <w:jc w:val="both"/>
      </w:pPr>
      <w:r>
        <w:rPr/>
        <w:t>Matía bien menciona que la elección del material condicionará sustancialmente el método de trabajo, puesto que no es lo mismo trabajar con madera, piedra, metal o un trozo de hielo; y agrega que todos los materiales tradicionales tienen condicionantes, pero que en estos nuevos materiales es difícil que existan limitaciones en escalas, materiales y</w:t>
      </w:r>
      <w:r>
        <w:rPr>
          <w:spacing w:val="-25"/>
        </w:rPr>
        <w:t> </w:t>
      </w:r>
      <w:r>
        <w:rPr/>
        <w:t>formas.</w:t>
      </w:r>
    </w:p>
    <w:p>
      <w:pPr>
        <w:pStyle w:val="BodyText"/>
      </w:pPr>
    </w:p>
    <w:p>
      <w:pPr>
        <w:pStyle w:val="BodyText"/>
        <w:spacing w:line="360" w:lineRule="auto" w:before="138"/>
        <w:ind w:left="100" w:right="118"/>
        <w:jc w:val="both"/>
      </w:pPr>
      <w:r>
        <w:rPr/>
        <w:t>Dentro del campo de la escultura existe una preocupación ocasionada por las limitaciones de los propios materiales, pero con el surgimiento de tecnología de modelado 3D (prototipado rápido) y nuevos materiales abre una amplia gama de posibilidades para solucionar los problemas de producción dentro de un taller.</w:t>
      </w:r>
    </w:p>
    <w:p>
      <w:pPr>
        <w:pStyle w:val="BodyText"/>
      </w:pPr>
    </w:p>
    <w:p>
      <w:pPr>
        <w:pStyle w:val="BodyText"/>
        <w:spacing w:line="360" w:lineRule="auto" w:before="142"/>
        <w:ind w:left="100" w:right="118"/>
        <w:jc w:val="both"/>
      </w:pPr>
      <w:r>
        <w:rPr/>
        <w:t>Debido a eso la presente investigación es de carácter técnico, puesto que habla  de aspectos específicos de los sistemas de prototipado rápido, como una posibilidad</w:t>
      </w:r>
      <w:r>
        <w:rPr>
          <w:spacing w:val="-17"/>
        </w:rPr>
        <w:t> </w:t>
      </w:r>
      <w:r>
        <w:rPr/>
        <w:t>innovadora.</w:t>
      </w:r>
    </w:p>
    <w:p>
      <w:pPr>
        <w:pStyle w:val="BodyText"/>
      </w:pPr>
    </w:p>
    <w:p>
      <w:pPr>
        <w:pStyle w:val="BodyText"/>
        <w:spacing w:line="360" w:lineRule="auto" w:before="142"/>
        <w:ind w:left="100" w:right="118"/>
        <w:jc w:val="both"/>
      </w:pPr>
      <w:r>
        <w:rPr/>
        <w:t>El tema “Estudio de tecnología de modelado 3D para su aplicación en escultura sustentable” surge de la necesidad de mejorar costos, calidad en acabados y mayor exactitud en el volumen de la escultura en comparación a los métodos tradicionales</w:t>
      </w:r>
      <w:r>
        <w:rPr>
          <w:spacing w:val="57"/>
        </w:rPr>
        <w:t> </w:t>
      </w:r>
      <w:r>
        <w:rPr/>
        <w:t>dentro</w:t>
      </w:r>
      <w:r>
        <w:rPr>
          <w:spacing w:val="54"/>
        </w:rPr>
        <w:t> </w:t>
      </w:r>
      <w:r>
        <w:rPr/>
        <w:t>del</w:t>
      </w:r>
      <w:r>
        <w:rPr>
          <w:spacing w:val="55"/>
        </w:rPr>
        <w:t> </w:t>
      </w:r>
      <w:r>
        <w:rPr/>
        <w:t>área</w:t>
      </w:r>
      <w:r>
        <w:rPr>
          <w:spacing w:val="54"/>
        </w:rPr>
        <w:t> </w:t>
      </w:r>
      <w:r>
        <w:rPr/>
        <w:t>del</w:t>
      </w:r>
      <w:r>
        <w:rPr>
          <w:spacing w:val="59"/>
        </w:rPr>
        <w:t> </w:t>
      </w:r>
      <w:r>
        <w:rPr/>
        <w:t>modelado</w:t>
      </w:r>
      <w:r>
        <w:rPr>
          <w:spacing w:val="54"/>
        </w:rPr>
        <w:t> </w:t>
      </w:r>
      <w:r>
        <w:rPr/>
        <w:t>tridimensional,</w:t>
      </w:r>
      <w:r>
        <w:rPr>
          <w:spacing w:val="57"/>
        </w:rPr>
        <w:t> </w:t>
      </w:r>
      <w:r>
        <w:rPr/>
        <w:t>así</w:t>
      </w:r>
      <w:r>
        <w:rPr>
          <w:spacing w:val="57"/>
        </w:rPr>
        <w:t> </w:t>
      </w:r>
      <w:r>
        <w:rPr/>
        <w:t>pues</w:t>
      </w:r>
      <w:r>
        <w:rPr>
          <w:spacing w:val="56"/>
        </w:rPr>
        <w:t> </w:t>
      </w:r>
      <w:r>
        <w:rPr/>
        <w:t>interesa</w:t>
      </w:r>
      <w:r>
        <w:rPr>
          <w:spacing w:val="54"/>
        </w:rPr>
        <w:t> </w:t>
      </w:r>
      <w:r>
        <w:rPr/>
        <w:t>a</w:t>
      </w:r>
    </w:p>
    <w:p>
      <w:pPr>
        <w:spacing w:after="0" w:line="360" w:lineRule="auto"/>
        <w:jc w:val="both"/>
        <w:sectPr>
          <w:footerReference w:type="default" r:id="rId7"/>
          <w:footerReference w:type="even" r:id="rId8"/>
          <w:pgSz w:w="12240" w:h="15840"/>
          <w:pgMar w:footer="1031" w:header="0" w:top="1500" w:bottom="1220" w:left="1600" w:right="1580"/>
          <w:pgNumType w:start="9"/>
        </w:sectPr>
      </w:pPr>
    </w:p>
    <w:p>
      <w:pPr>
        <w:pStyle w:val="BodyText"/>
        <w:spacing w:before="4"/>
        <w:rPr>
          <w:sz w:val="12"/>
        </w:rPr>
      </w:pPr>
    </w:p>
    <w:p>
      <w:pPr>
        <w:pStyle w:val="BodyText"/>
        <w:spacing w:line="357" w:lineRule="auto" w:before="69"/>
        <w:ind w:left="100" w:right="123"/>
        <w:jc w:val="both"/>
      </w:pPr>
      <w:r>
        <w:rPr/>
        <w:t>escultores y artesanos; no dejando de lado la manipulación de los materiales tóxicos.</w:t>
      </w:r>
    </w:p>
    <w:p>
      <w:pPr>
        <w:pStyle w:val="BodyText"/>
      </w:pPr>
    </w:p>
    <w:p>
      <w:pPr>
        <w:pStyle w:val="BodyText"/>
        <w:spacing w:line="360" w:lineRule="auto" w:before="145"/>
        <w:ind w:left="100" w:right="118"/>
        <w:jc w:val="both"/>
      </w:pPr>
      <w:r>
        <w:rPr/>
        <w:t>La línea de investigación institucional es “Patrimonio, Ambiente y Tecnología” a la que se inserta dicho proyecto de investigación. El objeto de estudio consiste en analizar la viabilidad del uso de tecnología de modelado 3D para hacer escultura híbrida con un menor impacto ambiental en comparación con el método de aplicación de la fibra de vidrio con resina poliéster, ya que el manejo de este último puede ser tóxico para la persona que manipula dicho material aunado al daño al medio ambiente.</w:t>
      </w:r>
    </w:p>
    <w:p>
      <w:pPr>
        <w:pStyle w:val="BodyText"/>
      </w:pPr>
    </w:p>
    <w:p>
      <w:pPr>
        <w:pStyle w:val="BodyText"/>
        <w:spacing w:line="360" w:lineRule="auto" w:before="142"/>
        <w:ind w:left="100" w:right="118"/>
        <w:jc w:val="both"/>
      </w:pPr>
      <w:r>
        <w:rPr/>
        <w:t>La hipótesis a comprobar es la siguiente: Si se utiliza tecnología de modelado 3D para la escultura de pequeño formato</w:t>
      </w:r>
      <w:r>
        <w:rPr>
          <w:b/>
        </w:rPr>
        <w:t>, </w:t>
      </w:r>
      <w:r>
        <w:rPr/>
        <w:t>entonces se obtiene mayor exactitud en las medidas, se reduciría el impacto ambiental en comparación con el método de aplicación de fibra de vidrio, así como la disminución de costos en el proceso y menor daño a la salud.</w:t>
      </w:r>
    </w:p>
    <w:p>
      <w:pPr>
        <w:pStyle w:val="BodyText"/>
      </w:pPr>
    </w:p>
    <w:p>
      <w:pPr>
        <w:pStyle w:val="BodyText"/>
        <w:spacing w:line="360" w:lineRule="auto" w:before="142"/>
        <w:ind w:left="100" w:right="118"/>
        <w:jc w:val="both"/>
      </w:pPr>
      <w:r>
        <w:rPr/>
        <w:t>Para dicho enfoque los objetos secundarios son: conceptualizar la  tecnología como herramientas de modelado 3D; mencionar qué tecnología se aplican a la escultura actual; describir los materiales y procesos tradicionales en el modelado de una Banda de Moebius (BM) de mediano formato; producir una escultura utilizando una herramienta tecnológica, imprimir una BM; realizar un análisis comparativo de unidades contaminantes del proceso de modelado tradicional con el proceso tecnológico para evaluar cual tendría menor impacto ambiental utilizando la herramienta de Sima Pro 8.0; y realizar un comparativo de costos de la producción de la BM realizada de manera artesanal con la impresa en</w:t>
      </w:r>
      <w:r>
        <w:rPr>
          <w:spacing w:val="-34"/>
        </w:rPr>
        <w:t> </w:t>
      </w:r>
      <w:r>
        <w:rPr/>
        <w:t>3D.</w:t>
      </w:r>
    </w:p>
    <w:p>
      <w:pPr>
        <w:pStyle w:val="BodyText"/>
      </w:pPr>
    </w:p>
    <w:p>
      <w:pPr>
        <w:pStyle w:val="BodyText"/>
        <w:spacing w:line="360" w:lineRule="auto" w:before="142"/>
        <w:ind w:left="100" w:right="114"/>
        <w:jc w:val="both"/>
      </w:pPr>
      <w:r>
        <w:rPr/>
        <w:t>La propuesta de dicha investigación radica en proponer el uso de tecnologías de modelado 3D como lo es el prototipado rápido, para la fabricación de escultura y también  como  una herramienta que  posibilita  el  proceso creativo de generación</w:t>
      </w:r>
    </w:p>
    <w:p>
      <w:pPr>
        <w:spacing w:after="0" w:line="360" w:lineRule="auto"/>
        <w:jc w:val="both"/>
        <w:sectPr>
          <w:pgSz w:w="12240" w:h="15840"/>
          <w:pgMar w:header="0" w:footer="1031" w:top="1500" w:bottom="1220" w:left="1600" w:right="1580"/>
        </w:sectPr>
      </w:pPr>
    </w:p>
    <w:p>
      <w:pPr>
        <w:pStyle w:val="BodyText"/>
        <w:spacing w:before="4"/>
        <w:rPr>
          <w:sz w:val="12"/>
        </w:rPr>
      </w:pPr>
    </w:p>
    <w:p>
      <w:pPr>
        <w:pStyle w:val="BodyText"/>
        <w:spacing w:line="357" w:lineRule="auto" w:before="69"/>
        <w:ind w:left="100" w:right="122"/>
        <w:jc w:val="both"/>
      </w:pPr>
      <w:r>
        <w:rPr/>
        <w:t>del boceto, ya que no se necesita realizar una escultura tamaño final mientras que se puede imprimir en pequeños bocetos.</w:t>
      </w:r>
    </w:p>
    <w:p>
      <w:pPr>
        <w:pStyle w:val="BodyText"/>
      </w:pPr>
    </w:p>
    <w:p>
      <w:pPr>
        <w:pStyle w:val="BodyText"/>
        <w:spacing w:line="360" w:lineRule="auto" w:before="145"/>
        <w:ind w:left="100" w:right="119"/>
        <w:jc w:val="both"/>
      </w:pPr>
      <w:r>
        <w:rPr/>
        <w:t>Se justifica que dicho proyecto de estudios de doctorado aporte nuevos conocimientos a partir de investigación aplicada, como Frascati (2002) señala. En este caso cuando los trabajos originales realizados están dirigidos fundamentalmente hacia un objetivo práctico específico.</w:t>
      </w:r>
    </w:p>
    <w:p>
      <w:pPr>
        <w:pStyle w:val="BodyText"/>
      </w:pPr>
    </w:p>
    <w:p>
      <w:pPr>
        <w:pStyle w:val="BodyText"/>
        <w:spacing w:line="360" w:lineRule="auto" w:before="142"/>
        <w:ind w:left="100" w:right="120"/>
        <w:jc w:val="both"/>
      </w:pPr>
      <w:r>
        <w:rPr/>
        <w:t>Este tema se realizó porque sé observa que en el contexto actual de los escultores de alta producción tanto nacionales como internacionales, que utilizan estas herramientas de tipo tecnológico que solucionan dichos problemas técnicos, ambientales y de daños a la salud para la persona que manipula materiales industriales.</w:t>
      </w:r>
    </w:p>
    <w:p>
      <w:pPr>
        <w:pStyle w:val="BodyText"/>
      </w:pPr>
    </w:p>
    <w:p>
      <w:pPr>
        <w:pStyle w:val="BodyText"/>
        <w:spacing w:line="357" w:lineRule="auto" w:before="142"/>
        <w:ind w:left="100" w:right="115"/>
        <w:jc w:val="both"/>
      </w:pPr>
      <w:r>
        <w:rPr/>
        <w:t>En concordancia con todo lo anterior, el esquema que se desarrolla en el presente trabajo se presenta a continuación, considerando que dentro de la estructura de la tesis habrá una introducción por capítulo.</w:t>
      </w:r>
    </w:p>
    <w:p>
      <w:pPr>
        <w:pStyle w:val="BodyText"/>
      </w:pPr>
    </w:p>
    <w:p>
      <w:pPr>
        <w:pStyle w:val="BodyText"/>
        <w:spacing w:line="360" w:lineRule="auto" w:before="145"/>
        <w:ind w:left="100" w:right="120"/>
        <w:jc w:val="both"/>
      </w:pPr>
      <w:r>
        <w:rPr/>
        <w:t>En el primer capítulo, se plantea las cuestiones del problema, la hipótesis, el objetivo general, objetivos particulares, metodología y limitantes de dicho proyecto de investigación.</w:t>
      </w:r>
    </w:p>
    <w:p>
      <w:pPr>
        <w:pStyle w:val="BodyText"/>
      </w:pPr>
    </w:p>
    <w:p>
      <w:pPr>
        <w:pStyle w:val="BodyText"/>
        <w:spacing w:line="360" w:lineRule="auto" w:before="142"/>
        <w:ind w:left="100" w:right="118"/>
        <w:jc w:val="both"/>
      </w:pPr>
      <w:r>
        <w:rPr/>
        <w:t>En el segundo capítulo, se realiza el estado del arte de la tecnología de modelado 3D y su aplicación en la escultura. Primero se enuncian conceptos básicos de diseño asistido por ordenador; una breve historia de la tecnología de prototipado rápido, sus procesos básicos, aplicaciones, la tecnología más difundida, concepto de CNC, corte por chorro de agua, corte láser, corte de plasma, escáner 3D, e impresión 3D; y se finaliza enunciando la tecnología que es utilizada para la escultura colocando ejemplos de casos importantes.</w:t>
      </w:r>
    </w:p>
    <w:p>
      <w:pPr>
        <w:spacing w:after="0" w:line="360" w:lineRule="auto"/>
        <w:jc w:val="both"/>
        <w:sectPr>
          <w:pgSz w:w="12240" w:h="15840"/>
          <w:pgMar w:header="0" w:footer="1031" w:top="1500" w:bottom="1220" w:left="1600" w:right="1580"/>
        </w:sectPr>
      </w:pPr>
    </w:p>
    <w:p>
      <w:pPr>
        <w:pStyle w:val="BodyText"/>
        <w:spacing w:line="360" w:lineRule="auto" w:before="55"/>
        <w:ind w:left="100" w:right="128"/>
        <w:jc w:val="both"/>
      </w:pPr>
      <w:r>
        <w:rPr/>
        <w:t>En el tercer capítulo, se enuncian los conceptos básicos de sustentabilidad; el concepto de Análisis de Ciclo de Vida, aplicaciones, etapas, objeto de estudio, análisis del inventario, evaluación de impacto ambiental y metodologías básicas.</w:t>
      </w:r>
    </w:p>
    <w:p>
      <w:pPr>
        <w:pStyle w:val="BodyText"/>
        <w:spacing w:line="360" w:lineRule="auto" w:before="6"/>
        <w:ind w:left="100" w:right="122"/>
        <w:jc w:val="both"/>
      </w:pPr>
      <w:r>
        <w:rPr/>
        <w:t>En el cuarto capítulo, se realiza el estado del arte del ACV en la impresión 3D; iniciando con las impresoras 3D y su material de impresión con PLA; también se menciona el ACV del PLA.</w:t>
      </w:r>
    </w:p>
    <w:p>
      <w:pPr>
        <w:pStyle w:val="BodyText"/>
      </w:pPr>
    </w:p>
    <w:p>
      <w:pPr>
        <w:pStyle w:val="BodyText"/>
        <w:spacing w:line="360" w:lineRule="auto" w:before="142"/>
        <w:ind w:left="100" w:right="114"/>
        <w:jc w:val="both"/>
      </w:pPr>
      <w:r>
        <w:rPr/>
        <w:t>En el quinto capítulo, se propone el caso de estudio, que es un análisis comparativo de dos formas de fabricación de una escultura BM, utilizando el ACV. Inicia mostrando otras piezas de escultores, después se muestra la pieza de propuesta para el comparativo, y se inicia el ACV describiendo el proceso de fibra de vidrio con resina poliéster, en comparación con el proceso de impresión 3D; se analizan los resultados para discutir utilizando arboles de requerimiento, y finalmente se concluye dicho caso de estudio.</w:t>
      </w:r>
    </w:p>
    <w:p>
      <w:pPr>
        <w:pStyle w:val="BodyText"/>
      </w:pPr>
    </w:p>
    <w:p>
      <w:pPr>
        <w:pStyle w:val="BodyText"/>
        <w:spacing w:line="357" w:lineRule="auto" w:before="142"/>
        <w:ind w:left="100" w:right="129"/>
        <w:jc w:val="both"/>
      </w:pPr>
      <w:r>
        <w:rPr/>
        <w:t>En el sexto capítulo, se enuncian las conclusiones generales de todo el documento.</w:t>
      </w:r>
    </w:p>
    <w:p>
      <w:pPr>
        <w:spacing w:after="0" w:line="357" w:lineRule="auto"/>
        <w:jc w:val="both"/>
        <w:sectPr>
          <w:pgSz w:w="12240" w:h="15840"/>
          <w:pgMar w:header="0" w:footer="1031" w:top="1360" w:bottom="122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ind w:right="2294"/>
      </w:pPr>
      <w:r>
        <w:rPr/>
        <w:t>Capítulo</w:t>
      </w:r>
    </w:p>
    <w:p>
      <w:pPr>
        <w:pStyle w:val="Heading2"/>
        <w:spacing w:before="240"/>
        <w:ind w:left="2377" w:firstLine="0"/>
        <w:jc w:val="left"/>
      </w:pPr>
      <w:bookmarkStart w:name="1. Antecedentes y problemática" w:id="5"/>
      <w:bookmarkEnd w:id="5"/>
      <w:r>
        <w:rPr/>
      </w:r>
      <w:bookmarkStart w:name="_bookmark2" w:id="6"/>
      <w:bookmarkEnd w:id="6"/>
      <w:r>
        <w:rPr/>
      </w:r>
      <w:r>
        <w:rPr/>
        <w:t>1.   Antecedentes y problemática</w:t>
      </w:r>
    </w:p>
    <w:p>
      <w:pPr>
        <w:spacing w:after="0"/>
        <w:jc w:val="left"/>
        <w:sectPr>
          <w:pgSz w:w="12240" w:h="15840"/>
          <w:pgMar w:header="0" w:footer="1031" w:top="1500" w:bottom="1220" w:left="1720" w:right="1600"/>
        </w:sectPr>
      </w:pPr>
    </w:p>
    <w:p>
      <w:pPr>
        <w:pStyle w:val="ListParagraph"/>
        <w:numPr>
          <w:ilvl w:val="1"/>
          <w:numId w:val="2"/>
        </w:numPr>
        <w:tabs>
          <w:tab w:pos="677" w:val="left" w:leader="none"/>
        </w:tabs>
        <w:spacing w:line="240" w:lineRule="auto" w:before="109" w:after="0"/>
        <w:ind w:left="676" w:right="0" w:hanging="576"/>
        <w:jc w:val="both"/>
        <w:rPr>
          <w:sz w:val="28"/>
        </w:rPr>
      </w:pPr>
      <w:bookmarkStart w:name="1.1. Introducción de capítulo" w:id="7"/>
      <w:bookmarkEnd w:id="7"/>
      <w:r>
        <w:rPr/>
      </w:r>
      <w:bookmarkStart w:name="_bookmark3" w:id="8"/>
      <w:bookmarkEnd w:id="8"/>
      <w:r>
        <w:rPr/>
      </w:r>
      <w:bookmarkStart w:name="_bookmark3" w:id="9"/>
      <w:bookmarkEnd w:id="9"/>
      <w:r>
        <w:rPr>
          <w:sz w:val="28"/>
        </w:rPr>
        <w:t>I</w:t>
      </w:r>
      <w:r>
        <w:rPr>
          <w:sz w:val="28"/>
        </w:rPr>
        <w:t>ntroducción de</w:t>
      </w:r>
      <w:r>
        <w:rPr>
          <w:spacing w:val="-7"/>
          <w:sz w:val="28"/>
        </w:rPr>
        <w:t> </w:t>
      </w:r>
      <w:r>
        <w:rPr>
          <w:sz w:val="28"/>
        </w:rPr>
        <w:t>capítulo</w:t>
      </w:r>
    </w:p>
    <w:p>
      <w:pPr>
        <w:pStyle w:val="BodyText"/>
        <w:rPr>
          <w:sz w:val="28"/>
        </w:rPr>
      </w:pPr>
    </w:p>
    <w:p>
      <w:pPr>
        <w:pStyle w:val="BodyText"/>
        <w:spacing w:before="8"/>
        <w:rPr>
          <w:sz w:val="22"/>
        </w:rPr>
      </w:pPr>
    </w:p>
    <w:p>
      <w:pPr>
        <w:pStyle w:val="BodyText"/>
        <w:spacing w:line="360" w:lineRule="auto"/>
        <w:ind w:left="100" w:right="98"/>
        <w:jc w:val="both"/>
      </w:pPr>
      <w:r>
        <w:rPr/>
        <w:t>En el planteamiento se menciona como nace el interés personal por investigar en dicho tema. Se plantea el problema que surge en los procesos de fabricación de la escultura tradicional fundamentado por Fisher (2013), y cómo surge la necesidad de encontrar una solución con un enfoque sustentable. Se justifica cómo la propuesta digital o de Prototipado Rápido (</w:t>
      </w:r>
      <w:r>
        <w:rPr>
          <w:i/>
        </w:rPr>
        <w:t>Rapid Prototiping</w:t>
      </w:r>
      <w:r>
        <w:rPr/>
        <w:t>, RP) puede ser utilizada por el arte. Se enuncia la propuesta o hipótesis, así como el objetivo general y los objetivos particulares que serán guía de dicho proyecto de investigación.</w:t>
      </w:r>
    </w:p>
    <w:p>
      <w:pPr>
        <w:pStyle w:val="Heading2"/>
        <w:numPr>
          <w:ilvl w:val="1"/>
          <w:numId w:val="2"/>
        </w:numPr>
        <w:tabs>
          <w:tab w:pos="677" w:val="left" w:leader="none"/>
        </w:tabs>
        <w:spacing w:line="240" w:lineRule="auto" w:before="200" w:after="0"/>
        <w:ind w:left="676" w:right="0" w:hanging="576"/>
        <w:jc w:val="both"/>
      </w:pPr>
      <w:bookmarkStart w:name="1.2. Antecedentes del tema" w:id="10"/>
      <w:bookmarkEnd w:id="10"/>
      <w:r>
        <w:rPr/>
      </w:r>
      <w:bookmarkStart w:name="_bookmark4" w:id="11"/>
      <w:bookmarkEnd w:id="11"/>
      <w:r>
        <w:rPr/>
      </w:r>
      <w:bookmarkStart w:name="_bookmark4" w:id="12"/>
      <w:bookmarkEnd w:id="12"/>
      <w:r>
        <w:rPr/>
        <w:t>An</w:t>
      </w:r>
      <w:r>
        <w:rPr/>
        <w:t>tecedentes del</w:t>
      </w:r>
      <w:r>
        <w:rPr>
          <w:spacing w:val="-5"/>
        </w:rPr>
        <w:t> </w:t>
      </w:r>
      <w:r>
        <w:rPr/>
        <w:t>tema</w:t>
      </w:r>
    </w:p>
    <w:p>
      <w:pPr>
        <w:pStyle w:val="BodyText"/>
        <w:rPr>
          <w:sz w:val="28"/>
        </w:rPr>
      </w:pPr>
    </w:p>
    <w:p>
      <w:pPr>
        <w:pStyle w:val="BodyText"/>
        <w:spacing w:before="5"/>
        <w:rPr>
          <w:sz w:val="22"/>
        </w:rPr>
      </w:pPr>
    </w:p>
    <w:p>
      <w:pPr>
        <w:pStyle w:val="BodyText"/>
        <w:spacing w:line="360" w:lineRule="auto"/>
        <w:ind w:left="100" w:right="101"/>
        <w:jc w:val="both"/>
      </w:pPr>
      <w:r>
        <w:rPr/>
        <w:t>El presente proyecto inició del interés por estudiar los sistemas de modelado escultórico con una tesina de nivel licenciatura, cuyo documento enuncia los diferentes métodos de modelado tradicional, titulado: “Propuesta de manual de sistemas para copiado de escultura” (2004, Facultad de Artes de la UAEMéx) se mencionan los principales sistemas de ampliación, partiendo de un pequeño boceto tridimensional para modelarlo a escala. Se registra paso a paso la ampliación de una pieza modelada en yeso de mediano formato utilizando un método mixto: plantillas, escantillón, y bastidor elevado con plomadas para  bornear y puntear la dermis. Para estos sistemas artesanales los materiales tradicionales son la arcilla, el yeso, la plastilina y la</w:t>
      </w:r>
      <w:r>
        <w:rPr>
          <w:spacing w:val="-36"/>
        </w:rPr>
        <w:t> </w:t>
      </w:r>
      <w:r>
        <w:rPr/>
        <w:t>cera.</w:t>
      </w:r>
    </w:p>
    <w:p>
      <w:pPr>
        <w:pStyle w:val="BodyText"/>
      </w:pPr>
    </w:p>
    <w:p>
      <w:pPr>
        <w:pStyle w:val="BodyText"/>
        <w:spacing w:line="360" w:lineRule="auto" w:before="142"/>
        <w:ind w:left="100" w:right="100"/>
        <w:jc w:val="both"/>
      </w:pPr>
      <w:r>
        <w:rPr/>
        <w:t>A partir de esta variedad de materiales para modelar se retomó la piedra, para estudiar cómo se hace una ampliación en mármol, se realizó una tesis de nivel maestría titulada: “Armando Amaya: documentación de una técnica heredada de  la Escuela Nacional de Pintura, Escultura y Grabado” (2010, Academia de San Carlos, ENAP-UNAM). Documenta el proceso de una talla, escala uno a uno en mármol negro de Monterrey; el documento enfatiza el proceso de copiado de un boceto de yeso a un mármol, haciendo uso de la máquina de puntos que </w:t>
      </w:r>
      <w:r>
        <w:rPr>
          <w:spacing w:val="29"/>
        </w:rPr>
        <w:t> </w:t>
      </w:r>
      <w:r>
        <w:rPr/>
        <w:t>consiste</w:t>
      </w:r>
    </w:p>
    <w:p>
      <w:pPr>
        <w:spacing w:after="0" w:line="360" w:lineRule="auto"/>
        <w:jc w:val="both"/>
        <w:sectPr>
          <w:pgSz w:w="12240" w:h="15840"/>
          <w:pgMar w:header="0" w:footer="1031" w:top="1500" w:bottom="1220" w:left="1600" w:right="1600"/>
        </w:sectPr>
      </w:pPr>
    </w:p>
    <w:p>
      <w:pPr>
        <w:pStyle w:val="BodyText"/>
        <w:spacing w:line="360" w:lineRule="auto" w:before="55"/>
        <w:ind w:left="100" w:right="118"/>
        <w:jc w:val="both"/>
      </w:pPr>
      <w:r>
        <w:rPr/>
        <w:t>en una cruceta con un brazo articulado que tiene un puntómetro (herramienta de origen italiano). Todo el proceso de la pieza se realizó de manera tradicional, la única máquina eléctrica utilizada fue un compresor de aire para el bailarín y martillo</w:t>
      </w:r>
      <w:r>
        <w:rPr>
          <w:spacing w:val="-14"/>
        </w:rPr>
        <w:t> </w:t>
      </w:r>
      <w:r>
        <w:rPr/>
        <w:t>neumático.</w:t>
      </w:r>
    </w:p>
    <w:p>
      <w:pPr>
        <w:pStyle w:val="BodyText"/>
      </w:pPr>
    </w:p>
    <w:p>
      <w:pPr>
        <w:pStyle w:val="BodyText"/>
        <w:spacing w:line="360" w:lineRule="auto" w:before="142"/>
        <w:ind w:left="100" w:right="117"/>
        <w:jc w:val="both"/>
      </w:pPr>
      <w:r>
        <w:rPr/>
        <w:t>De ambos proyectos que llevan la misma temática, focalizada en sistemas o métodos de modelado, se aprecian las cualidades y características “tradicionales”. Esto dentro del campo de la escultura, pero ¿Qué otras áreas utilizan otros métodos de modelado volumétrico, aunque no pertenezca a las Artes Visuales?</w:t>
      </w:r>
    </w:p>
    <w:p>
      <w:pPr>
        <w:pStyle w:val="BodyText"/>
      </w:pPr>
    </w:p>
    <w:p>
      <w:pPr>
        <w:pStyle w:val="BodyText"/>
        <w:spacing w:line="360" w:lineRule="auto" w:before="142"/>
        <w:ind w:left="100" w:right="119"/>
        <w:jc w:val="both"/>
      </w:pPr>
      <w:r>
        <w:rPr/>
        <w:t>Actualmente, se observan otros campos donde se modelan objetos tridimensionales, caso particular del Diseño Industrial, cuyas herramientas de prototipado son de tipo tecnológico.</w:t>
      </w:r>
    </w:p>
    <w:p>
      <w:pPr>
        <w:pStyle w:val="BodyText"/>
      </w:pPr>
    </w:p>
    <w:p>
      <w:pPr>
        <w:pStyle w:val="BodyText"/>
        <w:spacing w:line="360" w:lineRule="auto" w:before="142"/>
        <w:ind w:left="100" w:right="117"/>
        <w:jc w:val="both"/>
      </w:pPr>
      <w:r>
        <w:rPr/>
        <w:t>Estas herramientas son conocidas como RP, las cuales podrían abordarse bajo  las siguientes interrogantes: ¿Cómo surgieron? ¿En qué consisten? ¿Cómo funcionan? ¿Cuáles son sus aplicaciones? Los antecedentes de dichas herramientas se describen a</w:t>
      </w:r>
      <w:r>
        <w:rPr>
          <w:spacing w:val="-21"/>
        </w:rPr>
        <w:t> </w:t>
      </w:r>
      <w:r>
        <w:rPr/>
        <w:t>continuación:</w:t>
      </w:r>
    </w:p>
    <w:p>
      <w:pPr>
        <w:pStyle w:val="BodyText"/>
      </w:pPr>
    </w:p>
    <w:p>
      <w:pPr>
        <w:spacing w:line="360" w:lineRule="auto" w:before="140"/>
        <w:ind w:left="821" w:right="114" w:firstLine="0"/>
        <w:jc w:val="both"/>
        <w:rPr>
          <w:sz w:val="24"/>
        </w:rPr>
      </w:pPr>
      <w:r>
        <w:rPr>
          <w:i/>
          <w:sz w:val="20"/>
        </w:rPr>
        <w:t>Los Sistemas de Prototipado Rápido surgen inicialmente en 1987 con el proceso de </w:t>
      </w:r>
      <w:r>
        <w:rPr>
          <w:i/>
          <w:sz w:val="20"/>
        </w:rPr>
        <w:t>estereolitografía (Stereo Lithography - SL) de la empresa norteamericana 3D Systems, proceso que solidifica capas (layers) de resina fotosensible por medio de láser. El sistema SLA-1, el primer sistema de prototipaje disponible comercialmente, fue un precursor de la máquina SLA-1, bastante popular en la actualidad. Después de que la empresa 3D Systems comenzase la comercialización de máquinas SL en EE.UU., las empresas japonesas NTT y Sony/D-MEC comenzaron a comercializar sus versiones de máquinas de estereolitografia en 1988 y 1989, respectivamente. Enseguida, en 1990, la empresa Eletro Optical Systems (EOS) en Alemania, comenzó a comercializar el sistema conocido como Stereos. </w:t>
      </w:r>
      <w:r>
        <w:rPr>
          <w:sz w:val="24"/>
        </w:rPr>
        <w:t>(Tello, 2008: 23).</w:t>
      </w:r>
    </w:p>
    <w:p>
      <w:pPr>
        <w:pStyle w:val="BodyText"/>
      </w:pPr>
    </w:p>
    <w:p>
      <w:pPr>
        <w:pStyle w:val="BodyText"/>
        <w:spacing w:line="360" w:lineRule="auto" w:before="142"/>
        <w:ind w:left="100" w:right="118"/>
        <w:jc w:val="both"/>
      </w:pPr>
      <w:r>
        <w:rPr/>
        <w:t>Entonces ¿Qué es el RP?, Para Noorani (2006), se refiere a la fabricación de una parte física, en tres dimensiones de forma arbitraria directamente de una descripción  numérica  (típicamente  un  modelo  CAD)  por  un  proceso     rápido,</w:t>
      </w:r>
    </w:p>
    <w:p>
      <w:pPr>
        <w:spacing w:after="0" w:line="360" w:lineRule="auto"/>
        <w:jc w:val="both"/>
        <w:sectPr>
          <w:pgSz w:w="12240" w:h="15840"/>
          <w:pgMar w:header="0" w:footer="1031" w:top="1360" w:bottom="1220" w:left="1600" w:right="1580"/>
        </w:sectPr>
      </w:pPr>
    </w:p>
    <w:p>
      <w:pPr>
        <w:pStyle w:val="BodyText"/>
        <w:spacing w:line="362" w:lineRule="auto" w:before="51"/>
        <w:ind w:left="100" w:right="112"/>
        <w:jc w:val="both"/>
      </w:pPr>
      <w:r>
        <w:rPr/>
        <w:t>totalmente automatizado, y altamente flexible. Según </w:t>
      </w:r>
      <w:r>
        <w:rPr>
          <w:i/>
        </w:rPr>
        <w:t>Wohlers Report 2000</w:t>
      </w:r>
      <w:r>
        <w:rPr/>
        <w:t>, RP se define como: una clase especial de tecnología de la máquina que produce rápidamente modelos y prototipos de piezas a partir de datos 3-D utilizando un enfoque aditivo a partir de los modelos físicos.</w:t>
      </w:r>
    </w:p>
    <w:p>
      <w:pPr>
        <w:pStyle w:val="BodyText"/>
      </w:pPr>
    </w:p>
    <w:p>
      <w:pPr>
        <w:pStyle w:val="BodyText"/>
        <w:spacing w:line="357" w:lineRule="auto" w:before="140"/>
        <w:ind w:left="100" w:right="120"/>
        <w:jc w:val="both"/>
      </w:pPr>
      <w:r>
        <w:rPr/>
        <w:t>Estas tecnologías de RP, permiten la obtención de prototipos, donde se comparan las principales tecnologías que utilizan el fichero Diseño Asistido por Ordenador (</w:t>
      </w:r>
      <w:r>
        <w:rPr>
          <w:i/>
        </w:rPr>
        <w:t>Computer Aided Design, </w:t>
      </w:r>
      <w:r>
        <w:rPr/>
        <w:t>CAD).</w:t>
      </w:r>
    </w:p>
    <w:p>
      <w:pPr>
        <w:pStyle w:val="BodyText"/>
      </w:pPr>
    </w:p>
    <w:p>
      <w:pPr>
        <w:pStyle w:val="BodyText"/>
        <w:tabs>
          <w:tab w:pos="4561" w:val="left" w:leader="none"/>
          <w:tab w:pos="7954" w:val="left" w:leader="none"/>
        </w:tabs>
        <w:spacing w:line="360" w:lineRule="auto" w:before="149"/>
        <w:ind w:left="100" w:right="117"/>
        <w:jc w:val="both"/>
      </w:pPr>
      <w:r>
        <w:rPr/>
        <w:t>En el campo de la escultura el uso de las herramientas de RP ha sido evidente, ejemplo de eso Tortosa (2013), hace mención de las impresoras 3D las cuales describe como dispositivos que pueden crear un objeto tridimensional a partir del diseño realizado en un ordenador y contenido en un fichero informático, o de una maqueta escaneada; agrega que un profesor Británico desarrolló el proyecto </w:t>
      </w:r>
      <w:hyperlink r:id="rId9">
        <w:r>
          <w:rPr>
            <w:b/>
          </w:rPr>
          <w:t>RepRap</w:t>
        </w:r>
      </w:hyperlink>
      <w:r>
        <w:rPr>
          <w:b/>
        </w:rPr>
        <w:t>, </w:t>
      </w:r>
      <w:r>
        <w:rPr/>
        <w:t>que es un diseño de impresoras que utilizan programas abiertos de libre disposición</w:t>
        <w:tab/>
        <w:t>y</w:t>
        <w:tab/>
      </w:r>
      <w:r>
        <w:rPr>
          <w:spacing w:val="-1"/>
        </w:rPr>
        <w:t>gratuitos.</w:t>
      </w:r>
    </w:p>
    <w:p>
      <w:pPr>
        <w:pStyle w:val="BodyText"/>
      </w:pPr>
    </w:p>
    <w:p>
      <w:pPr>
        <w:pStyle w:val="BodyText"/>
        <w:spacing w:line="360" w:lineRule="auto" w:before="142"/>
        <w:ind w:left="100" w:right="117"/>
        <w:jc w:val="both"/>
      </w:pPr>
      <w:r>
        <w:rPr/>
        <w:t>Dicha tecnología es utilizada en el Proyecto Lleona que fija su objetivo en la creación de esculturas, donde el coste de los materiales y su sustentabilidad son aspectos a tener muy en cuenta, agrega Tortosa, escultor de dicho proyecto.</w:t>
      </w:r>
    </w:p>
    <w:p>
      <w:pPr>
        <w:pStyle w:val="BodyText"/>
        <w:spacing w:before="11"/>
        <w:rPr>
          <w:sz w:val="35"/>
        </w:rPr>
      </w:pPr>
    </w:p>
    <w:p>
      <w:pPr>
        <w:pStyle w:val="BodyText"/>
        <w:spacing w:line="360" w:lineRule="auto"/>
        <w:ind w:left="100" w:right="120"/>
        <w:jc w:val="both"/>
      </w:pPr>
      <w:r>
        <w:rPr/>
        <w:t>Las máquinas de Control Numérico Computalizado (</w:t>
      </w:r>
      <w:r>
        <w:rPr>
          <w:i/>
        </w:rPr>
        <w:t>Computer Numerical Control</w:t>
      </w:r>
      <w:r>
        <w:rPr/>
        <w:t>, CNC) de corte y/o fresado, están propiciando y facilitando la realización del proceso con importantísimas mejoras que revierten muy significativamente en el tiempo de producción. En el Proyecto Lleona se ha desarrollado una CNC junto a una aplicación informática específica para el corte y fresado con poliestireno. Esto permite realizar pequeñas figuras o grandes remates se convierte en una tarea relativamente sencilla y eficaz, señala Tortosa (2012).</w:t>
      </w:r>
    </w:p>
    <w:p>
      <w:pPr>
        <w:spacing w:after="0" w:line="360" w:lineRule="auto"/>
        <w:jc w:val="both"/>
        <w:sectPr>
          <w:pgSz w:w="12240" w:h="15840"/>
          <w:pgMar w:header="0" w:footer="1031" w:top="1360" w:bottom="1220" w:left="1600" w:right="1580"/>
        </w:sectPr>
      </w:pPr>
    </w:p>
    <w:p>
      <w:pPr>
        <w:pStyle w:val="BodyText"/>
        <w:spacing w:line="360" w:lineRule="auto" w:before="55"/>
        <w:ind w:left="100" w:right="99"/>
        <w:jc w:val="both"/>
      </w:pPr>
      <w:r>
        <w:rPr/>
        <w:t>De la Flor (2010), menciona que el escaneo digital es el proceso descriptivo de un objeto físico existente y la creación de una representación digital de esta como un modelo tridimensional.</w:t>
      </w:r>
    </w:p>
    <w:p>
      <w:pPr>
        <w:pStyle w:val="BodyText"/>
      </w:pPr>
    </w:p>
    <w:p>
      <w:pPr>
        <w:pStyle w:val="BodyText"/>
        <w:spacing w:line="360" w:lineRule="auto" w:before="142"/>
        <w:ind w:left="100" w:right="100"/>
        <w:jc w:val="both"/>
      </w:pPr>
      <w:r>
        <w:rPr/>
        <w:t>Debido a lo mencionado anteriormente se puede afirmar que las herramientas de RP controlan los métodos de modelado volumétrico como bien lo hace la escultura tradicional.</w:t>
      </w:r>
    </w:p>
    <w:p>
      <w:pPr>
        <w:pStyle w:val="BodyText"/>
      </w:pPr>
    </w:p>
    <w:p>
      <w:pPr>
        <w:pStyle w:val="BodyText"/>
        <w:spacing w:before="3"/>
        <w:rPr>
          <w:sz w:val="29"/>
        </w:rPr>
      </w:pPr>
    </w:p>
    <w:p>
      <w:pPr>
        <w:pStyle w:val="Heading2"/>
        <w:numPr>
          <w:ilvl w:val="2"/>
          <w:numId w:val="2"/>
        </w:numPr>
        <w:tabs>
          <w:tab w:pos="897" w:val="left" w:leader="none"/>
        </w:tabs>
        <w:spacing w:line="240" w:lineRule="auto" w:before="0" w:after="0"/>
        <w:ind w:left="897" w:right="0" w:hanging="797"/>
        <w:jc w:val="both"/>
      </w:pPr>
      <w:bookmarkStart w:name="1.2.1.  Planteamiento del  problema" w:id="13"/>
      <w:bookmarkEnd w:id="13"/>
      <w:r>
        <w:rPr/>
      </w:r>
      <w:bookmarkStart w:name="_bookmark5" w:id="14"/>
      <w:bookmarkEnd w:id="14"/>
      <w:r>
        <w:rPr/>
        <w:t>P</w:t>
      </w:r>
      <w:r>
        <w:rPr/>
        <w:t>lanteamiento del </w:t>
      </w:r>
      <w:r>
        <w:rPr>
          <w:spacing w:val="1"/>
        </w:rPr>
        <w:t> </w:t>
      </w:r>
      <w:r>
        <w:rPr/>
        <w:t>problema</w:t>
      </w:r>
    </w:p>
    <w:p>
      <w:pPr>
        <w:pStyle w:val="BodyText"/>
        <w:rPr>
          <w:sz w:val="28"/>
        </w:rPr>
      </w:pPr>
    </w:p>
    <w:p>
      <w:pPr>
        <w:pStyle w:val="BodyText"/>
        <w:spacing w:before="8"/>
        <w:rPr>
          <w:sz w:val="22"/>
        </w:rPr>
      </w:pPr>
    </w:p>
    <w:p>
      <w:pPr>
        <w:pStyle w:val="BodyText"/>
        <w:spacing w:line="360" w:lineRule="auto"/>
        <w:ind w:left="100" w:right="100"/>
        <w:jc w:val="both"/>
      </w:pPr>
      <w:r>
        <w:rPr/>
        <w:t>¿A quién va dirigida esta tesis o investigación? A los escultores. Los procesos que manejan para trabajar, las técnicas y los materiales en la escultura, son: modelado (arcilla), vaciado, talla (piedra y mármol), fundición a la cera perdida y diversos, así lo refiere el mismo Fernández, 1996. Así trabaja el escultor tradicional.</w:t>
      </w:r>
    </w:p>
    <w:p>
      <w:pPr>
        <w:pStyle w:val="BodyText"/>
      </w:pPr>
    </w:p>
    <w:p>
      <w:pPr>
        <w:pStyle w:val="BodyText"/>
        <w:spacing w:line="362" w:lineRule="auto" w:before="142"/>
        <w:ind w:left="100" w:right="99"/>
        <w:jc w:val="both"/>
      </w:pPr>
      <w:r>
        <w:rPr/>
        <w:t>A continuación se menciona una lista de desventajas en el uso de técnicas tradicionales considerante diferentes aspectos:</w:t>
      </w:r>
    </w:p>
    <w:p>
      <w:pPr>
        <w:pStyle w:val="BodyText"/>
      </w:pPr>
    </w:p>
    <w:p>
      <w:pPr>
        <w:pStyle w:val="ListParagraph"/>
        <w:numPr>
          <w:ilvl w:val="0"/>
          <w:numId w:val="3"/>
        </w:numPr>
        <w:tabs>
          <w:tab w:pos="820" w:val="left" w:leader="none"/>
          <w:tab w:pos="821" w:val="left" w:leader="none"/>
        </w:tabs>
        <w:spacing w:line="240" w:lineRule="auto" w:before="139" w:after="0"/>
        <w:ind w:left="821" w:right="0" w:hanging="361"/>
        <w:jc w:val="left"/>
        <w:rPr>
          <w:sz w:val="24"/>
        </w:rPr>
      </w:pPr>
      <w:r>
        <w:rPr>
          <w:sz w:val="24"/>
        </w:rPr>
        <w:t>De tipo</w:t>
      </w:r>
      <w:r>
        <w:rPr>
          <w:spacing w:val="-13"/>
          <w:sz w:val="24"/>
        </w:rPr>
        <w:t> </w:t>
      </w:r>
      <w:r>
        <w:rPr>
          <w:sz w:val="24"/>
        </w:rPr>
        <w:t>técnico:</w:t>
      </w:r>
    </w:p>
    <w:p>
      <w:pPr>
        <w:pStyle w:val="BodyText"/>
        <w:tabs>
          <w:tab w:pos="8344" w:val="left" w:leader="none"/>
        </w:tabs>
        <w:spacing w:line="362" w:lineRule="auto" w:before="134"/>
        <w:ind w:left="821" w:right="104"/>
      </w:pPr>
      <w:r>
        <w:rPr/>
        <w:t>-Cada</w:t>
      </w:r>
      <w:r>
        <w:rPr>
          <w:spacing w:val="42"/>
        </w:rPr>
        <w:t> </w:t>
      </w:r>
      <w:r>
        <w:rPr/>
        <w:t>una</w:t>
      </w:r>
      <w:r>
        <w:rPr>
          <w:spacing w:val="39"/>
        </w:rPr>
        <w:t> </w:t>
      </w:r>
      <w:r>
        <w:rPr/>
        <w:t>de</w:t>
      </w:r>
      <w:r>
        <w:rPr>
          <w:spacing w:val="42"/>
        </w:rPr>
        <w:t> </w:t>
      </w:r>
      <w:r>
        <w:rPr/>
        <w:t>las</w:t>
      </w:r>
      <w:r>
        <w:rPr>
          <w:spacing w:val="40"/>
        </w:rPr>
        <w:t> </w:t>
      </w:r>
      <w:r>
        <w:rPr/>
        <w:t>técnicas</w:t>
      </w:r>
      <w:r>
        <w:rPr>
          <w:spacing w:val="44"/>
        </w:rPr>
        <w:t> </w:t>
      </w:r>
      <w:r>
        <w:rPr/>
        <w:t>presenta</w:t>
      </w:r>
      <w:r>
        <w:rPr>
          <w:spacing w:val="42"/>
        </w:rPr>
        <w:t> </w:t>
      </w:r>
      <w:r>
        <w:rPr/>
        <w:t>sus</w:t>
      </w:r>
      <w:r>
        <w:rPr>
          <w:spacing w:val="40"/>
        </w:rPr>
        <w:t> </w:t>
      </w:r>
      <w:r>
        <w:rPr/>
        <w:t>propios</w:t>
      </w:r>
      <w:r>
        <w:rPr>
          <w:spacing w:val="44"/>
        </w:rPr>
        <w:t> </w:t>
      </w:r>
      <w:r>
        <w:rPr/>
        <w:t>problemas,</w:t>
      </w:r>
      <w:r>
        <w:rPr>
          <w:spacing w:val="41"/>
        </w:rPr>
        <w:t> </w:t>
      </w:r>
      <w:r>
        <w:rPr/>
        <w:t>tales</w:t>
        <w:tab/>
        <w:t>como alteración en las medidas cuando se traslada el volumen, esto es</w:t>
      </w:r>
      <w:r>
        <w:rPr>
          <w:spacing w:val="-27"/>
        </w:rPr>
        <w:t> </w:t>
      </w:r>
      <w:r>
        <w:rPr/>
        <w:t>grave</w:t>
      </w:r>
    </w:p>
    <w:p>
      <w:pPr>
        <w:pStyle w:val="BodyText"/>
        <w:tabs>
          <w:tab w:pos="1580" w:val="left" w:leader="none"/>
          <w:tab w:pos="2668" w:val="left" w:leader="none"/>
          <w:tab w:pos="4015" w:val="left" w:leader="none"/>
          <w:tab w:pos="5602" w:val="left" w:leader="none"/>
          <w:tab w:pos="6102" w:val="left" w:leader="none"/>
          <w:tab w:pos="7157" w:val="left" w:leader="none"/>
          <w:tab w:pos="8200" w:val="left" w:leader="none"/>
        </w:tabs>
        <w:spacing w:line="362" w:lineRule="auto"/>
        <w:ind w:left="821" w:right="101"/>
      </w:pPr>
      <w:r>
        <w:rPr/>
        <w:t>-Con</w:t>
        <w:tab/>
        <w:t>algunos</w:t>
        <w:tab/>
        <w:t>materiales</w:t>
        <w:tab/>
        <w:t>tradicionales</w:t>
        <w:tab/>
        <w:t>se</w:t>
        <w:tab/>
        <w:t>dificulta</w:t>
        <w:tab/>
        <w:t>fabricar</w:t>
        <w:tab/>
        <w:t>formas caprichosas</w:t>
      </w:r>
    </w:p>
    <w:p>
      <w:pPr>
        <w:pStyle w:val="BodyText"/>
        <w:spacing w:line="275" w:lineRule="exact"/>
        <w:ind w:left="821"/>
      </w:pPr>
      <w:r>
        <w:rPr/>
        <w:t>-Conocimiento muy especializado en técnicas y materiales</w:t>
      </w:r>
    </w:p>
    <w:p>
      <w:pPr>
        <w:pStyle w:val="ListParagraph"/>
        <w:numPr>
          <w:ilvl w:val="0"/>
          <w:numId w:val="3"/>
        </w:numPr>
        <w:tabs>
          <w:tab w:pos="820" w:val="left" w:leader="none"/>
          <w:tab w:pos="821" w:val="left" w:leader="none"/>
        </w:tabs>
        <w:spacing w:line="240" w:lineRule="auto" w:before="140" w:after="0"/>
        <w:ind w:left="821" w:right="0" w:hanging="361"/>
        <w:jc w:val="left"/>
        <w:rPr>
          <w:sz w:val="24"/>
        </w:rPr>
      </w:pPr>
      <w:r>
        <w:rPr>
          <w:sz w:val="24"/>
        </w:rPr>
        <w:t>De</w:t>
      </w:r>
      <w:r>
        <w:rPr>
          <w:spacing w:val="-8"/>
          <w:sz w:val="24"/>
        </w:rPr>
        <w:t> </w:t>
      </w:r>
      <w:r>
        <w:rPr>
          <w:sz w:val="24"/>
        </w:rPr>
        <w:t>costos:</w:t>
      </w:r>
    </w:p>
    <w:p>
      <w:pPr>
        <w:pStyle w:val="BodyText"/>
        <w:spacing w:line="362" w:lineRule="auto" w:before="134"/>
        <w:ind w:left="821"/>
      </w:pPr>
      <w:r>
        <w:rPr/>
        <w:t>-Al prolongarse el tiempo de trabajo en los procesos, se incrementa el costo de renta de taller o costo de servicios (agua y luz).</w:t>
      </w:r>
    </w:p>
    <w:p>
      <w:pPr>
        <w:pStyle w:val="ListParagraph"/>
        <w:numPr>
          <w:ilvl w:val="0"/>
          <w:numId w:val="3"/>
        </w:numPr>
        <w:tabs>
          <w:tab w:pos="820" w:val="left" w:leader="none"/>
          <w:tab w:pos="821" w:val="left" w:leader="none"/>
        </w:tabs>
        <w:spacing w:line="294" w:lineRule="exact" w:before="0" w:after="0"/>
        <w:ind w:left="821" w:right="0" w:hanging="361"/>
        <w:jc w:val="left"/>
        <w:rPr>
          <w:sz w:val="24"/>
        </w:rPr>
      </w:pPr>
      <w:r>
        <w:rPr>
          <w:sz w:val="24"/>
        </w:rPr>
        <w:t>Para el</w:t>
      </w:r>
      <w:r>
        <w:rPr>
          <w:spacing w:val="-12"/>
          <w:sz w:val="24"/>
        </w:rPr>
        <w:t> </w:t>
      </w:r>
      <w:r>
        <w:rPr>
          <w:sz w:val="24"/>
        </w:rPr>
        <w:t>escultor:</w:t>
      </w:r>
    </w:p>
    <w:p>
      <w:pPr>
        <w:pStyle w:val="BodyText"/>
        <w:spacing w:before="138"/>
        <w:ind w:left="821"/>
      </w:pPr>
      <w:r>
        <w:rPr/>
        <w:t>-Cansancio físico (para unas técnicas en específico).</w:t>
      </w:r>
    </w:p>
    <w:p>
      <w:pPr>
        <w:pStyle w:val="BodyText"/>
        <w:spacing w:before="136"/>
        <w:ind w:left="821"/>
      </w:pPr>
      <w:r>
        <w:rPr/>
        <w:t>-Manejo de materiales que lastiman la piel y gases tóxicos</w:t>
      </w:r>
    </w:p>
    <w:p>
      <w:pPr>
        <w:spacing w:after="0"/>
        <w:sectPr>
          <w:pgSz w:w="12240" w:h="15840"/>
          <w:pgMar w:header="0" w:footer="1031" w:top="1360" w:bottom="1220" w:left="1600" w:right="1600"/>
        </w:sectPr>
      </w:pPr>
    </w:p>
    <w:p>
      <w:pPr>
        <w:pStyle w:val="ListParagraph"/>
        <w:numPr>
          <w:ilvl w:val="0"/>
          <w:numId w:val="3"/>
        </w:numPr>
        <w:tabs>
          <w:tab w:pos="820" w:val="left" w:leader="none"/>
          <w:tab w:pos="821" w:val="left" w:leader="none"/>
        </w:tabs>
        <w:spacing w:line="240" w:lineRule="auto" w:before="35" w:after="0"/>
        <w:ind w:left="821" w:right="0" w:hanging="361"/>
        <w:jc w:val="left"/>
        <w:rPr>
          <w:sz w:val="24"/>
        </w:rPr>
      </w:pPr>
      <w:r>
        <w:rPr>
          <w:sz w:val="24"/>
        </w:rPr>
        <w:t>De tipo</w:t>
      </w:r>
      <w:r>
        <w:rPr>
          <w:spacing w:val="-15"/>
          <w:sz w:val="24"/>
        </w:rPr>
        <w:t> </w:t>
      </w:r>
      <w:r>
        <w:rPr>
          <w:sz w:val="24"/>
        </w:rPr>
        <w:t>ambiental:</w:t>
      </w:r>
    </w:p>
    <w:p>
      <w:pPr>
        <w:pStyle w:val="BodyText"/>
        <w:spacing w:line="362" w:lineRule="auto" w:before="138"/>
        <w:ind w:left="821" w:right="98"/>
        <w:jc w:val="both"/>
      </w:pPr>
      <w:r>
        <w:rPr/>
        <w:t>-El uso de la resina poliéster con Fibra de Vidrio (FV) es altamente contaminante para el medio ambiente.</w:t>
      </w:r>
    </w:p>
    <w:p>
      <w:pPr>
        <w:pStyle w:val="BodyText"/>
      </w:pPr>
    </w:p>
    <w:p>
      <w:pPr>
        <w:pStyle w:val="BodyText"/>
        <w:spacing w:line="360" w:lineRule="auto" w:before="140"/>
        <w:ind w:left="100" w:right="101"/>
        <w:jc w:val="both"/>
      </w:pPr>
      <w:r>
        <w:rPr/>
        <w:t>Se debe proponer un método que logre mejorar cada uno de estas dificultades. Plantear otra forma de modelado tridimensional que no sea artesanal. Se propone el modelo de sustentabilidad que abarca todos los aspectos enunciados, y se compruebe una solución del problema.</w:t>
      </w:r>
    </w:p>
    <w:p>
      <w:pPr>
        <w:pStyle w:val="BodyText"/>
      </w:pPr>
    </w:p>
    <w:p>
      <w:pPr>
        <w:pStyle w:val="BodyText"/>
        <w:spacing w:line="360" w:lineRule="auto" w:before="142"/>
        <w:ind w:left="100" w:right="99"/>
        <w:jc w:val="both"/>
      </w:pPr>
      <w:r>
        <w:rPr/>
        <w:t>¿Qué otras opciones tenemos? Existe un área similar al modelado de la escultura; en la tecnología podemos encontrar soluciones para el proceso de modelado tridimensional, llamado RP, como se mencionó anteriormente en la Justificación. Dicha área con sus procesos permitiría corregir y perfeccionar el modelado escultórico que tiene errores de precisión, en tiempo de realización, entre otros, como menciona Fisher los problemas:</w:t>
      </w:r>
    </w:p>
    <w:p>
      <w:pPr>
        <w:pStyle w:val="BodyText"/>
      </w:pPr>
    </w:p>
    <w:p>
      <w:pPr>
        <w:spacing w:line="360" w:lineRule="auto" w:before="139"/>
        <w:ind w:left="821" w:right="99" w:firstLine="0"/>
        <w:jc w:val="both"/>
        <w:rPr>
          <w:sz w:val="24"/>
        </w:rPr>
      </w:pPr>
      <w:r>
        <w:rPr>
          <w:i/>
          <w:sz w:val="20"/>
        </w:rPr>
        <w:t>El cambio de escala del modelo al trabajo real, por ejemplo, afecta a una obra de forma tan </w:t>
      </w:r>
      <w:r>
        <w:rPr>
          <w:i/>
          <w:sz w:val="20"/>
        </w:rPr>
        <w:t>notable que los intentos de imaginarla mediante los sistemas habituales de modelado resultan con frecuencia engañosos. Este problema se agrava aún más en el caso de esculturas situadas en espacios interiores cuya contemplación sólo es posible  desde ciertas posiciones. Si a ello añadimos los problemas del emplazamiento y del diseño físico de la estructura podremos percibir la dificultad de imaginar, en una fase muy inicial del diseño, lo que será exactamente la obra de arte. Sin embargo, eso es precisamente lo que el artista debe hacer en el caso de la escultura relacionada con la arquitectura circundante. </w:t>
      </w:r>
      <w:r>
        <w:rPr>
          <w:sz w:val="24"/>
        </w:rPr>
        <w:t>(Fisher, 2013).</w:t>
      </w:r>
    </w:p>
    <w:p>
      <w:pPr>
        <w:pStyle w:val="BodyText"/>
      </w:pPr>
    </w:p>
    <w:p>
      <w:pPr>
        <w:pStyle w:val="BodyText"/>
        <w:spacing w:line="360" w:lineRule="auto" w:before="142"/>
        <w:ind w:left="100" w:right="98"/>
        <w:jc w:val="both"/>
      </w:pPr>
      <w:r>
        <w:rPr/>
        <w:t>Debido a los problemas planteados por Fisher, se propone solucionar con alternativas tecnológicas; pero otra gran solución es enfocarlo con el modelo sustentable y así obtener técnicas novedosas de modelado.</w:t>
      </w:r>
    </w:p>
    <w:p>
      <w:pPr>
        <w:pStyle w:val="BodyText"/>
      </w:pPr>
    </w:p>
    <w:p>
      <w:pPr>
        <w:pStyle w:val="BodyText"/>
        <w:spacing w:line="360" w:lineRule="auto" w:before="142"/>
        <w:ind w:left="100" w:right="101"/>
        <w:jc w:val="both"/>
      </w:pPr>
      <w:r>
        <w:rPr/>
        <w:t>Para buscar una solución, es necesario preguntarse: ¿Qué métodos o tecnologías en general pueden solucionar el traslado de volumen?, ¿Qué tipo de tecnologías y qué procesos son </w:t>
      </w:r>
      <w:r>
        <w:rPr>
          <w:spacing w:val="-2"/>
        </w:rPr>
        <w:t>más </w:t>
      </w:r>
      <w:r>
        <w:rPr/>
        <w:t>amigables con el medio ambiente durante la fabricación</w:t>
      </w:r>
      <w:r>
        <w:rPr>
          <w:spacing w:val="58"/>
        </w:rPr>
        <w:t> </w:t>
      </w:r>
      <w:r>
        <w:rPr/>
        <w:t>de</w:t>
      </w:r>
    </w:p>
    <w:p>
      <w:pPr>
        <w:spacing w:after="0" w:line="360" w:lineRule="auto"/>
        <w:jc w:val="both"/>
        <w:sectPr>
          <w:pgSz w:w="12240" w:h="15840"/>
          <w:pgMar w:header="0" w:footer="1031" w:top="1380" w:bottom="1220" w:left="1600" w:right="1600"/>
        </w:sectPr>
      </w:pPr>
    </w:p>
    <w:p>
      <w:pPr>
        <w:pStyle w:val="BodyText"/>
        <w:spacing w:line="360" w:lineRule="auto" w:before="55"/>
        <w:ind w:left="100" w:right="100"/>
        <w:jc w:val="both"/>
      </w:pPr>
      <w:r>
        <w:rPr/>
        <w:t>una escultura? ¿Estas ponen en riesgo la salud del escultor? ¿Qué tanto esfuerzo físico implica para el escultor? Con dichas preguntas es preciso “analizar la viabilidad del uso de tecnología de modelado 3D para producir escultura con un menor impacto ambiental”.</w:t>
      </w:r>
    </w:p>
    <w:p>
      <w:pPr>
        <w:pStyle w:val="BodyText"/>
      </w:pPr>
    </w:p>
    <w:p>
      <w:pPr>
        <w:pStyle w:val="BodyText"/>
        <w:spacing w:before="3"/>
        <w:rPr>
          <w:sz w:val="29"/>
        </w:rPr>
      </w:pPr>
    </w:p>
    <w:p>
      <w:pPr>
        <w:pStyle w:val="Heading2"/>
        <w:numPr>
          <w:ilvl w:val="2"/>
          <w:numId w:val="2"/>
        </w:numPr>
        <w:tabs>
          <w:tab w:pos="897" w:val="left" w:leader="none"/>
        </w:tabs>
        <w:spacing w:line="240" w:lineRule="auto" w:before="0" w:after="0"/>
        <w:ind w:left="897" w:right="0" w:hanging="797"/>
        <w:jc w:val="both"/>
      </w:pPr>
      <w:bookmarkStart w:name="1.2.2.  Justificación" w:id="15"/>
      <w:bookmarkEnd w:id="15"/>
      <w:r>
        <w:rPr/>
      </w:r>
      <w:bookmarkStart w:name="_bookmark6" w:id="16"/>
      <w:bookmarkEnd w:id="16"/>
      <w:r>
        <w:rPr/>
        <w:t>Jus</w:t>
      </w:r>
      <w:r>
        <w:rPr/>
        <w:t>tificación</w:t>
      </w:r>
    </w:p>
    <w:p>
      <w:pPr>
        <w:pStyle w:val="BodyText"/>
        <w:rPr>
          <w:sz w:val="28"/>
        </w:rPr>
      </w:pPr>
    </w:p>
    <w:p>
      <w:pPr>
        <w:pStyle w:val="BodyText"/>
        <w:spacing w:before="4"/>
        <w:rPr>
          <w:sz w:val="22"/>
        </w:rPr>
      </w:pPr>
    </w:p>
    <w:p>
      <w:pPr>
        <w:pStyle w:val="BodyText"/>
        <w:spacing w:line="360" w:lineRule="auto"/>
        <w:ind w:left="100" w:right="100"/>
        <w:jc w:val="both"/>
      </w:pPr>
      <w:r>
        <w:rPr/>
        <w:t>Esta es una investigación que puede tener impacto en la vertiente sustentable de la escultura, como disminuir los costos, tener mayor exactitud en el traslado de volumen, evitar el contacto con materiales tóxicos y disminuir la contaminación hacia el medio ambiente causados por materiales industriales altamente tóxicos; como beneficio podría ser de utilidad metodológica para los</w:t>
      </w:r>
      <w:r>
        <w:rPr>
          <w:spacing w:val="-34"/>
        </w:rPr>
        <w:t> </w:t>
      </w:r>
      <w:r>
        <w:rPr/>
        <w:t>escultores.</w:t>
      </w:r>
    </w:p>
    <w:p>
      <w:pPr>
        <w:pStyle w:val="BodyText"/>
      </w:pPr>
    </w:p>
    <w:p>
      <w:pPr>
        <w:pStyle w:val="BodyText"/>
        <w:spacing w:line="360" w:lineRule="auto" w:before="142"/>
        <w:ind w:left="100" w:right="102"/>
        <w:jc w:val="both"/>
      </w:pPr>
      <w:r>
        <w:rPr/>
        <w:t>Este apartado justifica por qué se recurre a las tecnologías ambientales y por qué es válido dentro del campo del arte lo tecnológico y digital, no importando que no sean figuras de barro o bronce y esto desde el punto de vista de la propia escultura, fundamentándonos con autores como Fisher, Tello, De la Flor, y Matía.</w:t>
      </w:r>
    </w:p>
    <w:p>
      <w:pPr>
        <w:pStyle w:val="BodyText"/>
      </w:pPr>
    </w:p>
    <w:p>
      <w:pPr>
        <w:pStyle w:val="BodyText"/>
        <w:spacing w:line="360" w:lineRule="auto" w:before="142"/>
        <w:ind w:left="100" w:right="102"/>
        <w:jc w:val="both"/>
      </w:pPr>
      <w:r>
        <w:rPr/>
        <w:t>En este caso el arte necesita auxiliarse del Diseño, lo congruente es ubicarla con la línea de investigación “Patrimonio, Ambiente y Tecnología”, puesto que dicha investigación se auxiliará de la tecnología sustentable y </w:t>
      </w:r>
      <w:r>
        <w:rPr>
          <w:spacing w:val="3"/>
        </w:rPr>
        <w:t>sus </w:t>
      </w:r>
      <w:r>
        <w:rPr/>
        <w:t>materiales para solucionar los problemas anteriormente planteados, que le competen a esta. Es viable porque se cuenta con los recursos (laboratorios y talleres) así como especialistas en la materia, diseñadores industriales especializados en tecnologías digitales, escultores que trabajen ya de manera digital, así como aquellas áreas que han aportado al campo de la sustentabilidad dentro de la UAEMéx, y también con asesores</w:t>
      </w:r>
      <w:r>
        <w:rPr>
          <w:spacing w:val="-12"/>
        </w:rPr>
        <w:t> </w:t>
      </w:r>
      <w:r>
        <w:rPr/>
        <w:t>externos.</w:t>
      </w:r>
    </w:p>
    <w:p>
      <w:pPr>
        <w:pStyle w:val="BodyText"/>
      </w:pPr>
    </w:p>
    <w:p>
      <w:pPr>
        <w:pStyle w:val="BodyText"/>
        <w:spacing w:line="357" w:lineRule="auto" w:before="142"/>
        <w:ind w:left="100" w:right="103"/>
        <w:jc w:val="both"/>
      </w:pPr>
      <w:r>
        <w:rPr/>
        <w:t>En el planteamiento del problema, Fisher (2013) menciona el problema del modelado artesanal tradicional, y suma otro al considerar que las maquetas y modos  de  representación  artesanales  constituyen  impedimentos  al      proceso</w:t>
      </w:r>
    </w:p>
    <w:p>
      <w:pPr>
        <w:spacing w:after="0" w:line="357" w:lineRule="auto"/>
        <w:jc w:val="both"/>
        <w:sectPr>
          <w:pgSz w:w="12240" w:h="15840"/>
          <w:pgMar w:header="0" w:footer="1031" w:top="1360" w:bottom="1220" w:left="1600" w:right="1600"/>
        </w:sectPr>
      </w:pPr>
    </w:p>
    <w:p>
      <w:pPr>
        <w:pStyle w:val="BodyText"/>
        <w:spacing w:line="360" w:lineRule="auto" w:before="55"/>
        <w:ind w:left="100" w:right="124"/>
        <w:jc w:val="both"/>
      </w:pPr>
      <w:r>
        <w:rPr/>
        <w:t>creativo, pues la simulación del ordenador está abierto al proceso creativo del diseño. Dicha tecnología de tipo proyectual, como menciona puede abreviarnos decisiones en el proceso:</w:t>
      </w:r>
    </w:p>
    <w:p>
      <w:pPr>
        <w:pStyle w:val="BodyText"/>
      </w:pPr>
    </w:p>
    <w:p>
      <w:pPr>
        <w:spacing w:line="360" w:lineRule="auto" w:before="140"/>
        <w:ind w:left="821" w:right="121" w:firstLine="0"/>
        <w:jc w:val="both"/>
        <w:rPr>
          <w:i/>
          <w:sz w:val="20"/>
        </w:rPr>
      </w:pPr>
      <w:r>
        <w:rPr>
          <w:i/>
          <w:sz w:val="20"/>
        </w:rPr>
        <w:t>La combinación de técnicas de proyección CAD/CAM, de potentes instrumentos de </w:t>
      </w:r>
      <w:r>
        <w:rPr>
          <w:i/>
          <w:sz w:val="20"/>
        </w:rPr>
        <w:t>modelación digital y de sofisticadas máquinas herramienta y operadoras de control numérico puede eliminar muchos pasos intermedios del proceso de decisión y de realización de los productos. (Tello, 2008: 22)</w:t>
      </w:r>
    </w:p>
    <w:p>
      <w:pPr>
        <w:pStyle w:val="BodyText"/>
        <w:rPr>
          <w:i/>
          <w:sz w:val="20"/>
        </w:rPr>
      </w:pPr>
    </w:p>
    <w:p>
      <w:pPr>
        <w:pStyle w:val="BodyText"/>
        <w:spacing w:line="360" w:lineRule="auto" w:before="123"/>
        <w:ind w:left="100" w:right="118"/>
        <w:jc w:val="both"/>
      </w:pPr>
      <w:r>
        <w:rPr/>
        <w:t>Ambos autores coinciden con esta apertura y ahorro de procesos que permiten un mejor diseño. La imagen se convierte tanto en una herramienta como en una estructura simbólica, bien es el dibujo, que se puede utilizar para alcanzar una visión que nunca se habría contemplado de otra forma, agrega Fisher. Por ello es importante abordar desde el inicio del proceso de creación de la escultura, bien, el dibujo análogo para este tipo de procesos requiere de dibujo en software, por ejemplo De la Flor menciona el software Mudbox:</w:t>
      </w:r>
    </w:p>
    <w:p>
      <w:pPr>
        <w:pStyle w:val="BodyText"/>
      </w:pPr>
    </w:p>
    <w:p>
      <w:pPr>
        <w:spacing w:line="360" w:lineRule="auto" w:before="139"/>
        <w:ind w:left="821" w:right="125" w:firstLine="0"/>
        <w:jc w:val="both"/>
        <w:rPr>
          <w:sz w:val="24"/>
        </w:rPr>
      </w:pPr>
      <w:r>
        <w:rPr>
          <w:i/>
          <w:sz w:val="20"/>
        </w:rPr>
        <w:t>Cuando trabajas en Mudbox, necesitaras trabajar con modelos poligonales. Los modelos </w:t>
      </w:r>
      <w:r>
        <w:rPr>
          <w:i/>
          <w:sz w:val="20"/>
        </w:rPr>
        <w:t>poligonales pueden ser plantillas propuestas por Mudbox o modelos que han sido creados en otros programas tridimensionales como 3Ds Max, Maya, Carrara, Houndini, o Blender. En la sección de escaneo de este capítulo, nosotros exploraremos métodos alternativos de modelos trasladados al Mudbox. </w:t>
      </w:r>
      <w:r>
        <w:rPr>
          <w:sz w:val="24"/>
        </w:rPr>
        <w:t>(De la Flor, 2010: 273)</w:t>
      </w:r>
    </w:p>
    <w:p>
      <w:pPr>
        <w:pStyle w:val="BodyText"/>
      </w:pPr>
    </w:p>
    <w:p>
      <w:pPr>
        <w:pStyle w:val="BodyText"/>
        <w:spacing w:line="360" w:lineRule="auto" w:before="142"/>
        <w:ind w:left="100" w:right="110"/>
        <w:jc w:val="both"/>
      </w:pPr>
      <w:r>
        <w:rPr/>
        <w:t>En general para modelar en 3D se pueden utilizar programas como Blender®, 3DCanvas®, Google SketchUp®, Wings 3D®, Autodesk Maya®, Rhinoceros®, Z- Brush®, etc. Estos utilizados en su mayoría para productos de diseño industrial también son empleados para modelar escultura. Ver </w:t>
      </w:r>
      <w:hyperlink w:history="true" w:anchor="_bookmark7">
        <w:r>
          <w:rPr/>
          <w:t>Figura 1.1</w:t>
        </w:r>
      </w:hyperlink>
    </w:p>
    <w:p>
      <w:pPr>
        <w:spacing w:after="0" w:line="360" w:lineRule="auto"/>
        <w:jc w:val="both"/>
        <w:sectPr>
          <w:pgSz w:w="12240" w:h="15840"/>
          <w:pgMar w:header="0" w:footer="1031" w:top="1360" w:bottom="1220" w:left="1600" w:right="1580"/>
        </w:sectPr>
      </w:pPr>
    </w:p>
    <w:p>
      <w:pPr>
        <w:pStyle w:val="BodyText"/>
        <w:spacing w:before="8"/>
        <w:rPr>
          <w:sz w:val="12"/>
        </w:rPr>
      </w:pPr>
    </w:p>
    <w:p>
      <w:pPr>
        <w:spacing w:before="77" w:after="5"/>
        <w:ind w:left="1317" w:right="1089" w:firstLine="0"/>
        <w:jc w:val="center"/>
        <w:rPr>
          <w:sz w:val="18"/>
        </w:rPr>
      </w:pPr>
      <w:bookmarkStart w:name="_bookmark7" w:id="17"/>
      <w:bookmarkEnd w:id="17"/>
      <w:r>
        <w:rPr/>
      </w:r>
      <w:r>
        <w:rPr>
          <w:sz w:val="18"/>
        </w:rPr>
        <w:t>Figura 1.1. Dibujo en Rihnoceros.</w:t>
      </w:r>
    </w:p>
    <w:p>
      <w:pPr>
        <w:pStyle w:val="BodyText"/>
        <w:ind w:left="1820"/>
        <w:rPr>
          <w:sz w:val="20"/>
        </w:rPr>
      </w:pPr>
      <w:r>
        <w:rPr>
          <w:sz w:val="20"/>
        </w:rPr>
        <w:drawing>
          <wp:inline distT="0" distB="0" distL="0" distR="0">
            <wp:extent cx="3466956" cy="1948815"/>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10" cstate="print"/>
                    <a:stretch>
                      <a:fillRect/>
                    </a:stretch>
                  </pic:blipFill>
                  <pic:spPr>
                    <a:xfrm>
                      <a:off x="0" y="0"/>
                      <a:ext cx="3466956" cy="1948815"/>
                    </a:xfrm>
                    <a:prstGeom prst="rect">
                      <a:avLst/>
                    </a:prstGeom>
                  </pic:spPr>
                </pic:pic>
              </a:graphicData>
            </a:graphic>
          </wp:inline>
        </w:drawing>
      </w:r>
      <w:r>
        <w:rPr>
          <w:sz w:val="20"/>
        </w:rPr>
      </w:r>
    </w:p>
    <w:p>
      <w:pPr>
        <w:spacing w:before="99"/>
        <w:ind w:left="1321" w:right="1045" w:firstLine="0"/>
        <w:jc w:val="center"/>
        <w:rPr>
          <w:sz w:val="18"/>
        </w:rPr>
      </w:pPr>
      <w:r>
        <w:rPr>
          <w:sz w:val="18"/>
        </w:rPr>
        <w:t>(Fuente: </w:t>
      </w:r>
      <w:hyperlink r:id="rId11">
        <w:r>
          <w:rPr>
            <w:sz w:val="18"/>
          </w:rPr>
          <w:t>http://cursosrhino.com/,</w:t>
        </w:r>
      </w:hyperlink>
      <w:r>
        <w:rPr>
          <w:sz w:val="18"/>
        </w:rPr>
        <w:t> consultado el  11 mayo de 2013).</w:t>
      </w:r>
    </w:p>
    <w:p>
      <w:pPr>
        <w:pStyle w:val="BodyText"/>
        <w:rPr>
          <w:sz w:val="18"/>
        </w:rPr>
      </w:pPr>
    </w:p>
    <w:p>
      <w:pPr>
        <w:pStyle w:val="BodyText"/>
        <w:spacing w:before="6"/>
        <w:rPr>
          <w:sz w:val="18"/>
        </w:rPr>
      </w:pPr>
    </w:p>
    <w:p>
      <w:pPr>
        <w:pStyle w:val="BodyText"/>
        <w:spacing w:line="360" w:lineRule="auto"/>
        <w:ind w:left="100" w:right="105"/>
        <w:jc w:val="both"/>
      </w:pPr>
      <w:r>
        <w:rPr/>
        <w:t>Tello (2008) menciona que en el estado actual, la información del ciclo total de proyectación, desarrollo y producción, está limitada a algunos sectores, en los cuales es indispensable efectuar verificaciones y controles preventivos muy cuidadosos y comparar diferentes soluciones alternativas hasta llegar a un grado de detalle muy elevado; y el mismo autor confirma que son por lo tanto tecnologías ideales de representación y modelación flexibles y veloces como las digitales, que permiten avanzar con procedimientos del tipo “prueba y error” y que, al final, pueden transferir los resultados a la línea productiva sin ulteriores intermediaciones. De este modo, se evita el desgaste de recursos en la maqueta para hacer posibles correcciones al diseño mismo del modelo.</w:t>
      </w:r>
    </w:p>
    <w:p>
      <w:pPr>
        <w:pStyle w:val="BodyText"/>
      </w:pPr>
    </w:p>
    <w:p>
      <w:pPr>
        <w:pStyle w:val="BodyText"/>
        <w:spacing w:line="360" w:lineRule="auto" w:before="142"/>
        <w:ind w:left="100" w:right="101"/>
        <w:jc w:val="both"/>
      </w:pPr>
      <w:r>
        <w:rPr/>
        <w:t>Este tipo de tecnologías pueden ser aplicadas a la escultura cuya cualidad es versátil como lo muestra Matía, (2006). Por ejemplo hace una acentuada mención al considerar los nuevos espacios que encuentra el escultor en la naturaleza, y da inicio mencionando que en los años sesenta, los artistas experimentan con los espacios naturales (mar, montaña, desierto), se inicia el </w:t>
      </w:r>
      <w:r>
        <w:rPr>
          <w:i/>
        </w:rPr>
        <w:t>Land Art </w:t>
      </w:r>
      <w:r>
        <w:rPr/>
        <w:t>o arte de la  tierra. Los autores reflexionan el ecologismo, y a menudo se encaminan a criticar los daños que el hombre causa en el medio ambiente,</w:t>
      </w:r>
      <w:r>
        <w:rPr>
          <w:spacing w:val="-31"/>
        </w:rPr>
        <w:t> </w:t>
      </w:r>
      <w:r>
        <w:rPr/>
        <w:t>ejemplo:</w:t>
      </w:r>
    </w:p>
    <w:p>
      <w:pPr>
        <w:pStyle w:val="BodyText"/>
      </w:pPr>
    </w:p>
    <w:p>
      <w:pPr>
        <w:spacing w:line="360" w:lineRule="auto" w:before="139"/>
        <w:ind w:left="821" w:right="0" w:firstLine="0"/>
        <w:jc w:val="left"/>
        <w:rPr>
          <w:i/>
          <w:sz w:val="20"/>
        </w:rPr>
      </w:pPr>
      <w:r>
        <w:rPr>
          <w:i/>
          <w:sz w:val="20"/>
        </w:rPr>
        <w:t>Los artistas rechazan el marco cerrado del museo o galería, utilizan espacios naturales, </w:t>
      </w:r>
      <w:r>
        <w:rPr>
          <w:i/>
          <w:sz w:val="20"/>
        </w:rPr>
        <w:t>donde  arte  y  naturaleza  forman  una  misma  unidad.  Quieren  una  naturaleza genuina,</w:t>
      </w:r>
    </w:p>
    <w:p>
      <w:pPr>
        <w:spacing w:after="0" w:line="360" w:lineRule="auto"/>
        <w:jc w:val="left"/>
        <w:rPr>
          <w:sz w:val="20"/>
        </w:rPr>
        <w:sectPr>
          <w:pgSz w:w="12240" w:h="15840"/>
          <w:pgMar w:header="0" w:footer="1031" w:top="1500" w:bottom="1220" w:left="1600" w:right="1600"/>
        </w:sectPr>
      </w:pPr>
    </w:p>
    <w:p>
      <w:pPr>
        <w:spacing w:line="364" w:lineRule="auto" w:before="53"/>
        <w:ind w:left="821" w:right="0" w:firstLine="0"/>
        <w:jc w:val="left"/>
        <w:rPr>
          <w:sz w:val="24"/>
        </w:rPr>
      </w:pPr>
      <w:r>
        <w:rPr>
          <w:i/>
          <w:sz w:val="20"/>
        </w:rPr>
        <w:t>apartándose de los núcleos de población y ocupando espacios donde la distinción entre lo </w:t>
      </w:r>
      <w:r>
        <w:rPr>
          <w:i/>
          <w:sz w:val="20"/>
        </w:rPr>
        <w:t>público y privado no tenga sentido. </w:t>
      </w:r>
      <w:r>
        <w:rPr>
          <w:sz w:val="24"/>
        </w:rPr>
        <w:t>(Matía, 2006: 26).</w:t>
      </w:r>
    </w:p>
    <w:p>
      <w:pPr>
        <w:pStyle w:val="BodyText"/>
        <w:spacing w:before="10"/>
        <w:rPr>
          <w:sz w:val="35"/>
        </w:rPr>
      </w:pPr>
    </w:p>
    <w:p>
      <w:pPr>
        <w:pStyle w:val="BodyText"/>
        <w:spacing w:line="360" w:lineRule="auto"/>
        <w:ind w:left="100" w:right="109"/>
        <w:jc w:val="both"/>
      </w:pPr>
      <w:r>
        <w:rPr/>
        <w:t>Y por lo citado anteriormente el autor declara entonces que la fusión que nace entre escultura y naturaleza desarrolla un intercambio enriquecedor para ambas, donde la actitud del artista logra crear un entorno mágico de tintes sagrados. Ejemplo de esto ver la </w:t>
      </w:r>
      <w:hyperlink w:history="true" w:anchor="_bookmark8">
        <w:r>
          <w:rPr/>
          <w:t>Figura 1.2</w:t>
        </w:r>
      </w:hyperlink>
    </w:p>
    <w:p>
      <w:pPr>
        <w:pStyle w:val="BodyText"/>
        <w:rPr>
          <w:sz w:val="20"/>
        </w:rPr>
      </w:pPr>
    </w:p>
    <w:p>
      <w:pPr>
        <w:pStyle w:val="BodyText"/>
        <w:rPr>
          <w:sz w:val="13"/>
        </w:rPr>
      </w:pPr>
      <w:r>
        <w:rPr/>
        <w:drawing>
          <wp:anchor distT="0" distB="0" distL="0" distR="0" allowOverlap="1" layoutInCell="1" locked="0" behindDoc="0" simplePos="0" relativeHeight="1072">
            <wp:simplePos x="0" y="0"/>
            <wp:positionH relativeFrom="page">
              <wp:posOffset>2809875</wp:posOffset>
            </wp:positionH>
            <wp:positionV relativeFrom="paragraph">
              <wp:posOffset>119950</wp:posOffset>
            </wp:positionV>
            <wp:extent cx="2162785" cy="1639633"/>
            <wp:effectExtent l="0" t="0" r="0" b="0"/>
            <wp:wrapTopAndBottom/>
            <wp:docPr id="7" name="image4.jpeg" descr=""/>
            <wp:cNvGraphicFramePr>
              <a:graphicFrameLocks noChangeAspect="1"/>
            </wp:cNvGraphicFramePr>
            <a:graphic>
              <a:graphicData uri="http://schemas.openxmlformats.org/drawingml/2006/picture">
                <pic:pic>
                  <pic:nvPicPr>
                    <pic:cNvPr id="8" name="image4.jpeg"/>
                    <pic:cNvPicPr/>
                  </pic:nvPicPr>
                  <pic:blipFill>
                    <a:blip r:embed="rId12" cstate="print"/>
                    <a:stretch>
                      <a:fillRect/>
                    </a:stretch>
                  </pic:blipFill>
                  <pic:spPr>
                    <a:xfrm>
                      <a:off x="0" y="0"/>
                      <a:ext cx="2162785" cy="1639633"/>
                    </a:xfrm>
                    <a:prstGeom prst="rect">
                      <a:avLst/>
                    </a:prstGeom>
                  </pic:spPr>
                </pic:pic>
              </a:graphicData>
            </a:graphic>
          </wp:anchor>
        </w:drawing>
      </w:r>
    </w:p>
    <w:p>
      <w:pPr>
        <w:spacing w:before="69"/>
        <w:ind w:left="1981" w:right="1197" w:hanging="532"/>
        <w:jc w:val="left"/>
        <w:rPr>
          <w:sz w:val="18"/>
        </w:rPr>
      </w:pPr>
      <w:bookmarkStart w:name="_bookmark8" w:id="18"/>
      <w:bookmarkEnd w:id="18"/>
      <w:r>
        <w:rPr/>
      </w:r>
      <w:r>
        <w:rPr>
          <w:sz w:val="18"/>
        </w:rPr>
        <w:t>Figura 1.2. Walter de María, The Lightning Field (Campo de relámpagos), 1974- 1977, Quemado, Nuevo México.  (Fuente: Matía et al., 2006: 187).</w:t>
      </w:r>
    </w:p>
    <w:p>
      <w:pPr>
        <w:pStyle w:val="BodyText"/>
        <w:rPr>
          <w:sz w:val="18"/>
        </w:rPr>
      </w:pPr>
    </w:p>
    <w:p>
      <w:pPr>
        <w:pStyle w:val="BodyText"/>
        <w:spacing w:before="2"/>
        <w:rPr>
          <w:sz w:val="18"/>
        </w:rPr>
      </w:pPr>
    </w:p>
    <w:p>
      <w:pPr>
        <w:pStyle w:val="BodyText"/>
        <w:spacing w:line="360" w:lineRule="auto"/>
        <w:ind w:left="100" w:right="104"/>
        <w:jc w:val="both"/>
      </w:pPr>
      <w:r>
        <w:rPr/>
        <w:t>Para Matía el ser humano, el espacio es una forma de percepción sensitiva, necesaria para el reconocimiento de otros conceptos y que se realiza de una manera personal. Por medio del movimiento somos capaces de estructurar  nuestro conocimiento del espacio y nuestro esquema</w:t>
      </w:r>
      <w:r>
        <w:rPr>
          <w:spacing w:val="-31"/>
        </w:rPr>
        <w:t> </w:t>
      </w:r>
      <w:r>
        <w:rPr/>
        <w:t>corporal.</w:t>
      </w:r>
    </w:p>
    <w:p>
      <w:pPr>
        <w:pStyle w:val="BodyText"/>
      </w:pPr>
    </w:p>
    <w:p>
      <w:pPr>
        <w:pStyle w:val="BodyText"/>
        <w:spacing w:line="360" w:lineRule="auto" w:before="138"/>
        <w:ind w:left="100" w:right="101"/>
        <w:jc w:val="both"/>
      </w:pPr>
      <w:r>
        <w:rPr/>
        <w:t>Con esto no podemos limitar el concepto de lo escultórico a técnicas tradicionales, sino que también podemos romper los límites de la creatividad abriéndose a nuevas técnicas y procesos para la realización de escultura.</w:t>
      </w:r>
    </w:p>
    <w:p>
      <w:pPr>
        <w:pStyle w:val="BodyText"/>
      </w:pPr>
    </w:p>
    <w:p>
      <w:pPr>
        <w:pStyle w:val="BodyText"/>
        <w:spacing w:line="360" w:lineRule="auto" w:before="142"/>
        <w:ind w:left="100" w:right="101"/>
        <w:jc w:val="both"/>
      </w:pPr>
      <w:r>
        <w:rPr/>
        <w:t>Matía piensa que el espacio lo relacionamos con la capacidad de contener cuerpos, lo que obliga a considerar el vacío como objeto de estudio, como envolvente o como contenido, siendo el lugar donde colocar los volúmenes, organizado de acurdo a las tres coordenadas básicas. Se percibe la espacialidad, vinculándonos con los volúmenes que es ella habitan, generadores de espacio.</w:t>
      </w:r>
    </w:p>
    <w:p>
      <w:pPr>
        <w:spacing w:after="0" w:line="360" w:lineRule="auto"/>
        <w:jc w:val="both"/>
        <w:sectPr>
          <w:pgSz w:w="12240" w:h="15840"/>
          <w:pgMar w:header="0" w:footer="1031" w:top="1360" w:bottom="1220" w:left="1600" w:right="1600"/>
        </w:sectPr>
      </w:pPr>
    </w:p>
    <w:p>
      <w:pPr>
        <w:pStyle w:val="BodyText"/>
        <w:spacing w:line="362" w:lineRule="auto" w:before="55"/>
        <w:ind w:left="100" w:right="122"/>
        <w:jc w:val="both"/>
      </w:pPr>
      <w:r>
        <w:rPr/>
        <w:t>Lleno y vacío no son sino modos de nombrarlo. Como ejemplo podemos ver la </w:t>
      </w:r>
      <w:hyperlink w:history="true" w:anchor="_bookmark9">
        <w:r>
          <w:rPr/>
          <w:t>Figura 1.3</w:t>
        </w:r>
      </w:hyperlink>
    </w:p>
    <w:p>
      <w:pPr>
        <w:pStyle w:val="BodyText"/>
        <w:ind w:left="3121"/>
        <w:rPr>
          <w:sz w:val="20"/>
        </w:rPr>
      </w:pPr>
      <w:r>
        <w:rPr>
          <w:sz w:val="20"/>
        </w:rPr>
        <w:drawing>
          <wp:inline distT="0" distB="0" distL="0" distR="0">
            <wp:extent cx="1770333" cy="2241232"/>
            <wp:effectExtent l="0" t="0" r="0" b="0"/>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13" cstate="print"/>
                    <a:stretch>
                      <a:fillRect/>
                    </a:stretch>
                  </pic:blipFill>
                  <pic:spPr>
                    <a:xfrm>
                      <a:off x="0" y="0"/>
                      <a:ext cx="1770333" cy="2241232"/>
                    </a:xfrm>
                    <a:prstGeom prst="rect">
                      <a:avLst/>
                    </a:prstGeom>
                  </pic:spPr>
                </pic:pic>
              </a:graphicData>
            </a:graphic>
          </wp:inline>
        </w:drawing>
      </w:r>
      <w:r>
        <w:rPr>
          <w:sz w:val="20"/>
        </w:rPr>
      </w:r>
    </w:p>
    <w:p>
      <w:pPr>
        <w:spacing w:line="240" w:lineRule="auto" w:before="112"/>
        <w:ind w:left="1269" w:right="1063" w:firstLine="11"/>
        <w:jc w:val="center"/>
        <w:rPr>
          <w:sz w:val="18"/>
        </w:rPr>
      </w:pPr>
      <w:bookmarkStart w:name="_bookmark9" w:id="19"/>
      <w:bookmarkEnd w:id="19"/>
      <w:r>
        <w:rPr/>
      </w:r>
      <w:r>
        <w:rPr>
          <w:sz w:val="18"/>
        </w:rPr>
        <w:t>Figura 1.3. Cornelia Parker, Cold Dark Matter, 1991. Escultura realizada con fragmentos resultantes de una explosión controlada de una cabaña junto a</w:t>
      </w:r>
      <w:r>
        <w:rPr>
          <w:spacing w:val="-30"/>
          <w:sz w:val="18"/>
        </w:rPr>
        <w:t> </w:t>
      </w:r>
      <w:r>
        <w:rPr>
          <w:sz w:val="18"/>
        </w:rPr>
        <w:t>Banbury. (Fuente: Matía et al., 2006:</w:t>
      </w:r>
      <w:r>
        <w:rPr>
          <w:spacing w:val="-10"/>
          <w:sz w:val="18"/>
        </w:rPr>
        <w:t> </w:t>
      </w:r>
      <w:r>
        <w:rPr>
          <w:sz w:val="18"/>
        </w:rPr>
        <w:t>10).</w:t>
      </w:r>
    </w:p>
    <w:p>
      <w:pPr>
        <w:pStyle w:val="BodyText"/>
        <w:rPr>
          <w:sz w:val="18"/>
        </w:rPr>
      </w:pPr>
    </w:p>
    <w:p>
      <w:pPr>
        <w:pStyle w:val="BodyText"/>
        <w:spacing w:before="7"/>
        <w:rPr>
          <w:sz w:val="18"/>
        </w:rPr>
      </w:pPr>
    </w:p>
    <w:p>
      <w:pPr>
        <w:pStyle w:val="BodyText"/>
        <w:spacing w:line="360" w:lineRule="auto"/>
        <w:ind w:left="100" w:right="120"/>
        <w:jc w:val="both"/>
      </w:pPr>
      <w:r>
        <w:rPr/>
        <w:t>Es válida la versatilidad de materiales y modos de hacer escultura, por ello no es problema que una escultura impresa en este tipo de tecnologías se devalué. Una escultura no deja de ser escultura solo por el hecho de que no esté fabricada de barro, bronce, talla en madera o piedra; el escultor puede utilizar diversas herramientas o materiales, su discurso es “</w:t>
      </w:r>
      <w:r>
        <w:rPr>
          <w:i/>
        </w:rPr>
        <w:t>visual”</w:t>
      </w:r>
      <w:r>
        <w:rPr/>
        <w:t>.</w:t>
      </w:r>
    </w:p>
    <w:p>
      <w:pPr>
        <w:pStyle w:val="BodyText"/>
      </w:pPr>
    </w:p>
    <w:p>
      <w:pPr>
        <w:pStyle w:val="BodyText"/>
        <w:spacing w:line="360" w:lineRule="auto" w:before="146"/>
        <w:ind w:left="100" w:right="114"/>
        <w:jc w:val="both"/>
      </w:pPr>
      <w:r>
        <w:rPr/>
        <w:t>En conclusión es justificable utilizar tecnología para la fabricación de escultura de acuerdo a lo mencionado anteriormente. De las entrevistas realizadas a los escultores el resultado fue reiterativo, que al consumidor no le importa cómo fue el proceso de elaboración. El valor de esta investigación es que es de utilidad metodológica.</w:t>
      </w:r>
    </w:p>
    <w:p>
      <w:pPr>
        <w:pStyle w:val="BodyText"/>
      </w:pPr>
    </w:p>
    <w:p>
      <w:pPr>
        <w:pStyle w:val="BodyText"/>
        <w:spacing w:before="3"/>
        <w:rPr>
          <w:sz w:val="29"/>
        </w:rPr>
      </w:pPr>
    </w:p>
    <w:p>
      <w:pPr>
        <w:pStyle w:val="Heading2"/>
        <w:numPr>
          <w:ilvl w:val="2"/>
          <w:numId w:val="2"/>
        </w:numPr>
        <w:tabs>
          <w:tab w:pos="897" w:val="left" w:leader="none"/>
        </w:tabs>
        <w:spacing w:line="240" w:lineRule="auto" w:before="0" w:after="0"/>
        <w:ind w:left="897" w:right="0" w:hanging="797"/>
        <w:jc w:val="both"/>
      </w:pPr>
      <w:bookmarkStart w:name="1.2.3.  Hipótesis" w:id="20"/>
      <w:bookmarkEnd w:id="20"/>
      <w:r>
        <w:rPr/>
      </w:r>
      <w:bookmarkStart w:name="_bookmark10" w:id="21"/>
      <w:bookmarkEnd w:id="21"/>
      <w:r>
        <w:rPr/>
        <w:t>H</w:t>
      </w:r>
      <w:r>
        <w:rPr/>
        <w:t>ipótesis</w:t>
      </w:r>
    </w:p>
    <w:p>
      <w:pPr>
        <w:pStyle w:val="BodyText"/>
        <w:rPr>
          <w:sz w:val="28"/>
        </w:rPr>
      </w:pPr>
    </w:p>
    <w:p>
      <w:pPr>
        <w:pStyle w:val="BodyText"/>
        <w:spacing w:before="5"/>
        <w:rPr>
          <w:sz w:val="22"/>
        </w:rPr>
      </w:pPr>
    </w:p>
    <w:p>
      <w:pPr>
        <w:pStyle w:val="BodyText"/>
        <w:spacing w:line="362" w:lineRule="auto"/>
        <w:ind w:left="100" w:right="119"/>
        <w:jc w:val="both"/>
      </w:pPr>
      <w:r>
        <w:rPr/>
        <w:t>Si se utiliza tecnología de modelado 3D para la escultura de pequeño formato</w:t>
      </w:r>
      <w:r>
        <w:rPr>
          <w:b/>
        </w:rPr>
        <w:t>, </w:t>
      </w:r>
      <w:r>
        <w:rPr/>
        <w:t>entonces se obtendrá  mayor  exactitud en  las  medidas, se reduciría el    impacto</w:t>
      </w:r>
    </w:p>
    <w:p>
      <w:pPr>
        <w:spacing w:after="0" w:line="362" w:lineRule="auto"/>
        <w:jc w:val="both"/>
        <w:sectPr>
          <w:pgSz w:w="12240" w:h="15840"/>
          <w:pgMar w:header="0" w:footer="1031" w:top="1360" w:bottom="1220" w:left="1600" w:right="1580"/>
        </w:sectPr>
      </w:pPr>
    </w:p>
    <w:p>
      <w:pPr>
        <w:pStyle w:val="BodyText"/>
        <w:spacing w:line="362" w:lineRule="auto" w:before="55"/>
        <w:ind w:left="120" w:right="102"/>
        <w:jc w:val="both"/>
      </w:pPr>
      <w:r>
        <w:rPr/>
        <w:t>ambiental en comparación con el método de aplicación de fibra de vidrio, así como la disminución de costos en el proceso y menor daño a la salud.</w:t>
      </w:r>
    </w:p>
    <w:p>
      <w:pPr>
        <w:pStyle w:val="BodyText"/>
      </w:pPr>
    </w:p>
    <w:p>
      <w:pPr>
        <w:pStyle w:val="BodyText"/>
        <w:rPr>
          <w:sz w:val="29"/>
        </w:rPr>
      </w:pPr>
    </w:p>
    <w:p>
      <w:pPr>
        <w:pStyle w:val="Heading2"/>
        <w:numPr>
          <w:ilvl w:val="2"/>
          <w:numId w:val="2"/>
        </w:numPr>
        <w:tabs>
          <w:tab w:pos="917" w:val="left" w:leader="none"/>
        </w:tabs>
        <w:spacing w:line="240" w:lineRule="auto" w:before="0" w:after="0"/>
        <w:ind w:left="917" w:right="0" w:hanging="797"/>
        <w:jc w:val="both"/>
      </w:pPr>
      <w:bookmarkStart w:name="1.2.4.  Objetivo general" w:id="22"/>
      <w:bookmarkEnd w:id="22"/>
      <w:r>
        <w:rPr/>
      </w:r>
      <w:bookmarkStart w:name="_bookmark11" w:id="23"/>
      <w:bookmarkEnd w:id="23"/>
      <w:r>
        <w:rPr/>
        <w:t>O</w:t>
      </w:r>
      <w:r>
        <w:rPr/>
        <w:t>bjetivo</w:t>
      </w:r>
      <w:r>
        <w:rPr>
          <w:spacing w:val="-6"/>
        </w:rPr>
        <w:t> </w:t>
      </w:r>
      <w:r>
        <w:rPr/>
        <w:t>general</w:t>
      </w:r>
    </w:p>
    <w:p>
      <w:pPr>
        <w:pStyle w:val="BodyText"/>
        <w:rPr>
          <w:sz w:val="28"/>
        </w:rPr>
      </w:pPr>
    </w:p>
    <w:p>
      <w:pPr>
        <w:pStyle w:val="BodyText"/>
        <w:spacing w:before="4"/>
        <w:rPr>
          <w:sz w:val="22"/>
        </w:rPr>
      </w:pPr>
    </w:p>
    <w:p>
      <w:pPr>
        <w:pStyle w:val="BodyText"/>
        <w:spacing w:line="345" w:lineRule="auto"/>
        <w:ind w:left="120" w:right="101"/>
        <w:jc w:val="both"/>
      </w:pPr>
      <w:r>
        <w:rPr/>
        <w:t>Analizar la viabilidad del uso de tecnología de modelado 3D para hacer escultura híbrida </w:t>
      </w:r>
      <w:r>
        <w:rPr>
          <w:b/>
          <w:position w:val="11"/>
          <w:sz w:val="16"/>
        </w:rPr>
        <w:t>1 </w:t>
      </w:r>
      <w:r>
        <w:rPr/>
        <w:t>con un menor impacto ambiental en comparación con el método de aplicación de FV, sustentable.</w:t>
      </w:r>
    </w:p>
    <w:p>
      <w:pPr>
        <w:pStyle w:val="BodyText"/>
      </w:pPr>
    </w:p>
    <w:p>
      <w:pPr>
        <w:pStyle w:val="BodyText"/>
        <w:spacing w:before="8"/>
        <w:rPr>
          <w:sz w:val="30"/>
        </w:rPr>
      </w:pPr>
    </w:p>
    <w:p>
      <w:pPr>
        <w:pStyle w:val="Heading2"/>
        <w:numPr>
          <w:ilvl w:val="2"/>
          <w:numId w:val="2"/>
        </w:numPr>
        <w:tabs>
          <w:tab w:pos="917" w:val="left" w:leader="none"/>
        </w:tabs>
        <w:spacing w:line="240" w:lineRule="auto" w:before="0" w:after="0"/>
        <w:ind w:left="917" w:right="0" w:hanging="797"/>
        <w:jc w:val="both"/>
      </w:pPr>
      <w:bookmarkStart w:name="1.2.5.  Objetivos particulares" w:id="24"/>
      <w:bookmarkEnd w:id="24"/>
      <w:r>
        <w:rPr/>
      </w:r>
      <w:bookmarkStart w:name="_bookmark12" w:id="25"/>
      <w:bookmarkEnd w:id="25"/>
      <w:r>
        <w:rPr/>
        <w:t>O</w:t>
      </w:r>
      <w:r>
        <w:rPr/>
        <w:t>bjetivos</w:t>
      </w:r>
      <w:r>
        <w:rPr>
          <w:spacing w:val="-7"/>
        </w:rPr>
        <w:t> </w:t>
      </w:r>
      <w:r>
        <w:rPr/>
        <w:t>particulares</w:t>
      </w:r>
    </w:p>
    <w:p>
      <w:pPr>
        <w:pStyle w:val="BodyText"/>
        <w:rPr>
          <w:sz w:val="28"/>
        </w:rPr>
      </w:pPr>
    </w:p>
    <w:p>
      <w:pPr>
        <w:pStyle w:val="BodyText"/>
        <w:spacing w:before="4"/>
        <w:rPr>
          <w:sz w:val="22"/>
        </w:rPr>
      </w:pPr>
    </w:p>
    <w:p>
      <w:pPr>
        <w:pStyle w:val="ListParagraph"/>
        <w:numPr>
          <w:ilvl w:val="0"/>
          <w:numId w:val="4"/>
        </w:numPr>
        <w:tabs>
          <w:tab w:pos="469" w:val="left" w:leader="none"/>
        </w:tabs>
        <w:spacing w:line="240" w:lineRule="auto" w:before="0" w:after="0"/>
        <w:ind w:left="120" w:right="0" w:hanging="12"/>
        <w:jc w:val="both"/>
        <w:rPr>
          <w:sz w:val="24"/>
        </w:rPr>
      </w:pPr>
      <w:r>
        <w:rPr>
          <w:sz w:val="24"/>
        </w:rPr>
        <w:t>Conceptualizar la tecnología como herramientas de modelado</w:t>
      </w:r>
      <w:r>
        <w:rPr>
          <w:spacing w:val="-26"/>
          <w:sz w:val="24"/>
        </w:rPr>
        <w:t> </w:t>
      </w:r>
      <w:r>
        <w:rPr>
          <w:spacing w:val="-2"/>
          <w:sz w:val="24"/>
        </w:rPr>
        <w:t>3D.</w:t>
      </w:r>
    </w:p>
    <w:p>
      <w:pPr>
        <w:pStyle w:val="ListParagraph"/>
        <w:numPr>
          <w:ilvl w:val="0"/>
          <w:numId w:val="4"/>
        </w:numPr>
        <w:tabs>
          <w:tab w:pos="388" w:val="left" w:leader="none"/>
        </w:tabs>
        <w:spacing w:line="240" w:lineRule="auto" w:before="140" w:after="0"/>
        <w:ind w:left="387" w:right="0" w:hanging="267"/>
        <w:jc w:val="both"/>
        <w:rPr>
          <w:sz w:val="24"/>
        </w:rPr>
      </w:pPr>
      <w:r>
        <w:rPr>
          <w:sz w:val="24"/>
        </w:rPr>
        <w:t>Mencionar qué tecnología se aplican a la escultura</w:t>
      </w:r>
      <w:r>
        <w:rPr>
          <w:spacing w:val="-27"/>
          <w:sz w:val="24"/>
        </w:rPr>
        <w:t> </w:t>
      </w:r>
      <w:r>
        <w:rPr>
          <w:sz w:val="24"/>
        </w:rPr>
        <w:t>actual.</w:t>
      </w:r>
    </w:p>
    <w:p>
      <w:pPr>
        <w:pStyle w:val="ListParagraph"/>
        <w:numPr>
          <w:ilvl w:val="0"/>
          <w:numId w:val="4"/>
        </w:numPr>
        <w:tabs>
          <w:tab w:pos="400" w:val="left" w:leader="none"/>
        </w:tabs>
        <w:spacing w:line="362" w:lineRule="auto" w:before="136" w:after="0"/>
        <w:ind w:left="120" w:right="108" w:firstLine="0"/>
        <w:jc w:val="both"/>
        <w:rPr>
          <w:sz w:val="24"/>
        </w:rPr>
      </w:pPr>
      <w:r>
        <w:rPr>
          <w:sz w:val="24"/>
        </w:rPr>
        <w:t>Describir los materiales y procesos tradicionales en el modelado de una Banda de Moebius (BM) de mediano</w:t>
      </w:r>
      <w:r>
        <w:rPr>
          <w:spacing w:val="-17"/>
          <w:sz w:val="24"/>
        </w:rPr>
        <w:t> </w:t>
      </w:r>
      <w:r>
        <w:rPr>
          <w:sz w:val="24"/>
        </w:rPr>
        <w:t>formato.</w:t>
      </w:r>
    </w:p>
    <w:p>
      <w:pPr>
        <w:pStyle w:val="ListParagraph"/>
        <w:numPr>
          <w:ilvl w:val="0"/>
          <w:numId w:val="4"/>
        </w:numPr>
        <w:tabs>
          <w:tab w:pos="424" w:val="left" w:leader="none"/>
        </w:tabs>
        <w:spacing w:line="362" w:lineRule="auto" w:before="0" w:after="0"/>
        <w:ind w:left="120" w:right="103" w:firstLine="0"/>
        <w:jc w:val="both"/>
        <w:rPr>
          <w:sz w:val="24"/>
        </w:rPr>
      </w:pPr>
      <w:r>
        <w:rPr>
          <w:sz w:val="24"/>
        </w:rPr>
        <w:t>Producir una escultura utilizando una herramienta tecnológica, bien, imprimir una banda de</w:t>
      </w:r>
      <w:r>
        <w:rPr>
          <w:spacing w:val="-16"/>
          <w:sz w:val="24"/>
        </w:rPr>
        <w:t> </w:t>
      </w:r>
      <w:r>
        <w:rPr>
          <w:sz w:val="24"/>
        </w:rPr>
        <w:t>Moebius.</w:t>
      </w:r>
    </w:p>
    <w:p>
      <w:pPr>
        <w:pStyle w:val="ListParagraph"/>
        <w:numPr>
          <w:ilvl w:val="0"/>
          <w:numId w:val="4"/>
        </w:numPr>
        <w:tabs>
          <w:tab w:pos="437" w:val="left" w:leader="none"/>
        </w:tabs>
        <w:spacing w:line="360" w:lineRule="auto" w:before="0" w:after="0"/>
        <w:ind w:left="120" w:right="100" w:firstLine="0"/>
        <w:jc w:val="both"/>
        <w:rPr>
          <w:sz w:val="24"/>
        </w:rPr>
      </w:pPr>
      <w:r>
        <w:rPr>
          <w:sz w:val="24"/>
        </w:rPr>
        <w:t>Realizar un análisis comparativo de unidades contaminantes del proceso de modelado tradicional con el proceso tecnológico para evaluar cual tendría menor impacto ambiental utilizando la herramienta de Sima Pro</w:t>
      </w:r>
      <w:r>
        <w:rPr>
          <w:spacing w:val="-35"/>
          <w:sz w:val="24"/>
        </w:rPr>
        <w:t> </w:t>
      </w:r>
      <w:r>
        <w:rPr>
          <w:sz w:val="24"/>
        </w:rPr>
        <w:t>8.0</w:t>
      </w:r>
    </w:p>
    <w:p>
      <w:pPr>
        <w:pStyle w:val="ListParagraph"/>
        <w:numPr>
          <w:ilvl w:val="0"/>
          <w:numId w:val="4"/>
        </w:numPr>
        <w:tabs>
          <w:tab w:pos="440" w:val="left" w:leader="none"/>
        </w:tabs>
        <w:spacing w:line="357" w:lineRule="auto" w:before="5" w:after="0"/>
        <w:ind w:left="120" w:right="109" w:firstLine="0"/>
        <w:jc w:val="both"/>
        <w:rPr>
          <w:sz w:val="24"/>
        </w:rPr>
      </w:pPr>
      <w:r>
        <w:rPr>
          <w:sz w:val="24"/>
        </w:rPr>
        <w:t>Realizar un comparativo de costos de la producción de la BM realizada de manera artesanal con la impresa en</w:t>
      </w:r>
      <w:r>
        <w:rPr>
          <w:spacing w:val="-20"/>
          <w:sz w:val="24"/>
        </w:rPr>
        <w:t> </w:t>
      </w:r>
      <w:r>
        <w:rPr>
          <w:sz w:val="24"/>
        </w:rPr>
        <w:t>3D.</w:t>
      </w:r>
    </w:p>
    <w:p>
      <w:pPr>
        <w:pStyle w:val="BodyText"/>
      </w:pPr>
    </w:p>
    <w:p>
      <w:pPr>
        <w:pStyle w:val="BodyText"/>
        <w:spacing w:before="141"/>
        <w:ind w:left="120"/>
        <w:jc w:val="both"/>
      </w:pPr>
      <w:r>
        <w:rPr/>
        <w:t>Dentro de las </w:t>
      </w:r>
      <w:r>
        <w:rPr>
          <w:b/>
        </w:rPr>
        <w:t>limitantes </w:t>
      </w:r>
      <w:r>
        <w:rPr/>
        <w:t>no se consideran los siguientes puntos:</w:t>
      </w:r>
    </w:p>
    <w:p>
      <w:pPr>
        <w:pStyle w:val="BodyText"/>
        <w:spacing w:line="360" w:lineRule="auto" w:before="144"/>
        <w:ind w:left="120" w:right="107"/>
        <w:jc w:val="both"/>
      </w:pPr>
      <w:r>
        <w:rPr/>
        <w:t>-El costo de la pieza dentro de una galería, porque establecer el precio de una obra en Galería implica datos subjetivos como: qué tan conocido es el escultor, en dónde ha expuesto, qué tan conocido es, en qué galerías de arte ha vendido, qué reconocimiento nacional e internacional se</w:t>
      </w:r>
      <w:r>
        <w:rPr>
          <w:spacing w:val="-32"/>
        </w:rPr>
        <w:t> </w:t>
      </w:r>
      <w:r>
        <w:rPr/>
        <w:t>tiene.</w:t>
      </w:r>
    </w:p>
    <w:p>
      <w:pPr>
        <w:pStyle w:val="BodyText"/>
        <w:rPr>
          <w:sz w:val="20"/>
        </w:rPr>
      </w:pPr>
    </w:p>
    <w:p>
      <w:pPr>
        <w:pStyle w:val="BodyText"/>
        <w:rPr>
          <w:sz w:val="13"/>
        </w:rPr>
      </w:pPr>
      <w:r>
        <w:rPr/>
        <w:pict>
          <v:line style="position:absolute;mso-position-horizontal-relative:page;mso-position-vertical-relative:paragraph;z-index:1096;mso-wrap-distance-left:0;mso-wrap-distance-right:0" from="85.025002pt,9.759862pt" to="229.075002pt,9.759862pt" stroked="true" strokeweight=".60004pt" strokecolor="#000000">
            <w10:wrap type="topAndBottom"/>
          </v:line>
        </w:pict>
      </w:r>
    </w:p>
    <w:p>
      <w:pPr>
        <w:pStyle w:val="BodyText"/>
        <w:spacing w:before="9"/>
        <w:rPr>
          <w:sz w:val="7"/>
        </w:rPr>
      </w:pPr>
    </w:p>
    <w:p>
      <w:pPr>
        <w:spacing w:before="87"/>
        <w:ind w:left="120" w:right="235" w:firstLine="0"/>
        <w:jc w:val="left"/>
        <w:rPr>
          <w:sz w:val="18"/>
        </w:rPr>
      </w:pPr>
      <w:r>
        <w:rPr>
          <w:position w:val="9"/>
          <w:sz w:val="12"/>
        </w:rPr>
        <w:t>1 </w:t>
      </w:r>
      <w:r>
        <w:rPr>
          <w:sz w:val="18"/>
        </w:rPr>
        <w:t>Escultura híbrida porque en el proceso de fabricación interviene una parte tecnológica y una artesanal.</w:t>
      </w:r>
    </w:p>
    <w:p>
      <w:pPr>
        <w:spacing w:after="0"/>
        <w:jc w:val="left"/>
        <w:rPr>
          <w:sz w:val="18"/>
        </w:rPr>
        <w:sectPr>
          <w:pgSz w:w="12240" w:h="15840"/>
          <w:pgMar w:header="0" w:footer="1031" w:top="1360" w:bottom="1220" w:left="1580" w:right="1600"/>
        </w:sectPr>
      </w:pPr>
    </w:p>
    <w:p>
      <w:pPr>
        <w:pStyle w:val="BodyText"/>
        <w:spacing w:before="9"/>
        <w:rPr>
          <w:sz w:val="22"/>
        </w:rPr>
      </w:pPr>
    </w:p>
    <w:p>
      <w:pPr>
        <w:pStyle w:val="BodyText"/>
        <w:spacing w:line="360" w:lineRule="auto" w:before="69"/>
        <w:ind w:left="100" w:right="98"/>
        <w:jc w:val="both"/>
      </w:pPr>
      <w:r>
        <w:rPr/>
        <w:t>-El debate si la obra impresa en 3D es arte o no, además que de acuerdo a las encuestas de los escultores, la propuesta de concepto o material no es relevante para el consumidor de arte ni para el autor.</w:t>
      </w:r>
    </w:p>
    <w:p>
      <w:pPr>
        <w:pStyle w:val="BodyText"/>
      </w:pPr>
    </w:p>
    <w:p>
      <w:pPr>
        <w:pStyle w:val="BodyText"/>
        <w:spacing w:before="3"/>
        <w:rPr>
          <w:sz w:val="29"/>
        </w:rPr>
      </w:pPr>
    </w:p>
    <w:p>
      <w:pPr>
        <w:pStyle w:val="Heading2"/>
        <w:numPr>
          <w:ilvl w:val="2"/>
          <w:numId w:val="2"/>
        </w:numPr>
        <w:tabs>
          <w:tab w:pos="901" w:val="left" w:leader="none"/>
        </w:tabs>
        <w:spacing w:line="240" w:lineRule="auto" w:before="0" w:after="0"/>
        <w:ind w:left="901" w:right="0" w:hanging="801"/>
        <w:jc w:val="both"/>
      </w:pPr>
      <w:bookmarkStart w:name="1.2.6.  Metodología" w:id="26"/>
      <w:bookmarkEnd w:id="26"/>
      <w:r>
        <w:rPr/>
      </w:r>
      <w:bookmarkStart w:name="_bookmark13" w:id="27"/>
      <w:bookmarkEnd w:id="27"/>
      <w:r>
        <w:rPr/>
        <w:t>M</w:t>
      </w:r>
      <w:r>
        <w:rPr/>
        <w:t>etodología</w:t>
      </w:r>
    </w:p>
    <w:p>
      <w:pPr>
        <w:pStyle w:val="BodyText"/>
        <w:rPr>
          <w:sz w:val="28"/>
        </w:rPr>
      </w:pPr>
    </w:p>
    <w:p>
      <w:pPr>
        <w:pStyle w:val="BodyText"/>
        <w:spacing w:before="4"/>
        <w:rPr>
          <w:sz w:val="22"/>
        </w:rPr>
      </w:pPr>
    </w:p>
    <w:p>
      <w:pPr>
        <w:pStyle w:val="BodyText"/>
        <w:spacing w:line="362" w:lineRule="auto"/>
        <w:ind w:left="100" w:right="98"/>
        <w:jc w:val="both"/>
      </w:pPr>
      <w:r>
        <w:rPr/>
        <w:t>En este apartado la metodología se fundamenta en Sampieri (2006) y Manual de Frascati (2002).</w:t>
      </w:r>
    </w:p>
    <w:p>
      <w:pPr>
        <w:pStyle w:val="BodyText"/>
      </w:pPr>
    </w:p>
    <w:p>
      <w:pPr>
        <w:pStyle w:val="ListParagraph"/>
        <w:numPr>
          <w:ilvl w:val="3"/>
          <w:numId w:val="2"/>
        </w:numPr>
        <w:tabs>
          <w:tab w:pos="821" w:val="left" w:leader="none"/>
        </w:tabs>
        <w:spacing w:line="240" w:lineRule="auto" w:before="139" w:after="0"/>
        <w:ind w:left="100" w:right="0" w:firstLine="360"/>
        <w:jc w:val="left"/>
        <w:rPr>
          <w:sz w:val="24"/>
        </w:rPr>
      </w:pPr>
      <w:r>
        <w:rPr>
          <w:sz w:val="24"/>
        </w:rPr>
        <w:t>De acuerdo al método a</w:t>
      </w:r>
      <w:r>
        <w:rPr>
          <w:spacing w:val="-24"/>
          <w:sz w:val="24"/>
        </w:rPr>
        <w:t> </w:t>
      </w:r>
      <w:r>
        <w:rPr>
          <w:sz w:val="24"/>
        </w:rPr>
        <w:t>utilizar</w:t>
      </w:r>
    </w:p>
    <w:p>
      <w:pPr>
        <w:pStyle w:val="BodyText"/>
        <w:spacing w:line="360" w:lineRule="auto" w:before="136"/>
        <w:ind w:left="100" w:right="102"/>
        <w:jc w:val="both"/>
      </w:pPr>
      <w:r>
        <w:rPr/>
        <w:t>Al tratar de analizar la viabilidad del uso de nuevas tecnologías de modelado 3D para hacer escultura híbrida con un </w:t>
      </w:r>
      <w:r>
        <w:rPr>
          <w:b/>
        </w:rPr>
        <w:t>menor </w:t>
      </w:r>
      <w:r>
        <w:rPr/>
        <w:t>impacto ambiental, sustentable; se observa que es útil el método cuantitativo.</w:t>
      </w:r>
    </w:p>
    <w:p>
      <w:pPr>
        <w:pStyle w:val="BodyText"/>
      </w:pPr>
    </w:p>
    <w:p>
      <w:pPr>
        <w:pStyle w:val="BodyText"/>
        <w:spacing w:line="360" w:lineRule="auto" w:before="142"/>
        <w:ind w:left="100" w:right="100"/>
        <w:jc w:val="both"/>
      </w:pPr>
      <w:r>
        <w:rPr/>
        <w:t>Sampieri (2006) menciona que el método cuantitativo recolecta datos con base en la medición numérica y el análisis estadístico para establecer patrones de comportamiento y probar teorías, además de las variables que puedan ser medidas.</w:t>
      </w:r>
    </w:p>
    <w:p>
      <w:pPr>
        <w:pStyle w:val="BodyText"/>
      </w:pPr>
    </w:p>
    <w:p>
      <w:pPr>
        <w:pStyle w:val="BodyText"/>
        <w:spacing w:line="360" w:lineRule="auto" w:before="142"/>
        <w:ind w:left="100" w:right="99"/>
        <w:jc w:val="both"/>
      </w:pPr>
      <w:r>
        <w:rPr/>
        <w:t>La meta fundamental de los estudios cuantitativos es la construcción y la demostración de teorías, según Sampieri; por lo tanto en el presente proyecto demostraremos la teoría llevando a cabo su aplicación.</w:t>
      </w:r>
    </w:p>
    <w:p>
      <w:pPr>
        <w:pStyle w:val="BodyText"/>
      </w:pPr>
    </w:p>
    <w:p>
      <w:pPr>
        <w:pStyle w:val="BodyText"/>
        <w:spacing w:line="360" w:lineRule="auto" w:before="142"/>
        <w:ind w:left="100" w:right="98"/>
        <w:jc w:val="both"/>
      </w:pPr>
      <w:r>
        <w:rPr/>
        <w:t>Ya se han estudiado las nuevas tecnologías de modelado 3D para la escultura, la visión diferente “sustentable” es innovadora y permitirá tener datos duros de la reducción en impacto ambiental en dos métodos de fabricación.</w:t>
      </w:r>
    </w:p>
    <w:p>
      <w:pPr>
        <w:pStyle w:val="BodyText"/>
      </w:pPr>
    </w:p>
    <w:p>
      <w:pPr>
        <w:pStyle w:val="ListParagraph"/>
        <w:numPr>
          <w:ilvl w:val="3"/>
          <w:numId w:val="2"/>
        </w:numPr>
        <w:tabs>
          <w:tab w:pos="821" w:val="left" w:leader="none"/>
        </w:tabs>
        <w:spacing w:line="240" w:lineRule="auto" w:before="142" w:after="0"/>
        <w:ind w:left="821" w:right="0" w:hanging="361"/>
        <w:jc w:val="left"/>
        <w:rPr>
          <w:sz w:val="24"/>
        </w:rPr>
      </w:pPr>
      <w:r>
        <w:rPr>
          <w:sz w:val="24"/>
        </w:rPr>
        <w:t>De acuerdo al propósito o</w:t>
      </w:r>
      <w:r>
        <w:rPr>
          <w:spacing w:val="-23"/>
          <w:sz w:val="24"/>
        </w:rPr>
        <w:t> </w:t>
      </w:r>
      <w:r>
        <w:rPr>
          <w:sz w:val="24"/>
        </w:rPr>
        <w:t>finalidad</w:t>
      </w:r>
    </w:p>
    <w:p>
      <w:pPr>
        <w:pStyle w:val="BodyText"/>
        <w:spacing w:line="357" w:lineRule="auto" w:before="136"/>
        <w:ind w:left="100" w:right="101"/>
        <w:jc w:val="both"/>
      </w:pPr>
      <w:r>
        <w:rPr/>
        <w:t>Frascati (2002) menciona que la </w:t>
      </w:r>
      <w:r>
        <w:rPr>
          <w:b/>
          <w:i/>
        </w:rPr>
        <w:t>investigación básica </w:t>
      </w:r>
      <w:r>
        <w:rPr/>
        <w:t>consiste en trabajos experimentales o teóricos que se emprenden principalmente para obtener  nuevos</w:t>
      </w:r>
    </w:p>
    <w:p>
      <w:pPr>
        <w:spacing w:after="0" w:line="357" w:lineRule="auto"/>
        <w:jc w:val="both"/>
        <w:sectPr>
          <w:pgSz w:w="12240" w:h="15840"/>
          <w:pgMar w:header="0" w:footer="1031" w:top="1500" w:bottom="1220" w:left="1600" w:right="1600"/>
        </w:sectPr>
      </w:pPr>
    </w:p>
    <w:p>
      <w:pPr>
        <w:pStyle w:val="BodyText"/>
        <w:spacing w:line="360" w:lineRule="auto" w:before="55"/>
        <w:ind w:left="100" w:right="121"/>
        <w:jc w:val="both"/>
      </w:pPr>
      <w:r>
        <w:rPr/>
        <w:t>conocimientos acerca de los fundamentos de los fenómenos y hechos observables, sin pensar en darles ninguna aplicación o utilización determinada. La </w:t>
      </w:r>
      <w:r>
        <w:rPr>
          <w:b/>
          <w:i/>
        </w:rPr>
        <w:t>investigación aplicada </w:t>
      </w:r>
      <w:r>
        <w:rPr/>
        <w:t>consiste también en trabajos originales realizados para adquirir nuevos conocimientos; sin embargo, está dirigida fundamentalmente hacia un objetivo práctico específico. El </w:t>
      </w:r>
      <w:r>
        <w:rPr>
          <w:b/>
          <w:i/>
        </w:rPr>
        <w:t>desarrollo experimental </w:t>
      </w:r>
      <w:r>
        <w:rPr/>
        <w:t>consiste en trabajos sistemáticos que aprovechan los conocimientos existentes obtenidos de la investigación y/o la experiencia práctica, y está dirigido a la producción de nuevos materiales, productos o dispositivos; a la puesta en marcha de nuevos procesos, sistemas y servicios, o a la mejora sustancial de los </w:t>
      </w:r>
      <w:r>
        <w:rPr>
          <w:spacing w:val="-3"/>
        </w:rPr>
        <w:t>ya</w:t>
      </w:r>
      <w:r>
        <w:rPr>
          <w:spacing w:val="-25"/>
        </w:rPr>
        <w:t> </w:t>
      </w:r>
      <w:r>
        <w:rPr/>
        <w:t>existentes.</w:t>
      </w:r>
    </w:p>
    <w:p>
      <w:pPr>
        <w:pStyle w:val="BodyText"/>
      </w:pPr>
    </w:p>
    <w:p>
      <w:pPr>
        <w:spacing w:line="364" w:lineRule="auto" w:before="138"/>
        <w:ind w:left="100" w:right="112" w:firstLine="0"/>
        <w:jc w:val="both"/>
        <w:rPr>
          <w:sz w:val="24"/>
        </w:rPr>
      </w:pPr>
      <w:r>
        <w:rPr>
          <w:sz w:val="24"/>
        </w:rPr>
        <w:t>Por lo tanto </w:t>
      </w:r>
      <w:r>
        <w:rPr>
          <w:b/>
          <w:sz w:val="24"/>
        </w:rPr>
        <w:t>esta investigación es aplicada </w:t>
      </w:r>
      <w:r>
        <w:rPr>
          <w:sz w:val="24"/>
        </w:rPr>
        <w:t>porque se obtendrá el conocimiento o resultado de aplicar dicha tecnología con un enfoque de sustentabilidad.</w:t>
      </w:r>
    </w:p>
    <w:p>
      <w:pPr>
        <w:pStyle w:val="BodyText"/>
        <w:spacing w:before="10"/>
        <w:rPr>
          <w:sz w:val="35"/>
        </w:rPr>
      </w:pPr>
    </w:p>
    <w:p>
      <w:pPr>
        <w:pStyle w:val="BodyText"/>
        <w:spacing w:line="360" w:lineRule="auto"/>
        <w:ind w:left="100" w:right="117"/>
        <w:jc w:val="both"/>
      </w:pPr>
      <w:r>
        <w:rPr/>
        <w:t>Sampieri menciona que la investigación puede cumplir dos propósitos fundamentales: a) producir conocimiento y teorías (investigación básica) y b) resolver problemas prácticos (investigación aplicada) por lo tanto es válida una investigación aplicada para estudios de doctorado.</w:t>
      </w:r>
    </w:p>
    <w:p>
      <w:pPr>
        <w:pStyle w:val="BodyText"/>
      </w:pPr>
    </w:p>
    <w:p>
      <w:pPr>
        <w:pStyle w:val="ListParagraph"/>
        <w:numPr>
          <w:ilvl w:val="3"/>
          <w:numId w:val="2"/>
        </w:numPr>
        <w:tabs>
          <w:tab w:pos="821" w:val="left" w:leader="none"/>
        </w:tabs>
        <w:spacing w:line="240" w:lineRule="auto" w:before="142" w:after="0"/>
        <w:ind w:left="821" w:right="0" w:hanging="361"/>
        <w:jc w:val="left"/>
        <w:rPr>
          <w:sz w:val="24"/>
        </w:rPr>
      </w:pPr>
      <w:r>
        <w:rPr>
          <w:sz w:val="24"/>
        </w:rPr>
        <w:t>De acuerdo con el periodo en que se capta la</w:t>
      </w:r>
      <w:r>
        <w:rPr>
          <w:spacing w:val="-25"/>
          <w:sz w:val="24"/>
        </w:rPr>
        <w:t> </w:t>
      </w:r>
      <w:r>
        <w:rPr>
          <w:sz w:val="24"/>
        </w:rPr>
        <w:t>información</w:t>
      </w:r>
    </w:p>
    <w:p>
      <w:pPr>
        <w:pStyle w:val="BodyText"/>
        <w:spacing w:line="360" w:lineRule="auto" w:before="140"/>
        <w:ind w:left="100" w:right="119"/>
        <w:jc w:val="both"/>
      </w:pPr>
      <w:r>
        <w:rPr/>
        <w:t>Méndez (1993) menciona que al ser prospectivo toda la información se recoge de acuerdo con los criterios del investigador y para los fines específicos de la investigación, después de la planeación de ésta. Debido a las diferentes etapas en el desarrollo de la investigación desde el estado del arte hasta la parte de la propuesta.</w:t>
      </w:r>
    </w:p>
    <w:p>
      <w:pPr>
        <w:pStyle w:val="BodyText"/>
      </w:pPr>
    </w:p>
    <w:p>
      <w:pPr>
        <w:pStyle w:val="ListParagraph"/>
        <w:numPr>
          <w:ilvl w:val="3"/>
          <w:numId w:val="2"/>
        </w:numPr>
        <w:tabs>
          <w:tab w:pos="821" w:val="left" w:leader="none"/>
        </w:tabs>
        <w:spacing w:line="240" w:lineRule="auto" w:before="142" w:after="0"/>
        <w:ind w:left="821" w:right="0" w:hanging="361"/>
        <w:jc w:val="left"/>
        <w:rPr>
          <w:sz w:val="24"/>
        </w:rPr>
      </w:pPr>
      <w:r>
        <w:rPr>
          <w:sz w:val="24"/>
        </w:rPr>
        <w:t>De acuerdo a la comparación de</w:t>
      </w:r>
      <w:r>
        <w:rPr>
          <w:spacing w:val="-24"/>
          <w:sz w:val="24"/>
        </w:rPr>
        <w:t> </w:t>
      </w:r>
      <w:r>
        <w:rPr>
          <w:sz w:val="24"/>
        </w:rPr>
        <w:t>poblaciones</w:t>
      </w:r>
    </w:p>
    <w:p>
      <w:pPr>
        <w:pStyle w:val="BodyText"/>
        <w:spacing w:line="360" w:lineRule="auto" w:before="136"/>
        <w:ind w:left="100" w:right="121"/>
        <w:jc w:val="both"/>
      </w:pPr>
      <w:r>
        <w:rPr/>
        <w:t>Mendez (1993) dice que un estudio comparativo es cuando existen dos o más poblaciones y donde se quieren comparar algunas variables para contrastar una o varias hipótesis centrales. En este caso se comparan dos formas de fabricar escultura buscando la más favorable al escultor.</w:t>
      </w:r>
    </w:p>
    <w:p>
      <w:pPr>
        <w:spacing w:after="0" w:line="360" w:lineRule="auto"/>
        <w:jc w:val="both"/>
        <w:sectPr>
          <w:pgSz w:w="12240" w:h="15840"/>
          <w:pgMar w:header="0" w:footer="1031" w:top="1360" w:bottom="1220" w:left="1600" w:right="1580"/>
        </w:sectPr>
      </w:pPr>
    </w:p>
    <w:p>
      <w:pPr>
        <w:pStyle w:val="ListParagraph"/>
        <w:numPr>
          <w:ilvl w:val="3"/>
          <w:numId w:val="2"/>
        </w:numPr>
        <w:tabs>
          <w:tab w:pos="821" w:val="left" w:leader="none"/>
        </w:tabs>
        <w:spacing w:line="360" w:lineRule="auto" w:before="55" w:after="0"/>
        <w:ind w:left="100" w:right="101" w:firstLine="360"/>
        <w:jc w:val="left"/>
        <w:rPr>
          <w:sz w:val="24"/>
        </w:rPr>
      </w:pPr>
      <w:r>
        <w:rPr>
          <w:sz w:val="24"/>
        </w:rPr>
        <w:t>De acuerdo con la participación del investigador en el fenómeno analizado Mendez afirma que en el Experimentar el investigador modifica a voluntad una o algunas variables del fenómeno</w:t>
      </w:r>
      <w:r>
        <w:rPr>
          <w:spacing w:val="-22"/>
          <w:sz w:val="24"/>
        </w:rPr>
        <w:t> </w:t>
      </w:r>
      <w:r>
        <w:rPr>
          <w:sz w:val="24"/>
        </w:rPr>
        <w:t>estudiado.</w:t>
      </w:r>
    </w:p>
    <w:p>
      <w:pPr>
        <w:pStyle w:val="BodyText"/>
      </w:pPr>
    </w:p>
    <w:p>
      <w:pPr>
        <w:pStyle w:val="BodyText"/>
        <w:spacing w:line="360" w:lineRule="auto" w:before="142"/>
        <w:ind w:left="100" w:right="105"/>
        <w:jc w:val="both"/>
      </w:pPr>
      <w:r>
        <w:rPr/>
        <w:t>Agrega el autor, que cuando es observacional es el estudio en el cual el investigador sólo puede describir o medir el fenómeno estudiado, no puede modificar a voluntad propia ninguno de los factores que intervienen en el proceso.</w:t>
      </w:r>
    </w:p>
    <w:p>
      <w:pPr>
        <w:pStyle w:val="BodyText"/>
      </w:pPr>
    </w:p>
    <w:p>
      <w:pPr>
        <w:pStyle w:val="ListParagraph"/>
        <w:numPr>
          <w:ilvl w:val="3"/>
          <w:numId w:val="2"/>
        </w:numPr>
        <w:tabs>
          <w:tab w:pos="821" w:val="left" w:leader="none"/>
        </w:tabs>
        <w:spacing w:line="240" w:lineRule="auto" w:before="142" w:after="0"/>
        <w:ind w:left="821" w:right="0" w:hanging="361"/>
        <w:jc w:val="left"/>
        <w:rPr>
          <w:sz w:val="24"/>
        </w:rPr>
      </w:pPr>
      <w:r>
        <w:rPr>
          <w:sz w:val="24"/>
        </w:rPr>
        <w:t>Según la procedencia de la</w:t>
      </w:r>
      <w:r>
        <w:rPr>
          <w:spacing w:val="-17"/>
          <w:sz w:val="24"/>
        </w:rPr>
        <w:t> </w:t>
      </w:r>
      <w:r>
        <w:rPr>
          <w:sz w:val="24"/>
        </w:rPr>
        <w:t>información</w:t>
      </w:r>
    </w:p>
    <w:p>
      <w:pPr>
        <w:pStyle w:val="BodyText"/>
        <w:spacing w:before="140"/>
        <w:ind w:left="100"/>
        <w:jc w:val="both"/>
      </w:pPr>
      <w:r>
        <w:rPr/>
        <w:t>La información es documental, de campo y experimental.</w:t>
      </w:r>
    </w:p>
    <w:p>
      <w:pPr>
        <w:pStyle w:val="BodyText"/>
      </w:pPr>
    </w:p>
    <w:p>
      <w:pPr>
        <w:pStyle w:val="BodyText"/>
      </w:pPr>
    </w:p>
    <w:p>
      <w:pPr>
        <w:pStyle w:val="ListParagraph"/>
        <w:numPr>
          <w:ilvl w:val="3"/>
          <w:numId w:val="2"/>
        </w:numPr>
        <w:tabs>
          <w:tab w:pos="821" w:val="left" w:leader="none"/>
        </w:tabs>
        <w:spacing w:line="240" w:lineRule="auto" w:before="0" w:after="0"/>
        <w:ind w:left="821" w:right="0" w:hanging="361"/>
        <w:jc w:val="left"/>
        <w:rPr>
          <w:sz w:val="24"/>
        </w:rPr>
      </w:pPr>
      <w:r>
        <w:rPr>
          <w:sz w:val="24"/>
        </w:rPr>
        <w:t>De acuerdo al alcance: Exploratoria, porque no se ha abordado</w:t>
      </w:r>
      <w:r>
        <w:rPr>
          <w:spacing w:val="-32"/>
          <w:sz w:val="24"/>
        </w:rPr>
        <w:t> </w:t>
      </w:r>
      <w:r>
        <w:rPr>
          <w:sz w:val="24"/>
        </w:rPr>
        <w:t>antes.</w:t>
      </w:r>
    </w:p>
    <w:p>
      <w:pPr>
        <w:pStyle w:val="BodyText"/>
      </w:pPr>
    </w:p>
    <w:p>
      <w:pPr>
        <w:pStyle w:val="BodyText"/>
      </w:pPr>
    </w:p>
    <w:p>
      <w:pPr>
        <w:pStyle w:val="BodyText"/>
        <w:spacing w:line="357" w:lineRule="auto"/>
        <w:ind w:left="100" w:right="106"/>
        <w:jc w:val="both"/>
      </w:pPr>
      <w:r>
        <w:rPr/>
        <w:t>En la siguiente </w:t>
      </w:r>
      <w:hyperlink w:history="true" w:anchor="_bookmark14">
        <w:r>
          <w:rPr/>
          <w:t>Figura 1.4</w:t>
        </w:r>
      </w:hyperlink>
      <w:r>
        <w:rPr/>
        <w:t> se puede ver el proceso o desarrollo de la investigación de acuerdo a lo mencionado anteriormente.</w:t>
      </w:r>
    </w:p>
    <w:p>
      <w:pPr>
        <w:pStyle w:val="BodyText"/>
        <w:rPr>
          <w:sz w:val="20"/>
        </w:rPr>
      </w:pPr>
    </w:p>
    <w:p>
      <w:pPr>
        <w:pStyle w:val="BodyText"/>
        <w:spacing w:before="2"/>
        <w:rPr>
          <w:sz w:val="13"/>
        </w:rPr>
      </w:pPr>
      <w:r>
        <w:rPr/>
        <w:drawing>
          <wp:anchor distT="0" distB="0" distL="0" distR="0" allowOverlap="1" layoutInCell="1" locked="0" behindDoc="0" simplePos="0" relativeHeight="1120">
            <wp:simplePos x="0" y="0"/>
            <wp:positionH relativeFrom="page">
              <wp:posOffset>1962150</wp:posOffset>
            </wp:positionH>
            <wp:positionV relativeFrom="paragraph">
              <wp:posOffset>121398</wp:posOffset>
            </wp:positionV>
            <wp:extent cx="3840437" cy="2880360"/>
            <wp:effectExtent l="0" t="0" r="0" b="0"/>
            <wp:wrapTopAndBottom/>
            <wp:docPr id="11" name="image6.png" descr=""/>
            <wp:cNvGraphicFramePr>
              <a:graphicFrameLocks noChangeAspect="1"/>
            </wp:cNvGraphicFramePr>
            <a:graphic>
              <a:graphicData uri="http://schemas.openxmlformats.org/drawingml/2006/picture">
                <pic:pic>
                  <pic:nvPicPr>
                    <pic:cNvPr id="12" name="image6.png"/>
                    <pic:cNvPicPr/>
                  </pic:nvPicPr>
                  <pic:blipFill>
                    <a:blip r:embed="rId14" cstate="print"/>
                    <a:stretch>
                      <a:fillRect/>
                    </a:stretch>
                  </pic:blipFill>
                  <pic:spPr>
                    <a:xfrm>
                      <a:off x="0" y="0"/>
                      <a:ext cx="3840437" cy="2880360"/>
                    </a:xfrm>
                    <a:prstGeom prst="rect">
                      <a:avLst/>
                    </a:prstGeom>
                  </pic:spPr>
                </pic:pic>
              </a:graphicData>
            </a:graphic>
          </wp:anchor>
        </w:drawing>
      </w:r>
    </w:p>
    <w:p>
      <w:pPr>
        <w:spacing w:before="71"/>
        <w:ind w:left="3217" w:right="2965" w:hanging="4"/>
        <w:jc w:val="left"/>
        <w:rPr>
          <w:sz w:val="18"/>
        </w:rPr>
      </w:pPr>
      <w:bookmarkStart w:name="_bookmark14" w:id="28"/>
      <w:bookmarkEnd w:id="28"/>
      <w:r>
        <w:rPr/>
      </w:r>
      <w:r>
        <w:rPr>
          <w:sz w:val="18"/>
        </w:rPr>
        <w:t>Figura 1.4.Metodología de proyecto (Fuente: Elaboración propia, 2015).</w:t>
      </w:r>
    </w:p>
    <w:p>
      <w:pPr>
        <w:spacing w:after="0"/>
        <w:jc w:val="left"/>
        <w:rPr>
          <w:sz w:val="18"/>
        </w:rPr>
        <w:sectPr>
          <w:pgSz w:w="12240" w:h="15840"/>
          <w:pgMar w:header="0" w:footer="1031" w:top="1360" w:bottom="1220" w:left="1600" w:right="1600"/>
        </w:sectPr>
      </w:pPr>
    </w:p>
    <w:p>
      <w:pPr>
        <w:pStyle w:val="BodyText"/>
        <w:spacing w:line="360" w:lineRule="auto" w:before="55"/>
        <w:ind w:left="100" w:right="112"/>
        <w:jc w:val="both"/>
      </w:pPr>
      <w:r>
        <w:rPr/>
        <w:t>En dicha figura se alcanza a observar que el desarrollo del proyecto de investigación inicia con el planteamiento del problema, una etapa de estado del arte de la tecnología de modelado tridimensional, de Sustentabilidad, del Análisis de Ciclo de Vida (ACV) de la impresión 3D; una vez documentada esa parte se elabora el caso de estudio o comparativo de los dos métodos de fabricación, para concluir con los resultados.</w:t>
      </w:r>
    </w:p>
    <w:p>
      <w:pPr>
        <w:pStyle w:val="BodyText"/>
      </w:pPr>
    </w:p>
    <w:p>
      <w:pPr>
        <w:pStyle w:val="BodyText"/>
        <w:spacing w:line="360" w:lineRule="auto" w:before="142"/>
        <w:ind w:left="100" w:right="116"/>
        <w:jc w:val="both"/>
      </w:pPr>
      <w:r>
        <w:rPr/>
        <w:t>Al ser una investigación interdisciplinaria (Diseño: arte y disciplinas técnicas) se utiliza información documentada de áreas correspondientes a la tecnología y del campo de la sustentabilidad; primero se ubican los conceptos básicos para el estado del arte, posteriormente realizar el caso de estudio y finalizar con un análisis de resultados para enriquecer al sector  de la escultura.</w:t>
      </w:r>
    </w:p>
    <w:p>
      <w:pPr>
        <w:pStyle w:val="BodyText"/>
      </w:pPr>
    </w:p>
    <w:p>
      <w:pPr>
        <w:pStyle w:val="BodyText"/>
        <w:spacing w:before="3"/>
        <w:rPr>
          <w:sz w:val="29"/>
        </w:rPr>
      </w:pPr>
    </w:p>
    <w:p>
      <w:pPr>
        <w:pStyle w:val="Heading2"/>
        <w:ind w:left="100" w:firstLine="0"/>
      </w:pPr>
      <w:bookmarkStart w:name="1.3. Conclusiones de planteamiento" w:id="29"/>
      <w:bookmarkEnd w:id="29"/>
      <w:r>
        <w:rPr/>
      </w:r>
      <w:bookmarkStart w:name="_bookmark15" w:id="30"/>
      <w:bookmarkEnd w:id="30"/>
      <w:r>
        <w:rPr/>
      </w:r>
      <w:r>
        <w:rPr/>
        <w:t>1.3. Conclusiones de planteamiento</w:t>
      </w:r>
    </w:p>
    <w:p>
      <w:pPr>
        <w:pStyle w:val="BodyText"/>
        <w:rPr>
          <w:sz w:val="28"/>
        </w:rPr>
      </w:pPr>
    </w:p>
    <w:p>
      <w:pPr>
        <w:pStyle w:val="BodyText"/>
        <w:spacing w:before="4"/>
        <w:rPr>
          <w:sz w:val="22"/>
        </w:rPr>
      </w:pPr>
    </w:p>
    <w:p>
      <w:pPr>
        <w:pStyle w:val="BodyText"/>
        <w:spacing w:line="360" w:lineRule="auto"/>
        <w:ind w:left="100" w:right="118"/>
        <w:jc w:val="both"/>
      </w:pPr>
      <w:r>
        <w:rPr/>
        <w:t>Como conclusión se enfatiza la necesidad de proponer un método de modelado tridimensional cuyos materiales y procesos sean amigables con el medio ambiente, que mejore tanto los costos de fabricación y materiales, que no afecte la salud de la persona que manipula la FV para este</w:t>
      </w:r>
      <w:r>
        <w:rPr>
          <w:spacing w:val="-25"/>
        </w:rPr>
        <w:t> </w:t>
      </w:r>
      <w:r>
        <w:rPr/>
        <w:t>caso.</w:t>
      </w:r>
    </w:p>
    <w:p>
      <w:pPr>
        <w:pStyle w:val="BodyText"/>
      </w:pPr>
    </w:p>
    <w:p>
      <w:pPr>
        <w:pStyle w:val="BodyText"/>
        <w:spacing w:line="360" w:lineRule="auto" w:before="142"/>
        <w:ind w:left="100" w:right="118"/>
        <w:jc w:val="both"/>
      </w:pPr>
      <w:r>
        <w:rPr/>
        <w:t>La comparación de dos procesos de fabricación de escultura: una pieza impresa en 3D con una fabricada con FV bajo el modelo de Sustentabilidad es significativo para el campo de la escultura, siendo el objetivo de dicha</w:t>
      </w:r>
      <w:r>
        <w:rPr>
          <w:spacing w:val="-43"/>
        </w:rPr>
        <w:t> </w:t>
      </w:r>
      <w:r>
        <w:rPr/>
        <w:t>investigación.</w:t>
      </w:r>
    </w:p>
    <w:p>
      <w:pPr>
        <w:pStyle w:val="BodyText"/>
        <w:spacing w:before="11"/>
        <w:rPr>
          <w:sz w:val="35"/>
        </w:rPr>
      </w:pPr>
    </w:p>
    <w:p>
      <w:pPr>
        <w:pStyle w:val="BodyText"/>
        <w:ind w:left="100"/>
        <w:jc w:val="both"/>
      </w:pPr>
      <w:r>
        <w:rPr/>
        <w:t>Dentro de las </w:t>
      </w:r>
      <w:r>
        <w:rPr>
          <w:b/>
        </w:rPr>
        <w:t>limitantes </w:t>
      </w:r>
      <w:r>
        <w:rPr/>
        <w:t>no se consideran los siguientes puntos:</w:t>
      </w:r>
    </w:p>
    <w:p>
      <w:pPr>
        <w:pStyle w:val="BodyText"/>
        <w:spacing w:line="360" w:lineRule="auto" w:before="140"/>
        <w:ind w:left="100" w:right="120"/>
        <w:jc w:val="both"/>
      </w:pPr>
      <w:r>
        <w:rPr/>
        <w:t>-El costo de la pieza dentro de una galería, porque establecer el precio de una obra en Galería implica datos subjetivos como: qué tan conocido es el escultor, en dónde ha expuesto, qué tan conocido es, en qué galerías de arte ha vendido, qué reconocimiento nacional e internacional se tiene. Lo que si considera es el costo de fabricación que incluye mano de</w:t>
      </w:r>
      <w:r>
        <w:rPr>
          <w:spacing w:val="-22"/>
        </w:rPr>
        <w:t> </w:t>
      </w:r>
      <w:r>
        <w:rPr/>
        <w:t>obra.</w:t>
      </w:r>
    </w:p>
    <w:p>
      <w:pPr>
        <w:spacing w:after="0" w:line="360" w:lineRule="auto"/>
        <w:jc w:val="both"/>
        <w:sectPr>
          <w:pgSz w:w="12240" w:h="15840"/>
          <w:pgMar w:header="0" w:footer="1031" w:top="1360" w:bottom="1220" w:left="1600" w:right="1580"/>
        </w:sectPr>
      </w:pPr>
    </w:p>
    <w:p>
      <w:pPr>
        <w:pStyle w:val="BodyText"/>
        <w:spacing w:line="360" w:lineRule="auto" w:before="55"/>
        <w:ind w:left="100" w:right="98"/>
        <w:jc w:val="both"/>
      </w:pPr>
      <w:r>
        <w:rPr/>
        <w:t>-El debate si la obra impresa en 3D es arte o no, además que de acuerdo a las encuestas de los escultores, la propuesta de concepto o material no es relevante para el consumidor de arte ni para el autor; inclusive en la justificación se pronuncia por qué si es válida la tecnología en el campo de la escultura.</w:t>
      </w:r>
    </w:p>
    <w:p>
      <w:pPr>
        <w:pStyle w:val="BodyText"/>
      </w:pPr>
    </w:p>
    <w:p>
      <w:pPr>
        <w:pStyle w:val="BodyText"/>
        <w:spacing w:line="360" w:lineRule="auto" w:before="142"/>
        <w:ind w:left="100" w:right="102"/>
        <w:jc w:val="both"/>
      </w:pPr>
      <w:r>
        <w:rPr/>
        <w:t>-El modelo de sustentabilidad abarcará únicamente los aspectos indispensables descritos en los objetivos particulares, puesto que al ser tan amplia, únicamente aplicaremos lo que funciona para el caso de estudio.</w:t>
      </w:r>
    </w:p>
    <w:p>
      <w:pPr>
        <w:spacing w:after="0" w:line="360" w:lineRule="auto"/>
        <w:jc w:val="both"/>
        <w:sectPr>
          <w:pgSz w:w="12240" w:h="15840"/>
          <w:pgMar w:header="0" w:footer="1031" w:top="1360" w:bottom="1220" w:left="1600" w:right="16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6"/>
        </w:rPr>
      </w:pPr>
    </w:p>
    <w:p>
      <w:pPr>
        <w:pStyle w:val="Heading1"/>
        <w:spacing w:before="49"/>
      </w:pPr>
      <w:r>
        <w:rPr/>
        <w:t>Capítulo</w:t>
      </w:r>
    </w:p>
    <w:p>
      <w:pPr>
        <w:pStyle w:val="Heading2"/>
        <w:spacing w:before="240"/>
        <w:ind w:left="636" w:firstLine="0"/>
        <w:jc w:val="left"/>
      </w:pPr>
      <w:bookmarkStart w:name="2. Tecnología de modelado 3D y su aplica" w:id="31"/>
      <w:bookmarkEnd w:id="31"/>
      <w:r>
        <w:rPr/>
      </w:r>
      <w:bookmarkStart w:name="_bookmark16" w:id="32"/>
      <w:bookmarkEnd w:id="32"/>
      <w:r>
        <w:rPr/>
      </w:r>
      <w:r>
        <w:rPr/>
        <w:t>2.  Tecnología de modelado 3D y su aplicación en la escultura</w:t>
      </w:r>
    </w:p>
    <w:p>
      <w:pPr>
        <w:spacing w:after="0"/>
        <w:jc w:val="left"/>
        <w:sectPr>
          <w:pgSz w:w="12240" w:h="15840"/>
          <w:pgMar w:header="0" w:footer="1031" w:top="1500" w:bottom="1220" w:left="1600" w:right="1720"/>
        </w:sectPr>
      </w:pPr>
    </w:p>
    <w:p>
      <w:pPr>
        <w:pStyle w:val="ListParagraph"/>
        <w:numPr>
          <w:ilvl w:val="1"/>
          <w:numId w:val="5"/>
        </w:numPr>
        <w:tabs>
          <w:tab w:pos="677" w:val="left" w:leader="none"/>
        </w:tabs>
        <w:spacing w:line="240" w:lineRule="auto" w:before="49" w:after="0"/>
        <w:ind w:left="676" w:right="0" w:hanging="576"/>
        <w:jc w:val="both"/>
        <w:rPr>
          <w:sz w:val="28"/>
        </w:rPr>
      </w:pPr>
      <w:bookmarkStart w:name="2.1. Introducción de capítulo" w:id="33"/>
      <w:bookmarkEnd w:id="33"/>
      <w:r>
        <w:rPr/>
      </w:r>
      <w:bookmarkStart w:name="_bookmark17" w:id="34"/>
      <w:bookmarkEnd w:id="34"/>
      <w:r>
        <w:rPr/>
      </w:r>
      <w:bookmarkStart w:name="_bookmark17" w:id="35"/>
      <w:bookmarkEnd w:id="35"/>
      <w:r>
        <w:rPr>
          <w:sz w:val="28"/>
        </w:rPr>
        <w:t>I</w:t>
      </w:r>
      <w:r>
        <w:rPr>
          <w:sz w:val="28"/>
        </w:rPr>
        <w:t>ntroducción de</w:t>
      </w:r>
      <w:r>
        <w:rPr>
          <w:spacing w:val="-7"/>
          <w:sz w:val="28"/>
        </w:rPr>
        <w:t> </w:t>
      </w:r>
      <w:r>
        <w:rPr>
          <w:sz w:val="28"/>
        </w:rPr>
        <w:t>capítulo</w:t>
      </w:r>
    </w:p>
    <w:p>
      <w:pPr>
        <w:pStyle w:val="BodyText"/>
        <w:rPr>
          <w:sz w:val="28"/>
        </w:rPr>
      </w:pPr>
    </w:p>
    <w:p>
      <w:pPr>
        <w:pStyle w:val="BodyText"/>
        <w:spacing w:before="8"/>
        <w:rPr>
          <w:sz w:val="22"/>
        </w:rPr>
      </w:pPr>
    </w:p>
    <w:p>
      <w:pPr>
        <w:pStyle w:val="BodyText"/>
        <w:spacing w:line="360" w:lineRule="auto"/>
        <w:ind w:left="100" w:right="116"/>
        <w:jc w:val="both"/>
      </w:pPr>
      <w:r>
        <w:rPr/>
        <w:t>El objetivo de este capítulo es presentar cómo la tecnología de modelado 3D es utilizada en el campo de la escultura. Para ello primero conceptualizaremos el Diseño Asistido por Computador (</w:t>
      </w:r>
      <w:r>
        <w:rPr>
          <w:i/>
        </w:rPr>
        <w:t>Computer Aided Design</w:t>
      </w:r>
      <w:r>
        <w:rPr/>
        <w:t>, CAD), las herramientas de RP; las impresoras 3D, tipos y diversos materiales que pueden encontrarse en el mercado. También se conceptualizará qué es CNC, en qué consiste y cómo en qué se aplica. De varias herramientas de CNC solamente se conceptualizará el corte de chorro de agua, corte láser y corte con plasma; y el escáner 3D.</w:t>
      </w:r>
    </w:p>
    <w:p>
      <w:pPr>
        <w:pStyle w:val="BodyText"/>
      </w:pPr>
    </w:p>
    <w:p>
      <w:pPr>
        <w:pStyle w:val="BodyText"/>
        <w:spacing w:line="360" w:lineRule="auto" w:before="141"/>
        <w:ind w:left="100" w:right="119"/>
        <w:jc w:val="both"/>
      </w:pPr>
      <w:r>
        <w:rPr/>
        <w:t>Todo lo mencionado con la limitante de que no se pretende abarcar los componentes y función de las máquinas con un enfoque de ingeniería mecánica, sino solamente en qué consiste y cómo se aplica en la escultura. Se enunciarán ejemplos de obra escultórica que utilizan este tipo de herramientas, dichos procesos son fotográficos, se utilizan las imágenes necesarias para comprender el proceso completo.</w:t>
      </w:r>
    </w:p>
    <w:p>
      <w:pPr>
        <w:pStyle w:val="BodyText"/>
      </w:pPr>
    </w:p>
    <w:p>
      <w:pPr>
        <w:pStyle w:val="BodyText"/>
        <w:spacing w:line="360" w:lineRule="auto" w:before="142"/>
        <w:ind w:left="100" w:right="123"/>
        <w:jc w:val="both"/>
      </w:pPr>
      <w:r>
        <w:rPr/>
        <w:t>Los autores para conceptos básicos de tecnología de RP son Bryden (2014), Noorani (2006), Erlhoff (2008), De la Peña (2014), Kalpakjian, S., y S. Schmid, (2014), Arguemi (2015), Martín (2006), Laser Design © (2015), Wijk (2015), Moilanen y Vadén (2012).</w:t>
      </w:r>
    </w:p>
    <w:p>
      <w:pPr>
        <w:pStyle w:val="BodyText"/>
      </w:pPr>
    </w:p>
    <w:p>
      <w:pPr>
        <w:pStyle w:val="BodyText"/>
        <w:spacing w:line="360" w:lineRule="auto" w:before="141"/>
        <w:ind w:left="100" w:right="120"/>
        <w:jc w:val="both"/>
      </w:pPr>
      <w:r>
        <w:rPr/>
        <w:t>En el apartado de Escultura diseñada con tecnología de RP se consultarán los siguientes autores: Makharadza (2013) , Fisher (2013), Schwartz,(2011), Duffy (2006), De la Flor (2010) , Van-Gent   (2013), Tortosa (2013), Liggett (2010),   Neri</w:t>
      </w:r>
    </w:p>
    <w:p>
      <w:pPr>
        <w:pStyle w:val="BodyText"/>
        <w:spacing w:before="2"/>
        <w:ind w:left="100"/>
        <w:jc w:val="both"/>
      </w:pPr>
      <w:r>
        <w:rPr/>
        <w:t>Oxman  (2014),  Matus  (2012),  Collins,  (2013),  Barry  Ball  (2013),    Underwood</w:t>
      </w:r>
    </w:p>
    <w:p>
      <w:pPr>
        <w:pStyle w:val="BodyText"/>
        <w:spacing w:before="140"/>
        <w:ind w:left="100"/>
        <w:jc w:val="both"/>
      </w:pPr>
      <w:r>
        <w:rPr/>
        <w:t>(2013),  Altelier (2004), y Lozano (2012).</w:t>
      </w:r>
    </w:p>
    <w:p>
      <w:pPr>
        <w:pStyle w:val="BodyText"/>
      </w:pPr>
    </w:p>
    <w:p>
      <w:pPr>
        <w:pStyle w:val="BodyText"/>
      </w:pPr>
    </w:p>
    <w:p>
      <w:pPr>
        <w:pStyle w:val="BodyText"/>
        <w:spacing w:line="357" w:lineRule="auto"/>
        <w:ind w:left="100" w:right="131"/>
        <w:jc w:val="both"/>
      </w:pPr>
      <w:r>
        <w:rPr/>
        <w:t>Los procesos de obra realizada son tan largos que se presentan en tablas para su mejor comprensión.</w:t>
      </w:r>
    </w:p>
    <w:p>
      <w:pPr>
        <w:spacing w:after="0" w:line="357" w:lineRule="auto"/>
        <w:jc w:val="both"/>
        <w:sectPr>
          <w:pgSz w:w="12240" w:h="15840"/>
          <w:pgMar w:header="0" w:footer="1031" w:top="1360" w:bottom="1220" w:left="1600" w:right="1580"/>
        </w:sectPr>
      </w:pPr>
    </w:p>
    <w:p>
      <w:pPr>
        <w:pStyle w:val="Heading2"/>
        <w:numPr>
          <w:ilvl w:val="1"/>
          <w:numId w:val="5"/>
        </w:numPr>
        <w:tabs>
          <w:tab w:pos="677" w:val="left" w:leader="none"/>
        </w:tabs>
        <w:spacing w:line="240" w:lineRule="auto" w:before="49" w:after="0"/>
        <w:ind w:left="676" w:right="0" w:hanging="576"/>
        <w:jc w:val="both"/>
      </w:pPr>
      <w:bookmarkStart w:name="2.2. Concepto de CAD" w:id="36"/>
      <w:bookmarkEnd w:id="36"/>
      <w:r>
        <w:rPr/>
      </w:r>
      <w:bookmarkStart w:name="_bookmark18" w:id="37"/>
      <w:bookmarkEnd w:id="37"/>
      <w:r>
        <w:rPr/>
      </w:r>
      <w:bookmarkStart w:name="_bookmark18" w:id="38"/>
      <w:bookmarkEnd w:id="38"/>
      <w:r>
        <w:rPr/>
        <w:t>C</w:t>
      </w:r>
      <w:r>
        <w:rPr/>
        <w:t>oncepto de</w:t>
      </w:r>
      <w:r>
        <w:rPr>
          <w:spacing w:val="-4"/>
        </w:rPr>
        <w:t> </w:t>
      </w:r>
      <w:r>
        <w:rPr/>
        <w:t>CAD</w:t>
      </w:r>
    </w:p>
    <w:p>
      <w:pPr>
        <w:pStyle w:val="BodyText"/>
        <w:rPr>
          <w:sz w:val="28"/>
        </w:rPr>
      </w:pPr>
    </w:p>
    <w:p>
      <w:pPr>
        <w:pStyle w:val="BodyText"/>
        <w:spacing w:before="8"/>
        <w:rPr>
          <w:sz w:val="22"/>
        </w:rPr>
      </w:pPr>
    </w:p>
    <w:p>
      <w:pPr>
        <w:pStyle w:val="BodyText"/>
        <w:spacing w:line="360" w:lineRule="auto"/>
        <w:ind w:left="100" w:right="116"/>
        <w:jc w:val="both"/>
      </w:pPr>
      <w:r>
        <w:rPr/>
        <w:t>Para Bryden (2014), el CAD consiste en el uso de ordenadores y programas especializados para crear modelos virtuales tridimensionales y dibujos en dos dimensiones de los productos. Afirma que el CAD permite explorar múltiples conceptos en 3D de forma más rápida, visualizarlos de forma más precisa y suprimir errores de los planos técnicos.</w:t>
      </w:r>
    </w:p>
    <w:p>
      <w:pPr>
        <w:pStyle w:val="BodyText"/>
      </w:pPr>
    </w:p>
    <w:p>
      <w:pPr>
        <w:pStyle w:val="BodyText"/>
        <w:spacing w:line="360" w:lineRule="auto" w:before="142"/>
        <w:ind w:left="100" w:right="121"/>
        <w:jc w:val="both"/>
      </w:pPr>
      <w:r>
        <w:rPr/>
        <w:t>El modelado CAD se divide en dos vertientes fundamentales: los modelos de superficie y los modelos de sólidos. Podemos visualizar los modelos de superficie como objetos huecos cubiertos por una capa o piel de grosor cero, mientras que los modelos sólidos tienen grosor, según Bryden (2014).</w:t>
      </w:r>
    </w:p>
    <w:p>
      <w:pPr>
        <w:pStyle w:val="BodyText"/>
      </w:pPr>
    </w:p>
    <w:p>
      <w:pPr>
        <w:pStyle w:val="ListParagraph"/>
        <w:numPr>
          <w:ilvl w:val="2"/>
          <w:numId w:val="5"/>
        </w:numPr>
        <w:tabs>
          <w:tab w:pos="820" w:val="left" w:leader="none"/>
          <w:tab w:pos="821" w:val="left" w:leader="none"/>
        </w:tabs>
        <w:spacing w:line="240" w:lineRule="auto" w:before="142" w:after="0"/>
        <w:ind w:left="821" w:right="0" w:hanging="361"/>
        <w:jc w:val="left"/>
        <w:rPr>
          <w:sz w:val="24"/>
        </w:rPr>
      </w:pPr>
      <w:r>
        <w:rPr>
          <w:sz w:val="24"/>
        </w:rPr>
        <w:t>Modeladores</w:t>
      </w:r>
      <w:r>
        <w:rPr>
          <w:spacing w:val="-10"/>
          <w:sz w:val="24"/>
        </w:rPr>
        <w:t> </w:t>
      </w:r>
      <w:r>
        <w:rPr>
          <w:sz w:val="24"/>
        </w:rPr>
        <w:t>NURBS</w:t>
      </w:r>
    </w:p>
    <w:p>
      <w:pPr>
        <w:pStyle w:val="BodyText"/>
        <w:spacing w:line="360" w:lineRule="auto" w:before="138"/>
        <w:ind w:left="100" w:right="114"/>
        <w:jc w:val="both"/>
      </w:pPr>
      <w:r>
        <w:rPr/>
        <w:t>Bryden, 2014, afirma que los modeladores B-splines racionales no uniformes (NURBS) se basan en splines, curvas definidas matemáticamente cuya forma es manejada por puntos de control asentados en ellas. La posición de los puntos de control puede ajustarse para cambiar la forma de las curvas y de las superficies, y el número de puntos se puede aumentar para permitir manipulaciones más específicas. Los mayores valores de grado permiten una deformación más suave. Esta forma de edición de las superficies se conoce como manipulación directa. Ver </w:t>
      </w:r>
      <w:hyperlink w:history="true" w:anchor="_bookmark19">
        <w:r>
          <w:rPr/>
          <w:t>Figura 2.1</w:t>
        </w:r>
      </w:hyperlink>
      <w:r>
        <w:rPr/>
        <w:t>.</w:t>
      </w:r>
    </w:p>
    <w:p>
      <w:pPr>
        <w:spacing w:after="0" w:line="360" w:lineRule="auto"/>
        <w:jc w:val="both"/>
        <w:sectPr>
          <w:pgSz w:w="12240" w:h="15840"/>
          <w:pgMar w:header="0" w:footer="1031" w:top="1360" w:bottom="1220" w:left="1600" w:right="1580"/>
        </w:sectPr>
      </w:pPr>
    </w:p>
    <w:p>
      <w:pPr>
        <w:pStyle w:val="BodyText"/>
        <w:ind w:left="410"/>
        <w:rPr>
          <w:sz w:val="20"/>
        </w:rPr>
      </w:pPr>
      <w:r>
        <w:rPr>
          <w:sz w:val="20"/>
        </w:rPr>
        <w:drawing>
          <wp:inline distT="0" distB="0" distL="0" distR="0">
            <wp:extent cx="5264723" cy="2007489"/>
            <wp:effectExtent l="0" t="0" r="0" b="0"/>
            <wp:docPr id="13" name="image7.jpeg" descr=""/>
            <wp:cNvGraphicFramePr>
              <a:graphicFrameLocks noChangeAspect="1"/>
            </wp:cNvGraphicFramePr>
            <a:graphic>
              <a:graphicData uri="http://schemas.openxmlformats.org/drawingml/2006/picture">
                <pic:pic>
                  <pic:nvPicPr>
                    <pic:cNvPr id="14" name="image7.jpeg"/>
                    <pic:cNvPicPr/>
                  </pic:nvPicPr>
                  <pic:blipFill>
                    <a:blip r:embed="rId15" cstate="print"/>
                    <a:stretch>
                      <a:fillRect/>
                    </a:stretch>
                  </pic:blipFill>
                  <pic:spPr>
                    <a:xfrm>
                      <a:off x="0" y="0"/>
                      <a:ext cx="5264723" cy="2007489"/>
                    </a:xfrm>
                    <a:prstGeom prst="rect">
                      <a:avLst/>
                    </a:prstGeom>
                  </pic:spPr>
                </pic:pic>
              </a:graphicData>
            </a:graphic>
          </wp:inline>
        </w:drawing>
      </w:r>
      <w:r>
        <w:rPr>
          <w:sz w:val="20"/>
        </w:rPr>
      </w:r>
    </w:p>
    <w:p>
      <w:pPr>
        <w:spacing w:before="62"/>
        <w:ind w:left="1321" w:right="1086" w:firstLine="0"/>
        <w:jc w:val="center"/>
        <w:rPr>
          <w:sz w:val="18"/>
        </w:rPr>
      </w:pPr>
      <w:bookmarkStart w:name="_bookmark19" w:id="39"/>
      <w:bookmarkEnd w:id="39"/>
      <w:r>
        <w:rPr/>
      </w:r>
      <w:r>
        <w:rPr>
          <w:sz w:val="18"/>
        </w:rPr>
        <w:t>Figura 2.1. Ejemplos de Splines y de superficie NURBS (</w:t>
      </w:r>
      <w:r>
        <w:rPr>
          <w:i/>
          <w:sz w:val="18"/>
        </w:rPr>
        <w:t>non-uniform rational basis </w:t>
      </w:r>
      <w:r>
        <w:rPr>
          <w:i/>
          <w:sz w:val="18"/>
        </w:rPr>
        <w:t>spline</w:t>
      </w:r>
      <w:r>
        <w:rPr>
          <w:sz w:val="18"/>
        </w:rPr>
        <w:t>) controlada por puntos de control. (Fuente: Bryden, 2014: 12).</w:t>
      </w:r>
    </w:p>
    <w:p>
      <w:pPr>
        <w:pStyle w:val="BodyText"/>
        <w:rPr>
          <w:sz w:val="18"/>
        </w:rPr>
      </w:pPr>
    </w:p>
    <w:p>
      <w:pPr>
        <w:pStyle w:val="BodyText"/>
        <w:spacing w:before="6"/>
        <w:rPr>
          <w:sz w:val="18"/>
        </w:rPr>
      </w:pPr>
    </w:p>
    <w:p>
      <w:pPr>
        <w:pStyle w:val="ListParagraph"/>
        <w:numPr>
          <w:ilvl w:val="2"/>
          <w:numId w:val="5"/>
        </w:numPr>
        <w:tabs>
          <w:tab w:pos="820" w:val="left" w:leader="none"/>
          <w:tab w:pos="821" w:val="left" w:leader="none"/>
        </w:tabs>
        <w:spacing w:line="240" w:lineRule="auto" w:before="0" w:after="0"/>
        <w:ind w:left="821" w:right="0" w:hanging="361"/>
        <w:jc w:val="left"/>
        <w:rPr>
          <w:sz w:val="24"/>
        </w:rPr>
      </w:pPr>
      <w:r>
        <w:rPr>
          <w:sz w:val="24"/>
        </w:rPr>
        <w:t>Modeladores de malla</w:t>
      </w:r>
      <w:r>
        <w:rPr>
          <w:spacing w:val="-18"/>
          <w:sz w:val="24"/>
        </w:rPr>
        <w:t> </w:t>
      </w:r>
      <w:r>
        <w:rPr>
          <w:sz w:val="24"/>
        </w:rPr>
        <w:t>poligonal</w:t>
      </w:r>
    </w:p>
    <w:p>
      <w:pPr>
        <w:pStyle w:val="BodyText"/>
        <w:spacing w:line="360" w:lineRule="auto" w:before="138"/>
        <w:ind w:left="100" w:right="103"/>
        <w:jc w:val="both"/>
      </w:pPr>
      <w:r>
        <w:rPr/>
        <w:t>Continua Bryden que en los modeladores de malla se conectan entre sí un grupo de polígonos de tres o cuatro lados para formar un elemento o malla. La densidad de la malla poligonal puede subdividirse en modelos más refinados mediante un proceso llamado subdivisión, un método que se usa para representar superficies lisas y suaves a partir de una malla poligonal más sencilla, menos refinada y que, por lo tanto, consume menos memoria. Ejemplo ver </w:t>
      </w:r>
      <w:hyperlink w:history="true" w:anchor="_bookmark20">
        <w:r>
          <w:rPr/>
          <w:t>Figura 2.2.</w:t>
        </w:r>
      </w:hyperlink>
    </w:p>
    <w:p>
      <w:pPr>
        <w:pStyle w:val="BodyText"/>
        <w:rPr>
          <w:sz w:val="20"/>
        </w:rPr>
      </w:pPr>
    </w:p>
    <w:p>
      <w:pPr>
        <w:pStyle w:val="BodyText"/>
        <w:rPr>
          <w:sz w:val="13"/>
        </w:rPr>
      </w:pPr>
      <w:r>
        <w:rPr/>
        <w:drawing>
          <wp:anchor distT="0" distB="0" distL="0" distR="0" allowOverlap="1" layoutInCell="1" locked="0" behindDoc="0" simplePos="0" relativeHeight="1144">
            <wp:simplePos x="0" y="0"/>
            <wp:positionH relativeFrom="page">
              <wp:posOffset>2729610</wp:posOffset>
            </wp:positionH>
            <wp:positionV relativeFrom="paragraph">
              <wp:posOffset>119696</wp:posOffset>
            </wp:positionV>
            <wp:extent cx="2333127" cy="1793748"/>
            <wp:effectExtent l="0" t="0" r="0" b="0"/>
            <wp:wrapTopAndBottom/>
            <wp:docPr id="15" name="image8.jpeg" descr=""/>
            <wp:cNvGraphicFramePr>
              <a:graphicFrameLocks noChangeAspect="1"/>
            </wp:cNvGraphicFramePr>
            <a:graphic>
              <a:graphicData uri="http://schemas.openxmlformats.org/drawingml/2006/picture">
                <pic:pic>
                  <pic:nvPicPr>
                    <pic:cNvPr id="16" name="image8.jpeg"/>
                    <pic:cNvPicPr/>
                  </pic:nvPicPr>
                  <pic:blipFill>
                    <a:blip r:embed="rId16" cstate="print"/>
                    <a:stretch>
                      <a:fillRect/>
                    </a:stretch>
                  </pic:blipFill>
                  <pic:spPr>
                    <a:xfrm>
                      <a:off x="0" y="0"/>
                      <a:ext cx="2333127" cy="1793748"/>
                    </a:xfrm>
                    <a:prstGeom prst="rect">
                      <a:avLst/>
                    </a:prstGeom>
                  </pic:spPr>
                </pic:pic>
              </a:graphicData>
            </a:graphic>
          </wp:anchor>
        </w:drawing>
      </w:r>
    </w:p>
    <w:p>
      <w:pPr>
        <w:spacing w:before="47"/>
        <w:ind w:left="1480" w:right="1249" w:hanging="2"/>
        <w:jc w:val="center"/>
        <w:rPr>
          <w:sz w:val="18"/>
        </w:rPr>
      </w:pPr>
      <w:bookmarkStart w:name="_bookmark20" w:id="40"/>
      <w:bookmarkEnd w:id="40"/>
      <w:r>
        <w:rPr/>
      </w:r>
      <w:r>
        <w:rPr>
          <w:sz w:val="18"/>
        </w:rPr>
        <w:t>Figura 2.2. Modelo de malla poligonal de unas gafas deportivas sin patillas, diseñadas para pegarse a las sienes del usuario del Concurso Internacional de Diseño Charmant 2006. (Fuente: Bryden, 2014: 12).</w:t>
      </w:r>
    </w:p>
    <w:p>
      <w:pPr>
        <w:pStyle w:val="BodyText"/>
        <w:rPr>
          <w:sz w:val="18"/>
        </w:rPr>
      </w:pPr>
    </w:p>
    <w:p>
      <w:pPr>
        <w:pStyle w:val="BodyText"/>
        <w:spacing w:before="3"/>
        <w:rPr>
          <w:sz w:val="18"/>
        </w:rPr>
      </w:pPr>
    </w:p>
    <w:p>
      <w:pPr>
        <w:pStyle w:val="ListParagraph"/>
        <w:numPr>
          <w:ilvl w:val="2"/>
          <w:numId w:val="5"/>
        </w:numPr>
        <w:tabs>
          <w:tab w:pos="820" w:val="left" w:leader="none"/>
          <w:tab w:pos="821" w:val="left" w:leader="none"/>
        </w:tabs>
        <w:spacing w:line="240" w:lineRule="auto" w:before="0" w:after="0"/>
        <w:ind w:left="821" w:right="0" w:hanging="361"/>
        <w:jc w:val="left"/>
        <w:rPr>
          <w:sz w:val="24"/>
        </w:rPr>
      </w:pPr>
      <w:r>
        <w:rPr>
          <w:sz w:val="24"/>
        </w:rPr>
        <w:t>Modeladores</w:t>
      </w:r>
      <w:r>
        <w:rPr>
          <w:spacing w:val="-17"/>
          <w:sz w:val="24"/>
        </w:rPr>
        <w:t> </w:t>
      </w:r>
      <w:r>
        <w:rPr>
          <w:sz w:val="24"/>
        </w:rPr>
        <w:t>paramétricos</w:t>
      </w:r>
    </w:p>
    <w:p>
      <w:pPr>
        <w:pStyle w:val="BodyText"/>
        <w:spacing w:line="357" w:lineRule="auto" w:before="138"/>
        <w:ind w:left="100" w:right="104"/>
        <w:jc w:val="both"/>
      </w:pPr>
      <w:r>
        <w:rPr/>
        <w:t>Bryden enuncia que significa que los modelos se crean por sus dimensiones (parámetros). Estos necesitan un enfoque lógico y planificado del proceso y se</w:t>
      </w:r>
    </w:p>
    <w:p>
      <w:pPr>
        <w:spacing w:after="0" w:line="357" w:lineRule="auto"/>
        <w:jc w:val="both"/>
        <w:sectPr>
          <w:pgSz w:w="12240" w:h="15840"/>
          <w:pgMar w:header="0" w:footer="1031" w:top="1420" w:bottom="1220" w:left="1600" w:right="1600"/>
        </w:sectPr>
      </w:pPr>
    </w:p>
    <w:p>
      <w:pPr>
        <w:pStyle w:val="BodyText"/>
        <w:spacing w:line="362" w:lineRule="auto" w:before="55"/>
        <w:ind w:left="100" w:right="130"/>
        <w:jc w:val="both"/>
      </w:pPr>
      <w:r>
        <w:rPr/>
        <w:t>centran menos que los no paramétricos en la exploración visual de las formas libres.</w:t>
      </w:r>
    </w:p>
    <w:p>
      <w:pPr>
        <w:pStyle w:val="BodyText"/>
      </w:pPr>
    </w:p>
    <w:p>
      <w:pPr>
        <w:pStyle w:val="BodyText"/>
        <w:spacing w:line="360" w:lineRule="auto" w:before="139"/>
        <w:ind w:left="100" w:right="123"/>
        <w:jc w:val="both"/>
      </w:pPr>
      <w:r>
        <w:rPr/>
        <w:t>Las superficies abiertas tienen un grosor igual a cero y se editan empleando puntos de</w:t>
      </w:r>
      <w:r>
        <w:rPr>
          <w:spacing w:val="-15"/>
        </w:rPr>
        <w:t> </w:t>
      </w:r>
      <w:r>
        <w:rPr/>
        <w:t>control.</w:t>
      </w:r>
    </w:p>
    <w:p>
      <w:pPr>
        <w:pStyle w:val="BodyText"/>
      </w:pPr>
    </w:p>
    <w:p>
      <w:pPr>
        <w:pStyle w:val="BodyText"/>
        <w:spacing w:before="3"/>
        <w:rPr>
          <w:sz w:val="29"/>
        </w:rPr>
      </w:pPr>
    </w:p>
    <w:p>
      <w:pPr>
        <w:pStyle w:val="Heading2"/>
        <w:numPr>
          <w:ilvl w:val="2"/>
          <w:numId w:val="6"/>
        </w:numPr>
        <w:tabs>
          <w:tab w:pos="901" w:val="left" w:leader="none"/>
        </w:tabs>
        <w:spacing w:line="240" w:lineRule="auto" w:before="0" w:after="0"/>
        <w:ind w:left="901" w:right="0" w:hanging="801"/>
        <w:jc w:val="both"/>
      </w:pPr>
      <w:bookmarkStart w:name="2.2.1.  Modelado de sólidos" w:id="41"/>
      <w:bookmarkEnd w:id="41"/>
      <w:r>
        <w:rPr/>
      </w:r>
      <w:bookmarkStart w:name="_bookmark21" w:id="42"/>
      <w:bookmarkEnd w:id="42"/>
      <w:r>
        <w:rPr/>
        <w:t>M</w:t>
      </w:r>
      <w:r>
        <w:rPr/>
        <w:t>odelado de</w:t>
      </w:r>
      <w:r>
        <w:rPr>
          <w:spacing w:val="-8"/>
        </w:rPr>
        <w:t> </w:t>
      </w:r>
      <w:r>
        <w:rPr/>
        <w:t>sólidos</w:t>
      </w:r>
    </w:p>
    <w:p>
      <w:pPr>
        <w:pStyle w:val="BodyText"/>
        <w:rPr>
          <w:sz w:val="28"/>
        </w:rPr>
      </w:pPr>
    </w:p>
    <w:p>
      <w:pPr>
        <w:pStyle w:val="BodyText"/>
        <w:spacing w:before="9"/>
        <w:rPr>
          <w:sz w:val="22"/>
        </w:rPr>
      </w:pPr>
    </w:p>
    <w:p>
      <w:pPr>
        <w:pStyle w:val="BodyText"/>
        <w:spacing w:line="360" w:lineRule="auto"/>
        <w:ind w:left="100" w:right="110"/>
        <w:jc w:val="both"/>
      </w:pPr>
      <w:r>
        <w:rPr/>
        <w:t>Bryden (2014) afirma que en CAD, un modelo sólido es aquel que tiene espesor y que encierra un volumen. El modelo sólido puede guardarse como archivo de Lenguaje de Triangulación Estándar (</w:t>
      </w:r>
      <w:r>
        <w:rPr>
          <w:i/>
        </w:rPr>
        <w:t>Standard Triangulation Language, </w:t>
      </w:r>
      <w:r>
        <w:rPr/>
        <w:t>STL) y enviarse para crear un modelo físico pro prototipado rápido. Una vez creado un dibujo o boceto (o varios), se transforma en sólido empleando una herramienta de creación de sólidos 3D. Para editar los modelos sólidos se usan otras herramientas. Las herramientas de edición de sólidos sólo pueden usarse en modelos sólidos y no en los de superficie. Los datos de los sólidos pueden importarse a programas de Fabricación Asistida por Ordenador (</w:t>
      </w:r>
      <w:r>
        <w:rPr>
          <w:i/>
        </w:rPr>
        <w:t>Computer Aided </w:t>
      </w:r>
      <w:r>
        <w:rPr>
          <w:i/>
        </w:rPr>
        <w:t>Manufacturing, </w:t>
      </w:r>
      <w:r>
        <w:rPr/>
        <w:t>CAM) y de CNC, para el mecanizado rápido y preciso de moldes para moldeo por inyección o moldeo a presión, o para la fabricación directa de las piezas. Ver siguiente </w:t>
      </w:r>
      <w:hyperlink w:history="true" w:anchor="_bookmark22">
        <w:r>
          <w:rPr/>
          <w:t>Figura 2.3</w:t>
        </w:r>
      </w:hyperlink>
      <w:r>
        <w:rPr/>
        <w:t>.</w:t>
      </w:r>
    </w:p>
    <w:p>
      <w:pPr>
        <w:pStyle w:val="BodyText"/>
        <w:rPr>
          <w:sz w:val="20"/>
        </w:rPr>
      </w:pPr>
    </w:p>
    <w:p>
      <w:pPr>
        <w:pStyle w:val="BodyText"/>
        <w:spacing w:before="9"/>
        <w:rPr>
          <w:sz w:val="12"/>
        </w:rPr>
      </w:pPr>
      <w:r>
        <w:rPr/>
        <w:drawing>
          <wp:anchor distT="0" distB="0" distL="0" distR="0" allowOverlap="1" layoutInCell="1" locked="0" behindDoc="0" simplePos="0" relativeHeight="1168">
            <wp:simplePos x="0" y="0"/>
            <wp:positionH relativeFrom="page">
              <wp:posOffset>2190750</wp:posOffset>
            </wp:positionH>
            <wp:positionV relativeFrom="paragraph">
              <wp:posOffset>118679</wp:posOffset>
            </wp:positionV>
            <wp:extent cx="3427036" cy="1663827"/>
            <wp:effectExtent l="0" t="0" r="0" b="0"/>
            <wp:wrapTopAndBottom/>
            <wp:docPr id="17" name="image9.jpeg" descr=""/>
            <wp:cNvGraphicFramePr>
              <a:graphicFrameLocks noChangeAspect="1"/>
            </wp:cNvGraphicFramePr>
            <a:graphic>
              <a:graphicData uri="http://schemas.openxmlformats.org/drawingml/2006/picture">
                <pic:pic>
                  <pic:nvPicPr>
                    <pic:cNvPr id="18" name="image9.jpeg"/>
                    <pic:cNvPicPr/>
                  </pic:nvPicPr>
                  <pic:blipFill>
                    <a:blip r:embed="rId17" cstate="print"/>
                    <a:stretch>
                      <a:fillRect/>
                    </a:stretch>
                  </pic:blipFill>
                  <pic:spPr>
                    <a:xfrm>
                      <a:off x="0" y="0"/>
                      <a:ext cx="3427036" cy="1663827"/>
                    </a:xfrm>
                    <a:prstGeom prst="rect">
                      <a:avLst/>
                    </a:prstGeom>
                  </pic:spPr>
                </pic:pic>
              </a:graphicData>
            </a:graphic>
          </wp:anchor>
        </w:drawing>
      </w:r>
    </w:p>
    <w:p>
      <w:pPr>
        <w:spacing w:before="45"/>
        <w:ind w:left="1825" w:right="235" w:firstLine="0"/>
        <w:jc w:val="left"/>
        <w:rPr>
          <w:sz w:val="18"/>
        </w:rPr>
      </w:pPr>
      <w:bookmarkStart w:name="_bookmark22" w:id="43"/>
      <w:bookmarkEnd w:id="43"/>
      <w:r>
        <w:rPr/>
      </w:r>
      <w:r>
        <w:rPr>
          <w:sz w:val="18"/>
        </w:rPr>
        <w:t>Figura 2.3. Ejemplo de modelo de sólidos. (Fuente: Bryden, 2014: 14).</w:t>
      </w:r>
    </w:p>
    <w:p>
      <w:pPr>
        <w:spacing w:after="0"/>
        <w:jc w:val="left"/>
        <w:rPr>
          <w:sz w:val="18"/>
        </w:rPr>
        <w:sectPr>
          <w:pgSz w:w="12240" w:h="15840"/>
          <w:pgMar w:header="0" w:footer="1031" w:top="1360" w:bottom="1220" w:left="1600" w:right="1580"/>
        </w:sectPr>
      </w:pPr>
    </w:p>
    <w:p>
      <w:pPr>
        <w:pStyle w:val="BodyText"/>
        <w:spacing w:line="360" w:lineRule="auto" w:before="55"/>
        <w:ind w:left="100" w:right="113"/>
        <w:jc w:val="both"/>
      </w:pPr>
      <w:r>
        <w:rPr/>
        <w:t>Para tener conocimiento de los programas de modelado existentes, podemos observar un sumario de software que Bryden (2014) plantea a continuación, ver la siguiente </w:t>
      </w:r>
      <w:hyperlink w:history="true" w:anchor="_bookmark23">
        <w:r>
          <w:rPr/>
          <w:t>Tabla 2.1</w:t>
        </w:r>
      </w:hyperlink>
      <w:r>
        <w:rPr/>
        <w:t>.</w:t>
      </w:r>
    </w:p>
    <w:p>
      <w:pPr>
        <w:pStyle w:val="BodyText"/>
      </w:pPr>
    </w:p>
    <w:p>
      <w:pPr>
        <w:spacing w:before="139"/>
        <w:ind w:left="2037" w:right="235" w:firstLine="0"/>
        <w:jc w:val="left"/>
        <w:rPr>
          <w:sz w:val="18"/>
        </w:rPr>
      </w:pPr>
      <w:bookmarkStart w:name="_bookmark23" w:id="44"/>
      <w:bookmarkEnd w:id="44"/>
      <w:r>
        <w:rPr/>
      </w:r>
      <w:r>
        <w:rPr>
          <w:sz w:val="18"/>
        </w:rPr>
        <w:t>Tabla 2.1. Programas de modelado 3D, renderizado e ingeniería.</w:t>
      </w:r>
    </w:p>
    <w:p>
      <w:pPr>
        <w:pStyle w:val="BodyText"/>
        <w:spacing w:before="8"/>
        <w:rPr>
          <w:sz w:val="6"/>
        </w:rPr>
      </w:pPr>
    </w:p>
    <w:tbl>
      <w:tblPr>
        <w:tblW w:w="0" w:type="auto"/>
        <w:jc w:val="left"/>
        <w:tblInd w:w="492"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245"/>
        <w:gridCol w:w="1976"/>
        <w:gridCol w:w="3830"/>
      </w:tblGrid>
      <w:tr>
        <w:trPr>
          <w:trHeight w:val="324" w:hRule="exact"/>
        </w:trPr>
        <w:tc>
          <w:tcPr>
            <w:tcW w:w="2245" w:type="dxa"/>
          </w:tcPr>
          <w:p>
            <w:pPr>
              <w:pStyle w:val="TableParagraph"/>
              <w:spacing w:line="206" w:lineRule="exact"/>
              <w:ind w:left="408" w:right="115"/>
              <w:rPr>
                <w:sz w:val="18"/>
              </w:rPr>
            </w:pPr>
            <w:r>
              <w:rPr>
                <w:sz w:val="18"/>
              </w:rPr>
              <w:t>Tipo de programa</w:t>
            </w:r>
          </w:p>
        </w:tc>
        <w:tc>
          <w:tcPr>
            <w:tcW w:w="1976" w:type="dxa"/>
          </w:tcPr>
          <w:p>
            <w:pPr>
              <w:pStyle w:val="TableParagraph"/>
              <w:spacing w:line="206" w:lineRule="exact"/>
              <w:ind w:left="98" w:right="98"/>
              <w:jc w:val="center"/>
              <w:rPr>
                <w:sz w:val="18"/>
              </w:rPr>
            </w:pPr>
            <w:r>
              <w:rPr>
                <w:sz w:val="18"/>
              </w:rPr>
              <w:t>Nombre</w:t>
            </w:r>
          </w:p>
        </w:tc>
        <w:tc>
          <w:tcPr>
            <w:tcW w:w="3830" w:type="dxa"/>
          </w:tcPr>
          <w:p>
            <w:pPr>
              <w:pStyle w:val="TableParagraph"/>
              <w:spacing w:line="206" w:lineRule="exact"/>
              <w:ind w:left="143" w:right="144"/>
              <w:jc w:val="center"/>
              <w:rPr>
                <w:sz w:val="18"/>
              </w:rPr>
            </w:pPr>
            <w:r>
              <w:rPr>
                <w:sz w:val="18"/>
              </w:rPr>
              <w:t>Característica</w:t>
            </w:r>
          </w:p>
        </w:tc>
      </w:tr>
      <w:tr>
        <w:trPr>
          <w:trHeight w:val="1872" w:hRule="exact"/>
        </w:trPr>
        <w:tc>
          <w:tcPr>
            <w:tcW w:w="2245" w:type="dxa"/>
            <w:vMerge w:val="restart"/>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7"/>
              <w:rPr>
                <w:sz w:val="17"/>
              </w:rPr>
            </w:pPr>
          </w:p>
          <w:p>
            <w:pPr>
              <w:pStyle w:val="TableParagraph"/>
              <w:spacing w:line="362" w:lineRule="auto"/>
              <w:ind w:left="432" w:right="115" w:hanging="301"/>
              <w:rPr>
                <w:sz w:val="18"/>
              </w:rPr>
            </w:pPr>
            <w:r>
              <w:rPr>
                <w:sz w:val="18"/>
              </w:rPr>
              <w:t>Programas de modelado y renderizado 3D</w:t>
            </w:r>
          </w:p>
        </w:tc>
        <w:tc>
          <w:tcPr>
            <w:tcW w:w="1976" w:type="dxa"/>
          </w:tcPr>
          <w:p>
            <w:pPr>
              <w:pStyle w:val="TableParagraph"/>
              <w:rPr>
                <w:sz w:val="18"/>
              </w:rPr>
            </w:pPr>
          </w:p>
          <w:p>
            <w:pPr>
              <w:pStyle w:val="TableParagraph"/>
              <w:rPr>
                <w:sz w:val="18"/>
              </w:rPr>
            </w:pPr>
          </w:p>
          <w:p>
            <w:pPr>
              <w:pStyle w:val="TableParagraph"/>
              <w:spacing w:before="5"/>
              <w:rPr>
                <w:sz w:val="17"/>
              </w:rPr>
            </w:pPr>
          </w:p>
          <w:p>
            <w:pPr>
              <w:pStyle w:val="TableParagraph"/>
              <w:ind w:left="97" w:right="99"/>
              <w:jc w:val="center"/>
              <w:rPr>
                <w:sz w:val="18"/>
              </w:rPr>
            </w:pPr>
            <w:r>
              <w:rPr>
                <w:sz w:val="18"/>
              </w:rPr>
              <w:t>Alibre</w:t>
            </w:r>
          </w:p>
        </w:tc>
        <w:tc>
          <w:tcPr>
            <w:tcW w:w="3830" w:type="dxa"/>
          </w:tcPr>
          <w:p>
            <w:pPr>
              <w:pStyle w:val="TableParagraph"/>
              <w:spacing w:line="360" w:lineRule="auto"/>
              <w:ind w:left="116" w:right="122" w:firstLine="6"/>
              <w:jc w:val="center"/>
              <w:rPr>
                <w:sz w:val="18"/>
              </w:rPr>
            </w:pPr>
            <w:r>
              <w:rPr>
                <w:sz w:val="18"/>
              </w:rPr>
              <w:t>Alibre Design Pro: modelado paramérico Alibre Design Expert: modelado paramétrico pero con capacidad de modelado de superficies, herramientas de lámina de metal y edición directa cuando no hay historial de edición</w:t>
            </w:r>
          </w:p>
        </w:tc>
      </w:tr>
      <w:tr>
        <w:trPr>
          <w:trHeight w:val="2185" w:hRule="exact"/>
        </w:trPr>
        <w:tc>
          <w:tcPr>
            <w:tcW w:w="2245" w:type="dxa"/>
            <w:vMerge/>
          </w:tcPr>
          <w:p>
            <w:pPr/>
          </w:p>
        </w:tc>
        <w:tc>
          <w:tcPr>
            <w:tcW w:w="1976" w:type="dxa"/>
          </w:tcPr>
          <w:p>
            <w:pPr>
              <w:pStyle w:val="TableParagraph"/>
              <w:rPr>
                <w:sz w:val="18"/>
              </w:rPr>
            </w:pPr>
          </w:p>
          <w:p>
            <w:pPr>
              <w:pStyle w:val="TableParagraph"/>
              <w:rPr>
                <w:sz w:val="18"/>
              </w:rPr>
            </w:pPr>
          </w:p>
          <w:p>
            <w:pPr>
              <w:pStyle w:val="TableParagraph"/>
              <w:rPr>
                <w:sz w:val="18"/>
              </w:rPr>
            </w:pPr>
          </w:p>
          <w:p>
            <w:pPr>
              <w:pStyle w:val="TableParagraph"/>
              <w:spacing w:before="7"/>
              <w:rPr>
                <w:sz w:val="26"/>
              </w:rPr>
            </w:pPr>
          </w:p>
          <w:p>
            <w:pPr>
              <w:pStyle w:val="TableParagraph"/>
              <w:ind w:left="97" w:right="99"/>
              <w:jc w:val="center"/>
              <w:rPr>
                <w:sz w:val="18"/>
              </w:rPr>
            </w:pPr>
            <w:r>
              <w:rPr>
                <w:sz w:val="18"/>
              </w:rPr>
              <w:t>Altair</w:t>
            </w:r>
          </w:p>
        </w:tc>
        <w:tc>
          <w:tcPr>
            <w:tcW w:w="3830" w:type="dxa"/>
          </w:tcPr>
          <w:p>
            <w:pPr>
              <w:pStyle w:val="TableParagraph"/>
              <w:spacing w:line="360" w:lineRule="auto"/>
              <w:ind w:left="196" w:right="198" w:hanging="1"/>
              <w:jc w:val="center"/>
              <w:rPr>
                <w:sz w:val="18"/>
              </w:rPr>
            </w:pPr>
            <w:r>
              <w:rPr>
                <w:sz w:val="18"/>
              </w:rPr>
              <w:t>solidThinking: modelado y renderizado asociativo de NURBS 3D con algunas funciones de modelado poligonal y sólido solidThinking Inspired: modelado 3D con morfogénesis de objetos daptada a los requisites estructurales con un mínimo uso de material</w:t>
            </w:r>
          </w:p>
        </w:tc>
      </w:tr>
      <w:tr>
        <w:trPr>
          <w:trHeight w:val="2180" w:hRule="exact"/>
        </w:trPr>
        <w:tc>
          <w:tcPr>
            <w:tcW w:w="2245" w:type="dxa"/>
            <w:vMerge/>
          </w:tcPr>
          <w:p>
            <w:pPr/>
          </w:p>
        </w:tc>
        <w:tc>
          <w:tcPr>
            <w:tcW w:w="1976"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9"/>
              <w:rPr>
                <w:sz w:val="17"/>
              </w:rPr>
            </w:pPr>
          </w:p>
          <w:p>
            <w:pPr>
              <w:pStyle w:val="TableParagraph"/>
              <w:ind w:left="427" w:right="190"/>
              <w:rPr>
                <w:sz w:val="18"/>
              </w:rPr>
            </w:pPr>
            <w:r>
              <w:rPr>
                <w:sz w:val="18"/>
              </w:rPr>
              <w:t>Ashlar Vellum</w:t>
            </w:r>
          </w:p>
        </w:tc>
        <w:tc>
          <w:tcPr>
            <w:tcW w:w="3830" w:type="dxa"/>
          </w:tcPr>
          <w:p>
            <w:pPr>
              <w:pStyle w:val="TableParagraph"/>
              <w:spacing w:line="360" w:lineRule="auto"/>
              <w:ind w:left="564" w:right="558" w:firstLine="43"/>
              <w:jc w:val="both"/>
              <w:rPr>
                <w:sz w:val="18"/>
              </w:rPr>
            </w:pPr>
            <w:r>
              <w:rPr>
                <w:sz w:val="18"/>
              </w:rPr>
              <w:t>Argon: modelado 3D sin historial Cobalt: modelado 3D paramétrico Xenon: modelado 3D asociativo</w:t>
            </w:r>
          </w:p>
          <w:p>
            <w:pPr>
              <w:pStyle w:val="TableParagraph"/>
              <w:spacing w:line="360" w:lineRule="auto" w:before="4"/>
              <w:ind w:left="143" w:right="141"/>
              <w:jc w:val="center"/>
              <w:rPr>
                <w:sz w:val="18"/>
              </w:rPr>
            </w:pPr>
            <w:r>
              <w:rPr>
                <w:sz w:val="18"/>
              </w:rPr>
              <w:t>Alchemy:Essential: traducción de archivos Alchemy: Adept: traducción de archivos, compatibilidad adicional con archivos de Creo (PTC) y CATIA (Dassault Systémes</w:t>
            </w:r>
          </w:p>
        </w:tc>
      </w:tr>
      <w:tr>
        <w:trPr>
          <w:trHeight w:val="3117" w:hRule="exact"/>
        </w:trPr>
        <w:tc>
          <w:tcPr>
            <w:tcW w:w="2245" w:type="dxa"/>
            <w:vMerge/>
          </w:tcPr>
          <w:p>
            <w:pPr/>
          </w:p>
        </w:tc>
        <w:tc>
          <w:tcPr>
            <w:tcW w:w="1976"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10"/>
              <w:rPr>
                <w:sz w:val="26"/>
              </w:rPr>
            </w:pPr>
          </w:p>
          <w:p>
            <w:pPr>
              <w:pStyle w:val="TableParagraph"/>
              <w:spacing w:before="1"/>
              <w:ind w:left="607" w:right="190"/>
              <w:rPr>
                <w:sz w:val="18"/>
              </w:rPr>
            </w:pPr>
            <w:r>
              <w:rPr>
                <w:sz w:val="18"/>
              </w:rPr>
              <w:t>Autodesk</w:t>
            </w:r>
          </w:p>
        </w:tc>
        <w:tc>
          <w:tcPr>
            <w:tcW w:w="3830" w:type="dxa"/>
          </w:tcPr>
          <w:p>
            <w:pPr>
              <w:pStyle w:val="TableParagraph"/>
              <w:spacing w:line="362" w:lineRule="auto"/>
              <w:ind w:left="143" w:right="142"/>
              <w:jc w:val="center"/>
              <w:rPr>
                <w:sz w:val="18"/>
              </w:rPr>
            </w:pPr>
            <w:r>
              <w:rPr>
                <w:sz w:val="18"/>
              </w:rPr>
              <w:t>Alias Design: modelado y renderizado NURBS 3D</w:t>
            </w:r>
          </w:p>
          <w:p>
            <w:pPr>
              <w:pStyle w:val="TableParagraph"/>
              <w:spacing w:line="360" w:lineRule="auto"/>
              <w:ind w:left="148" w:right="149" w:firstLine="1"/>
              <w:jc w:val="center"/>
              <w:rPr>
                <w:sz w:val="18"/>
              </w:rPr>
            </w:pPr>
            <w:r>
              <w:rPr>
                <w:sz w:val="18"/>
              </w:rPr>
              <w:t>Alias Surface: : modelado y renderizado NURBS 3D con herramientas avanzadas de modelado de superficies de clase A</w:t>
            </w:r>
          </w:p>
          <w:p>
            <w:pPr>
              <w:pStyle w:val="TableParagraph"/>
              <w:spacing w:line="362" w:lineRule="auto" w:before="4"/>
              <w:ind w:left="86" w:right="89"/>
              <w:jc w:val="center"/>
              <w:rPr>
                <w:sz w:val="18"/>
              </w:rPr>
            </w:pPr>
            <w:r>
              <w:rPr>
                <w:sz w:val="18"/>
              </w:rPr>
              <w:t>Alias Automotive: modelado NURBS 3D para diseño de automoción</w:t>
            </w:r>
          </w:p>
          <w:p>
            <w:pPr>
              <w:pStyle w:val="TableParagraph"/>
              <w:spacing w:line="362" w:lineRule="auto"/>
              <w:ind w:left="244" w:right="243" w:hanging="4"/>
              <w:jc w:val="center"/>
              <w:rPr>
                <w:sz w:val="18"/>
              </w:rPr>
            </w:pPr>
            <w:r>
              <w:rPr>
                <w:sz w:val="18"/>
              </w:rPr>
              <w:t>Inventor: modelado paramétrico, visualización de diseños, simulaciones de ingeniería y animación de productos</w:t>
            </w:r>
          </w:p>
        </w:tc>
      </w:tr>
      <w:tr>
        <w:trPr>
          <w:trHeight w:val="632" w:hRule="exact"/>
        </w:trPr>
        <w:tc>
          <w:tcPr>
            <w:tcW w:w="2245" w:type="dxa"/>
            <w:vMerge/>
          </w:tcPr>
          <w:p>
            <w:pPr/>
          </w:p>
        </w:tc>
        <w:tc>
          <w:tcPr>
            <w:tcW w:w="1976" w:type="dxa"/>
          </w:tcPr>
          <w:p>
            <w:pPr>
              <w:pStyle w:val="TableParagraph"/>
              <w:spacing w:line="206" w:lineRule="exact"/>
              <w:ind w:left="487" w:right="190"/>
              <w:rPr>
                <w:sz w:val="18"/>
              </w:rPr>
            </w:pPr>
            <w:r>
              <w:rPr>
                <w:sz w:val="18"/>
              </w:rPr>
              <w:t>AutoDesSys</w:t>
            </w:r>
          </w:p>
        </w:tc>
        <w:tc>
          <w:tcPr>
            <w:tcW w:w="3830" w:type="dxa"/>
          </w:tcPr>
          <w:p>
            <w:pPr>
              <w:pStyle w:val="TableParagraph"/>
              <w:spacing w:line="206" w:lineRule="exact"/>
              <w:ind w:left="138" w:right="144"/>
              <w:jc w:val="center"/>
              <w:rPr>
                <w:sz w:val="18"/>
              </w:rPr>
            </w:pPr>
            <w:r>
              <w:rPr>
                <w:sz w:val="18"/>
              </w:rPr>
              <w:t>Bonzai3d</w:t>
            </w:r>
          </w:p>
          <w:p>
            <w:pPr>
              <w:pStyle w:val="TableParagraph"/>
              <w:spacing w:before="101"/>
              <w:ind w:left="143" w:right="144"/>
              <w:jc w:val="center"/>
              <w:rPr>
                <w:sz w:val="18"/>
              </w:rPr>
            </w:pPr>
            <w:r>
              <w:rPr>
                <w:sz w:val="18"/>
              </w:rPr>
              <w:t>FormZ: modelado y renderizado 3D</w:t>
            </w:r>
          </w:p>
        </w:tc>
      </w:tr>
      <w:tr>
        <w:trPr>
          <w:trHeight w:val="320" w:hRule="exact"/>
        </w:trPr>
        <w:tc>
          <w:tcPr>
            <w:tcW w:w="2245" w:type="dxa"/>
            <w:vMerge/>
          </w:tcPr>
          <w:p>
            <w:pPr/>
          </w:p>
        </w:tc>
        <w:tc>
          <w:tcPr>
            <w:tcW w:w="1976" w:type="dxa"/>
          </w:tcPr>
          <w:p>
            <w:pPr>
              <w:pStyle w:val="TableParagraph"/>
              <w:spacing w:line="202" w:lineRule="exact"/>
              <w:ind w:left="587" w:right="190"/>
              <w:rPr>
                <w:sz w:val="18"/>
              </w:rPr>
            </w:pPr>
            <w:r>
              <w:rPr>
                <w:sz w:val="18"/>
              </w:rPr>
              <w:t>BRICSYS</w:t>
            </w:r>
          </w:p>
        </w:tc>
        <w:tc>
          <w:tcPr>
            <w:tcW w:w="3830" w:type="dxa"/>
          </w:tcPr>
          <w:p>
            <w:pPr>
              <w:pStyle w:val="TableParagraph"/>
              <w:spacing w:line="202" w:lineRule="exact"/>
              <w:ind w:left="143" w:right="143"/>
              <w:jc w:val="center"/>
              <w:rPr>
                <w:sz w:val="18"/>
              </w:rPr>
            </w:pPr>
            <w:r>
              <w:rPr>
                <w:sz w:val="18"/>
              </w:rPr>
              <w:t>Bricscad: modelado sólido, económico</w:t>
            </w:r>
          </w:p>
        </w:tc>
      </w:tr>
      <w:tr>
        <w:trPr>
          <w:trHeight w:val="320" w:hRule="exact"/>
        </w:trPr>
        <w:tc>
          <w:tcPr>
            <w:tcW w:w="2245" w:type="dxa"/>
            <w:vMerge/>
          </w:tcPr>
          <w:p>
            <w:pPr/>
          </w:p>
        </w:tc>
        <w:tc>
          <w:tcPr>
            <w:tcW w:w="1976" w:type="dxa"/>
          </w:tcPr>
          <w:p>
            <w:pPr/>
          </w:p>
        </w:tc>
        <w:tc>
          <w:tcPr>
            <w:tcW w:w="3830" w:type="dxa"/>
          </w:tcPr>
          <w:p>
            <w:pPr>
              <w:pStyle w:val="TableParagraph"/>
              <w:spacing w:line="202" w:lineRule="exact"/>
              <w:ind w:left="143" w:right="143"/>
              <w:jc w:val="center"/>
              <w:rPr>
                <w:sz w:val="18"/>
              </w:rPr>
            </w:pPr>
            <w:r>
              <w:rPr>
                <w:sz w:val="18"/>
              </w:rPr>
              <w:t>Solid Works: modelado y simulación 3D</w:t>
            </w:r>
          </w:p>
        </w:tc>
      </w:tr>
    </w:tbl>
    <w:p>
      <w:pPr>
        <w:spacing w:after="0" w:line="202" w:lineRule="exact"/>
        <w:jc w:val="center"/>
        <w:rPr>
          <w:sz w:val="18"/>
        </w:rPr>
        <w:sectPr>
          <w:pgSz w:w="12240" w:h="15840"/>
          <w:pgMar w:header="0" w:footer="1031" w:top="1360" w:bottom="1220" w:left="1600" w:right="1580"/>
        </w:sectPr>
      </w:pPr>
    </w:p>
    <w:tbl>
      <w:tblPr>
        <w:tblW w:w="0" w:type="auto"/>
        <w:jc w:val="left"/>
        <w:tblInd w:w="492"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245"/>
        <w:gridCol w:w="1976"/>
        <w:gridCol w:w="3830"/>
      </w:tblGrid>
      <w:tr>
        <w:trPr>
          <w:trHeight w:val="3117" w:hRule="exact"/>
        </w:trPr>
        <w:tc>
          <w:tcPr>
            <w:tcW w:w="2245" w:type="dxa"/>
            <w:vMerge w:val="restart"/>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10"/>
              <w:rPr>
                <w:sz w:val="26"/>
              </w:rPr>
            </w:pPr>
          </w:p>
          <w:p>
            <w:pPr>
              <w:pStyle w:val="TableParagraph"/>
              <w:spacing w:line="357" w:lineRule="auto"/>
              <w:ind w:left="432" w:right="115" w:hanging="301"/>
              <w:rPr>
                <w:sz w:val="18"/>
              </w:rPr>
            </w:pPr>
            <w:r>
              <w:rPr>
                <w:sz w:val="18"/>
              </w:rPr>
              <w:t>Programas de modelado y renderizado 3D</w:t>
            </w:r>
          </w:p>
        </w:tc>
        <w:tc>
          <w:tcPr>
            <w:tcW w:w="1976"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5"/>
              <w:rPr>
                <w:sz w:val="17"/>
              </w:rPr>
            </w:pPr>
          </w:p>
          <w:p>
            <w:pPr>
              <w:pStyle w:val="TableParagraph"/>
              <w:ind w:left="98" w:right="98"/>
              <w:jc w:val="center"/>
              <w:rPr>
                <w:sz w:val="18"/>
              </w:rPr>
            </w:pPr>
            <w:r>
              <w:rPr>
                <w:sz w:val="18"/>
              </w:rPr>
              <w:t>Dassault Systémes</w:t>
            </w:r>
          </w:p>
        </w:tc>
        <w:tc>
          <w:tcPr>
            <w:tcW w:w="3830" w:type="dxa"/>
          </w:tcPr>
          <w:p>
            <w:pPr>
              <w:pStyle w:val="TableParagraph"/>
              <w:spacing w:line="360" w:lineRule="auto"/>
              <w:ind w:left="398" w:right="396"/>
              <w:jc w:val="center"/>
              <w:rPr>
                <w:sz w:val="18"/>
              </w:rPr>
            </w:pPr>
            <w:r>
              <w:rPr>
                <w:sz w:val="18"/>
              </w:rPr>
              <w:t>CATIA: modelado 3D paramétrico y simulación de superficies y sólidos Icem Surf: modelado y análisis de superficies de clase A</w:t>
            </w:r>
          </w:p>
          <w:p>
            <w:pPr>
              <w:pStyle w:val="TableParagraph"/>
              <w:spacing w:line="360" w:lineRule="auto"/>
              <w:ind w:left="184" w:right="181" w:hanging="1"/>
              <w:jc w:val="center"/>
              <w:rPr>
                <w:sz w:val="18"/>
              </w:rPr>
            </w:pPr>
            <w:r>
              <w:rPr>
                <w:sz w:val="18"/>
              </w:rPr>
              <w:t>3DVIA Composer: documentación, exportación, compartir archivos y visionado de modelos y animaciones 3D que pueden abrirse, verse y reproducirse en muchos otros programas incluidos Word y Power Point</w:t>
            </w:r>
          </w:p>
        </w:tc>
      </w:tr>
      <w:tr>
        <w:trPr>
          <w:trHeight w:val="1253" w:hRule="exact"/>
        </w:trPr>
        <w:tc>
          <w:tcPr>
            <w:tcW w:w="2245" w:type="dxa"/>
            <w:vMerge/>
          </w:tcPr>
          <w:p>
            <w:pPr/>
          </w:p>
        </w:tc>
        <w:tc>
          <w:tcPr>
            <w:tcW w:w="1976" w:type="dxa"/>
          </w:tcPr>
          <w:p>
            <w:pPr>
              <w:pStyle w:val="TableParagraph"/>
              <w:spacing w:before="5"/>
              <w:rPr>
                <w:sz w:val="26"/>
              </w:rPr>
            </w:pPr>
          </w:p>
          <w:p>
            <w:pPr>
              <w:pStyle w:val="TableParagraph"/>
              <w:ind w:left="98" w:right="98"/>
              <w:jc w:val="center"/>
              <w:rPr>
                <w:sz w:val="18"/>
              </w:rPr>
            </w:pPr>
            <w:r>
              <w:rPr>
                <w:sz w:val="18"/>
              </w:rPr>
              <w:t>DAZ 3D</w:t>
            </w:r>
          </w:p>
        </w:tc>
        <w:tc>
          <w:tcPr>
            <w:tcW w:w="3830" w:type="dxa"/>
          </w:tcPr>
          <w:p>
            <w:pPr>
              <w:pStyle w:val="TableParagraph"/>
              <w:spacing w:line="357" w:lineRule="auto"/>
              <w:ind w:left="143" w:right="137"/>
              <w:jc w:val="center"/>
              <w:rPr>
                <w:sz w:val="18"/>
              </w:rPr>
            </w:pPr>
            <w:r>
              <w:rPr>
                <w:sz w:val="18"/>
              </w:rPr>
              <w:t>Carrara 8: modelado, animación y renderizado 3D</w:t>
            </w:r>
          </w:p>
          <w:p>
            <w:pPr>
              <w:pStyle w:val="TableParagraph"/>
              <w:spacing w:line="362" w:lineRule="auto" w:before="6"/>
              <w:ind w:left="143" w:right="141"/>
              <w:jc w:val="center"/>
              <w:rPr>
                <w:sz w:val="18"/>
              </w:rPr>
            </w:pPr>
            <w:r>
              <w:rPr>
                <w:sz w:val="18"/>
              </w:rPr>
              <w:t>Carrara 8 Pro: modelado, animación y renderizado 3D</w:t>
            </w:r>
          </w:p>
        </w:tc>
      </w:tr>
      <w:tr>
        <w:trPr>
          <w:trHeight w:val="2184" w:hRule="exact"/>
        </w:trPr>
        <w:tc>
          <w:tcPr>
            <w:tcW w:w="2245" w:type="dxa"/>
            <w:vMerge/>
          </w:tcPr>
          <w:p>
            <w:pPr/>
          </w:p>
        </w:tc>
        <w:tc>
          <w:tcPr>
            <w:tcW w:w="1976" w:type="dxa"/>
          </w:tcPr>
          <w:p>
            <w:pPr>
              <w:pStyle w:val="TableParagraph"/>
              <w:rPr>
                <w:sz w:val="18"/>
              </w:rPr>
            </w:pPr>
          </w:p>
          <w:p>
            <w:pPr>
              <w:pStyle w:val="TableParagraph"/>
              <w:rPr>
                <w:sz w:val="18"/>
              </w:rPr>
            </w:pPr>
          </w:p>
          <w:p>
            <w:pPr>
              <w:pStyle w:val="TableParagraph"/>
              <w:rPr>
                <w:sz w:val="18"/>
              </w:rPr>
            </w:pPr>
          </w:p>
          <w:p>
            <w:pPr>
              <w:pStyle w:val="TableParagraph"/>
              <w:spacing w:before="7"/>
              <w:rPr>
                <w:sz w:val="26"/>
              </w:rPr>
            </w:pPr>
          </w:p>
          <w:p>
            <w:pPr>
              <w:pStyle w:val="TableParagraph"/>
              <w:ind w:left="98" w:right="98"/>
              <w:jc w:val="center"/>
              <w:rPr>
                <w:sz w:val="18"/>
              </w:rPr>
            </w:pPr>
            <w:r>
              <w:rPr>
                <w:sz w:val="18"/>
              </w:rPr>
              <w:t>DeskArtes</w:t>
            </w:r>
          </w:p>
        </w:tc>
        <w:tc>
          <w:tcPr>
            <w:tcW w:w="3830" w:type="dxa"/>
          </w:tcPr>
          <w:p>
            <w:pPr>
              <w:pStyle w:val="TableParagraph"/>
              <w:spacing w:line="360" w:lineRule="auto"/>
              <w:ind w:left="1152" w:right="1153"/>
              <w:jc w:val="center"/>
              <w:rPr>
                <w:sz w:val="18"/>
              </w:rPr>
            </w:pPr>
            <w:r>
              <w:rPr>
                <w:sz w:val="18"/>
              </w:rPr>
              <w:t>3Data Expert Dimensions Expert View Expert Design Expert Render Expert Import Package</w:t>
            </w:r>
          </w:p>
          <w:p>
            <w:pPr>
              <w:pStyle w:val="TableParagraph"/>
              <w:ind w:left="143" w:right="144"/>
              <w:jc w:val="center"/>
              <w:rPr>
                <w:sz w:val="18"/>
              </w:rPr>
            </w:pPr>
            <w:r>
              <w:rPr>
                <w:sz w:val="18"/>
              </w:rPr>
              <w:t>Industrial Design System (IDS)</w:t>
            </w:r>
          </w:p>
        </w:tc>
      </w:tr>
      <w:tr>
        <w:trPr>
          <w:trHeight w:val="2184" w:hRule="exact"/>
        </w:trPr>
        <w:tc>
          <w:tcPr>
            <w:tcW w:w="2245" w:type="dxa"/>
            <w:vMerge/>
          </w:tcPr>
          <w:p>
            <w:pPr/>
          </w:p>
        </w:tc>
        <w:tc>
          <w:tcPr>
            <w:tcW w:w="1976"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5"/>
              <w:rPr>
                <w:sz w:val="17"/>
              </w:rPr>
            </w:pPr>
          </w:p>
          <w:p>
            <w:pPr>
              <w:pStyle w:val="TableParagraph"/>
              <w:ind w:left="98" w:right="99"/>
              <w:jc w:val="center"/>
              <w:rPr>
                <w:sz w:val="18"/>
              </w:rPr>
            </w:pPr>
            <w:r>
              <w:rPr>
                <w:sz w:val="18"/>
              </w:rPr>
              <w:t>Encore Software</w:t>
            </w:r>
          </w:p>
        </w:tc>
        <w:tc>
          <w:tcPr>
            <w:tcW w:w="3830" w:type="dxa"/>
          </w:tcPr>
          <w:p>
            <w:pPr>
              <w:pStyle w:val="TableParagraph"/>
              <w:spacing w:line="199" w:lineRule="exact"/>
              <w:ind w:left="143" w:right="143"/>
              <w:jc w:val="center"/>
              <w:rPr>
                <w:sz w:val="18"/>
              </w:rPr>
            </w:pPr>
            <w:r>
              <w:rPr>
                <w:sz w:val="18"/>
              </w:rPr>
              <w:t>Via CAD 2D: dibujo 2D</w:t>
            </w:r>
          </w:p>
          <w:p>
            <w:pPr>
              <w:pStyle w:val="TableParagraph"/>
              <w:spacing w:line="360" w:lineRule="auto" w:before="105"/>
              <w:ind w:left="143" w:right="140"/>
              <w:jc w:val="center"/>
              <w:rPr>
                <w:sz w:val="18"/>
              </w:rPr>
            </w:pPr>
            <w:r>
              <w:rPr>
                <w:sz w:val="18"/>
              </w:rPr>
              <w:t>Via CAD 2D/3D: dibujo 2D y modelado 3D Via CAD Pro: dibujo, modelado y renderizado</w:t>
            </w:r>
          </w:p>
          <w:p>
            <w:pPr>
              <w:pStyle w:val="TableParagraph"/>
              <w:spacing w:line="362" w:lineRule="auto" w:before="4"/>
              <w:ind w:left="612" w:right="598" w:firstLine="500"/>
              <w:rPr>
                <w:sz w:val="18"/>
              </w:rPr>
            </w:pPr>
            <w:r>
              <w:rPr>
                <w:sz w:val="18"/>
              </w:rPr>
              <w:t>Shark LT: dibujo 2D Shark: dibujo 2D y modelado 3D</w:t>
            </w:r>
          </w:p>
          <w:p>
            <w:pPr>
              <w:pStyle w:val="TableParagraph"/>
              <w:spacing w:line="206" w:lineRule="exact"/>
              <w:ind w:left="141" w:right="144"/>
              <w:jc w:val="center"/>
              <w:rPr>
                <w:sz w:val="18"/>
              </w:rPr>
            </w:pPr>
            <w:r>
              <w:rPr>
                <w:sz w:val="18"/>
              </w:rPr>
              <w:t>Shark FX: dibujo, modelado y renderizado</w:t>
            </w:r>
          </w:p>
        </w:tc>
      </w:tr>
      <w:tr>
        <w:trPr>
          <w:trHeight w:val="632" w:hRule="exact"/>
        </w:trPr>
        <w:tc>
          <w:tcPr>
            <w:tcW w:w="2245" w:type="dxa"/>
            <w:vMerge/>
          </w:tcPr>
          <w:p>
            <w:pPr/>
          </w:p>
        </w:tc>
        <w:tc>
          <w:tcPr>
            <w:tcW w:w="1976" w:type="dxa"/>
          </w:tcPr>
          <w:p>
            <w:pPr>
              <w:pStyle w:val="TableParagraph"/>
              <w:spacing w:line="199" w:lineRule="exact"/>
              <w:ind w:left="98" w:right="98"/>
              <w:jc w:val="center"/>
              <w:rPr>
                <w:sz w:val="18"/>
              </w:rPr>
            </w:pPr>
            <w:r>
              <w:rPr>
                <w:sz w:val="18"/>
              </w:rPr>
              <w:t>Genesis</w:t>
            </w:r>
          </w:p>
        </w:tc>
        <w:tc>
          <w:tcPr>
            <w:tcW w:w="3830" w:type="dxa"/>
          </w:tcPr>
          <w:p>
            <w:pPr>
              <w:pStyle w:val="TableParagraph"/>
              <w:spacing w:line="362" w:lineRule="auto"/>
              <w:ind w:left="1648" w:right="138" w:hanging="1321"/>
              <w:rPr>
                <w:sz w:val="18"/>
              </w:rPr>
            </w:pPr>
            <w:r>
              <w:rPr>
                <w:sz w:val="18"/>
              </w:rPr>
              <w:t>Integral Object Designer: modelado 3D básico</w:t>
            </w:r>
          </w:p>
        </w:tc>
      </w:tr>
      <w:tr>
        <w:trPr>
          <w:trHeight w:val="3113" w:hRule="exact"/>
        </w:trPr>
        <w:tc>
          <w:tcPr>
            <w:tcW w:w="2245" w:type="dxa"/>
            <w:vMerge/>
          </w:tcPr>
          <w:p>
            <w:pPr/>
          </w:p>
        </w:tc>
        <w:tc>
          <w:tcPr>
            <w:tcW w:w="1976"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5"/>
              <w:rPr>
                <w:sz w:val="17"/>
              </w:rPr>
            </w:pPr>
          </w:p>
          <w:p>
            <w:pPr>
              <w:pStyle w:val="TableParagraph"/>
              <w:ind w:left="97" w:right="99"/>
              <w:jc w:val="center"/>
              <w:rPr>
                <w:sz w:val="18"/>
              </w:rPr>
            </w:pPr>
            <w:r>
              <w:rPr>
                <w:sz w:val="18"/>
              </w:rPr>
              <w:t>IMSI/Design</w:t>
            </w:r>
          </w:p>
        </w:tc>
        <w:tc>
          <w:tcPr>
            <w:tcW w:w="3830" w:type="dxa"/>
          </w:tcPr>
          <w:p>
            <w:pPr>
              <w:pStyle w:val="TableParagraph"/>
              <w:spacing w:line="362" w:lineRule="auto"/>
              <w:ind w:left="143" w:right="142"/>
              <w:jc w:val="center"/>
              <w:rPr>
                <w:sz w:val="18"/>
              </w:rPr>
            </w:pPr>
            <w:r>
              <w:rPr>
                <w:sz w:val="18"/>
              </w:rPr>
              <w:t>Turbo CAD Deluxe 18: dibujo 2D, modelado y renderizado 3D</w:t>
            </w:r>
          </w:p>
          <w:p>
            <w:pPr>
              <w:pStyle w:val="TableParagraph"/>
              <w:spacing w:line="362" w:lineRule="auto"/>
              <w:ind w:left="143" w:right="135"/>
              <w:jc w:val="center"/>
              <w:rPr>
                <w:sz w:val="18"/>
              </w:rPr>
            </w:pPr>
            <w:r>
              <w:rPr>
                <w:sz w:val="18"/>
              </w:rPr>
              <w:t>Turbo CAD Mac Deluxe 2D/3D: dibujo 2D y modelado 3D</w:t>
            </w:r>
          </w:p>
          <w:p>
            <w:pPr>
              <w:pStyle w:val="TableParagraph"/>
              <w:spacing w:line="357" w:lineRule="auto" w:before="2"/>
              <w:ind w:left="143" w:right="136"/>
              <w:jc w:val="center"/>
              <w:rPr>
                <w:sz w:val="18"/>
              </w:rPr>
            </w:pPr>
            <w:r>
              <w:rPr>
                <w:sz w:val="18"/>
              </w:rPr>
              <w:t>Turbo CAD Mac Pro: dibujo 2D, modelado y renderizado 3D</w:t>
            </w:r>
          </w:p>
          <w:p>
            <w:pPr>
              <w:pStyle w:val="TableParagraph"/>
              <w:spacing w:line="357" w:lineRule="auto" w:before="6"/>
              <w:ind w:left="143" w:right="140"/>
              <w:jc w:val="center"/>
              <w:rPr>
                <w:sz w:val="18"/>
              </w:rPr>
            </w:pPr>
            <w:r>
              <w:rPr>
                <w:sz w:val="18"/>
              </w:rPr>
              <w:t>Turbo CAD Pro 18: dibujo 2D, modelado y renderizado 3D</w:t>
            </w:r>
          </w:p>
          <w:p>
            <w:pPr>
              <w:pStyle w:val="TableParagraph"/>
              <w:spacing w:line="362" w:lineRule="auto" w:before="6"/>
              <w:ind w:left="140" w:right="144"/>
              <w:jc w:val="center"/>
              <w:rPr>
                <w:sz w:val="18"/>
              </w:rPr>
            </w:pPr>
            <w:r>
              <w:rPr>
                <w:sz w:val="18"/>
              </w:rPr>
              <w:t>Turbo CAD Pro Platinum 18: dibujo 2D, modelado y renderizado 3D</w:t>
            </w:r>
          </w:p>
        </w:tc>
      </w:tr>
      <w:tr>
        <w:trPr>
          <w:trHeight w:val="320" w:hRule="exact"/>
        </w:trPr>
        <w:tc>
          <w:tcPr>
            <w:tcW w:w="2245" w:type="dxa"/>
            <w:vMerge/>
          </w:tcPr>
          <w:p>
            <w:pPr/>
          </w:p>
        </w:tc>
        <w:tc>
          <w:tcPr>
            <w:tcW w:w="1976" w:type="dxa"/>
          </w:tcPr>
          <w:p>
            <w:pPr>
              <w:pStyle w:val="TableParagraph"/>
              <w:spacing w:line="203" w:lineRule="exact"/>
              <w:ind w:left="95" w:right="99"/>
              <w:jc w:val="center"/>
              <w:rPr>
                <w:sz w:val="18"/>
              </w:rPr>
            </w:pPr>
            <w:r>
              <w:rPr>
                <w:sz w:val="18"/>
              </w:rPr>
              <w:t>Inivis</w:t>
            </w:r>
          </w:p>
        </w:tc>
        <w:tc>
          <w:tcPr>
            <w:tcW w:w="3830" w:type="dxa"/>
          </w:tcPr>
          <w:p>
            <w:pPr>
              <w:pStyle w:val="TableParagraph"/>
              <w:spacing w:line="203" w:lineRule="exact"/>
              <w:ind w:left="560" w:right="138"/>
              <w:rPr>
                <w:sz w:val="18"/>
              </w:rPr>
            </w:pPr>
            <w:r>
              <w:rPr>
                <w:sz w:val="18"/>
              </w:rPr>
              <w:t>AC3D: introducción y 3D software</w:t>
            </w:r>
          </w:p>
        </w:tc>
      </w:tr>
    </w:tbl>
    <w:p>
      <w:pPr>
        <w:spacing w:after="0" w:line="203" w:lineRule="exact"/>
        <w:rPr>
          <w:sz w:val="18"/>
        </w:rPr>
        <w:sectPr>
          <w:pgSz w:w="12240" w:h="15840"/>
          <w:pgMar w:header="0" w:footer="1031" w:top="1420" w:bottom="1160" w:left="1600" w:right="1720"/>
        </w:sectPr>
      </w:pPr>
    </w:p>
    <w:tbl>
      <w:tblPr>
        <w:tblW w:w="0" w:type="auto"/>
        <w:jc w:val="left"/>
        <w:tblInd w:w="372"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245"/>
        <w:gridCol w:w="1976"/>
        <w:gridCol w:w="3830"/>
      </w:tblGrid>
      <w:tr>
        <w:trPr>
          <w:trHeight w:val="944" w:hRule="exact"/>
        </w:trPr>
        <w:tc>
          <w:tcPr>
            <w:tcW w:w="2245" w:type="dxa"/>
            <w:vMerge w:val="restart"/>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7"/>
              <w:rPr>
                <w:sz w:val="26"/>
              </w:rPr>
            </w:pPr>
          </w:p>
          <w:p>
            <w:pPr>
              <w:pStyle w:val="TableParagraph"/>
              <w:spacing w:line="362" w:lineRule="auto"/>
              <w:ind w:left="432" w:right="115" w:hanging="301"/>
              <w:rPr>
                <w:sz w:val="18"/>
              </w:rPr>
            </w:pPr>
            <w:r>
              <w:rPr>
                <w:sz w:val="18"/>
              </w:rPr>
              <w:t>Programas de modelado y renderizado 3D</w:t>
            </w:r>
          </w:p>
        </w:tc>
        <w:tc>
          <w:tcPr>
            <w:tcW w:w="1976" w:type="dxa"/>
          </w:tcPr>
          <w:p>
            <w:pPr>
              <w:pStyle w:val="TableParagraph"/>
              <w:spacing w:before="8"/>
              <w:rPr>
                <w:sz w:val="26"/>
              </w:rPr>
            </w:pPr>
          </w:p>
          <w:p>
            <w:pPr>
              <w:pStyle w:val="TableParagraph"/>
              <w:ind w:left="95" w:right="99"/>
              <w:jc w:val="center"/>
              <w:rPr>
                <w:sz w:val="18"/>
              </w:rPr>
            </w:pPr>
            <w:r>
              <w:rPr>
                <w:sz w:val="18"/>
              </w:rPr>
              <w:t>Iron CAD</w:t>
            </w:r>
          </w:p>
        </w:tc>
        <w:tc>
          <w:tcPr>
            <w:tcW w:w="3830" w:type="dxa"/>
          </w:tcPr>
          <w:p>
            <w:pPr>
              <w:pStyle w:val="TableParagraph"/>
              <w:spacing w:line="360" w:lineRule="auto"/>
              <w:ind w:left="89" w:right="85"/>
              <w:jc w:val="center"/>
              <w:rPr>
                <w:sz w:val="18"/>
              </w:rPr>
            </w:pPr>
            <w:r>
              <w:rPr>
                <w:sz w:val="18"/>
              </w:rPr>
              <w:t>Iron CAD: modelado paramétrico sin historial INOVATE: programa de bajo coste de modelado y visionado 3D</w:t>
            </w:r>
          </w:p>
        </w:tc>
      </w:tr>
      <w:tr>
        <w:trPr>
          <w:trHeight w:val="940" w:hRule="exact"/>
        </w:trPr>
        <w:tc>
          <w:tcPr>
            <w:tcW w:w="2245" w:type="dxa"/>
            <w:vMerge/>
          </w:tcPr>
          <w:p>
            <w:pPr/>
          </w:p>
        </w:tc>
        <w:tc>
          <w:tcPr>
            <w:tcW w:w="1976" w:type="dxa"/>
          </w:tcPr>
          <w:p>
            <w:pPr>
              <w:pStyle w:val="TableParagraph"/>
              <w:spacing w:before="4"/>
              <w:rPr>
                <w:sz w:val="26"/>
              </w:rPr>
            </w:pPr>
          </w:p>
          <w:p>
            <w:pPr>
              <w:pStyle w:val="TableParagraph"/>
              <w:ind w:left="98" w:right="98"/>
              <w:jc w:val="center"/>
              <w:rPr>
                <w:sz w:val="18"/>
              </w:rPr>
            </w:pPr>
            <w:r>
              <w:rPr>
                <w:sz w:val="18"/>
              </w:rPr>
              <w:t>Kubotek</w:t>
            </w:r>
          </w:p>
        </w:tc>
        <w:tc>
          <w:tcPr>
            <w:tcW w:w="3830" w:type="dxa"/>
          </w:tcPr>
          <w:p>
            <w:pPr>
              <w:pStyle w:val="TableParagraph"/>
              <w:spacing w:line="362" w:lineRule="auto"/>
              <w:ind w:left="140" w:right="144"/>
              <w:jc w:val="center"/>
              <w:rPr>
                <w:sz w:val="18"/>
              </w:rPr>
            </w:pPr>
            <w:r>
              <w:rPr>
                <w:sz w:val="18"/>
              </w:rPr>
              <w:t>Key Creator: modelado paramétrico de sólidos sin historial y con modelado de superficies</w:t>
            </w:r>
          </w:p>
        </w:tc>
      </w:tr>
      <w:tr>
        <w:trPr>
          <w:trHeight w:val="1252" w:hRule="exact"/>
        </w:trPr>
        <w:tc>
          <w:tcPr>
            <w:tcW w:w="2245" w:type="dxa"/>
            <w:vMerge/>
          </w:tcPr>
          <w:p>
            <w:pPr/>
          </w:p>
        </w:tc>
        <w:tc>
          <w:tcPr>
            <w:tcW w:w="1976" w:type="dxa"/>
          </w:tcPr>
          <w:p>
            <w:pPr>
              <w:pStyle w:val="TableParagraph"/>
              <w:rPr>
                <w:sz w:val="18"/>
              </w:rPr>
            </w:pPr>
          </w:p>
          <w:p>
            <w:pPr>
              <w:pStyle w:val="TableParagraph"/>
              <w:rPr>
                <w:sz w:val="18"/>
              </w:rPr>
            </w:pPr>
          </w:p>
          <w:p>
            <w:pPr>
              <w:pStyle w:val="TableParagraph"/>
              <w:spacing w:before="6"/>
              <w:rPr>
                <w:sz w:val="17"/>
              </w:rPr>
            </w:pPr>
          </w:p>
          <w:p>
            <w:pPr>
              <w:pStyle w:val="TableParagraph"/>
              <w:ind w:left="93" w:right="99"/>
              <w:jc w:val="center"/>
              <w:rPr>
                <w:sz w:val="18"/>
              </w:rPr>
            </w:pPr>
            <w:r>
              <w:rPr>
                <w:sz w:val="18"/>
              </w:rPr>
              <w:t>Maxon</w:t>
            </w:r>
          </w:p>
        </w:tc>
        <w:tc>
          <w:tcPr>
            <w:tcW w:w="3830" w:type="dxa"/>
          </w:tcPr>
          <w:p>
            <w:pPr>
              <w:pStyle w:val="TableParagraph"/>
              <w:spacing w:line="357" w:lineRule="auto"/>
              <w:ind w:left="88" w:right="89"/>
              <w:jc w:val="center"/>
              <w:rPr>
                <w:sz w:val="18"/>
              </w:rPr>
            </w:pPr>
            <w:r>
              <w:rPr>
                <w:sz w:val="18"/>
              </w:rPr>
              <w:t>Cinema 4D Prime: para diseñadores gráficos que deseen usar modelado 3D</w:t>
            </w:r>
          </w:p>
          <w:p>
            <w:pPr>
              <w:pStyle w:val="TableParagraph"/>
              <w:spacing w:line="362" w:lineRule="auto" w:before="6"/>
              <w:ind w:left="141" w:right="144"/>
              <w:jc w:val="center"/>
              <w:rPr>
                <w:sz w:val="18"/>
              </w:rPr>
            </w:pPr>
            <w:r>
              <w:rPr>
                <w:sz w:val="18"/>
              </w:rPr>
              <w:t>Cinema 4D Studio: modelado y renderizado 3D de alto nivel para artistas del 3D</w:t>
            </w:r>
          </w:p>
        </w:tc>
      </w:tr>
      <w:tr>
        <w:trPr>
          <w:trHeight w:val="633" w:hRule="exact"/>
        </w:trPr>
        <w:tc>
          <w:tcPr>
            <w:tcW w:w="2245" w:type="dxa"/>
            <w:vMerge/>
          </w:tcPr>
          <w:p>
            <w:pPr/>
          </w:p>
        </w:tc>
        <w:tc>
          <w:tcPr>
            <w:tcW w:w="1976" w:type="dxa"/>
          </w:tcPr>
          <w:p>
            <w:pPr>
              <w:pStyle w:val="TableParagraph"/>
              <w:spacing w:line="203" w:lineRule="exact"/>
              <w:ind w:left="98" w:right="99"/>
              <w:jc w:val="center"/>
              <w:rPr>
                <w:sz w:val="18"/>
              </w:rPr>
            </w:pPr>
            <w:r>
              <w:rPr>
                <w:sz w:val="18"/>
              </w:rPr>
              <w:t>Moment of Inspiration</w:t>
            </w:r>
          </w:p>
        </w:tc>
        <w:tc>
          <w:tcPr>
            <w:tcW w:w="3830" w:type="dxa"/>
          </w:tcPr>
          <w:p>
            <w:pPr>
              <w:pStyle w:val="TableParagraph"/>
              <w:spacing w:line="357" w:lineRule="auto"/>
              <w:ind w:left="1032" w:right="364" w:hanging="657"/>
              <w:rPr>
                <w:sz w:val="18"/>
              </w:rPr>
            </w:pPr>
            <w:r>
              <w:rPr>
                <w:sz w:val="18"/>
              </w:rPr>
              <w:t>Software de modelado 3D destinado a diseñadores y artistas</w:t>
            </w:r>
          </w:p>
        </w:tc>
      </w:tr>
      <w:tr>
        <w:trPr>
          <w:trHeight w:val="632" w:hRule="exact"/>
        </w:trPr>
        <w:tc>
          <w:tcPr>
            <w:tcW w:w="2245" w:type="dxa"/>
            <w:vMerge/>
          </w:tcPr>
          <w:p>
            <w:pPr/>
          </w:p>
        </w:tc>
        <w:tc>
          <w:tcPr>
            <w:tcW w:w="1976" w:type="dxa"/>
          </w:tcPr>
          <w:p>
            <w:pPr>
              <w:pStyle w:val="TableParagraph"/>
              <w:spacing w:line="198" w:lineRule="exact"/>
              <w:ind w:left="98" w:right="94"/>
              <w:jc w:val="center"/>
              <w:rPr>
                <w:sz w:val="18"/>
              </w:rPr>
            </w:pPr>
            <w:r>
              <w:rPr>
                <w:sz w:val="18"/>
              </w:rPr>
              <w:t>Nemetschek</w:t>
            </w:r>
          </w:p>
        </w:tc>
        <w:tc>
          <w:tcPr>
            <w:tcW w:w="3830" w:type="dxa"/>
          </w:tcPr>
          <w:p>
            <w:pPr>
              <w:pStyle w:val="TableParagraph"/>
              <w:spacing w:line="362" w:lineRule="auto"/>
              <w:ind w:left="1224" w:right="138" w:hanging="1073"/>
              <w:rPr>
                <w:sz w:val="18"/>
              </w:rPr>
            </w:pPr>
            <w:r>
              <w:rPr>
                <w:sz w:val="18"/>
              </w:rPr>
              <w:t>Vectorworks Designer: dibujo 2D, modelado y renderizado 3D</w:t>
            </w:r>
          </w:p>
        </w:tc>
      </w:tr>
      <w:tr>
        <w:trPr>
          <w:trHeight w:val="320" w:hRule="exact"/>
        </w:trPr>
        <w:tc>
          <w:tcPr>
            <w:tcW w:w="2245" w:type="dxa"/>
            <w:vMerge/>
          </w:tcPr>
          <w:p>
            <w:pPr/>
          </w:p>
        </w:tc>
        <w:tc>
          <w:tcPr>
            <w:tcW w:w="1976" w:type="dxa"/>
          </w:tcPr>
          <w:p>
            <w:pPr>
              <w:pStyle w:val="TableParagraph"/>
              <w:spacing w:line="199" w:lineRule="exact"/>
              <w:ind w:left="98" w:right="98"/>
              <w:jc w:val="center"/>
              <w:rPr>
                <w:sz w:val="18"/>
              </w:rPr>
            </w:pPr>
            <w:r>
              <w:rPr>
                <w:sz w:val="18"/>
              </w:rPr>
              <w:t>Nevercentre</w:t>
            </w:r>
          </w:p>
        </w:tc>
        <w:tc>
          <w:tcPr>
            <w:tcW w:w="3830" w:type="dxa"/>
          </w:tcPr>
          <w:p>
            <w:pPr>
              <w:pStyle w:val="TableParagraph"/>
              <w:spacing w:line="199" w:lineRule="exact"/>
              <w:ind w:left="252" w:right="138"/>
              <w:rPr>
                <w:sz w:val="18"/>
              </w:rPr>
            </w:pPr>
            <w:r>
              <w:rPr>
                <w:sz w:val="18"/>
              </w:rPr>
              <w:t>Silo: esculpido 3D con mallas poligonales</w:t>
            </w:r>
          </w:p>
        </w:tc>
      </w:tr>
      <w:tr>
        <w:trPr>
          <w:trHeight w:val="632" w:hRule="exact"/>
        </w:trPr>
        <w:tc>
          <w:tcPr>
            <w:tcW w:w="2245" w:type="dxa"/>
            <w:vMerge/>
          </w:tcPr>
          <w:p>
            <w:pPr/>
          </w:p>
        </w:tc>
        <w:tc>
          <w:tcPr>
            <w:tcW w:w="1976" w:type="dxa"/>
          </w:tcPr>
          <w:p>
            <w:pPr>
              <w:pStyle w:val="TableParagraph"/>
              <w:spacing w:before="4"/>
              <w:rPr>
                <w:sz w:val="26"/>
              </w:rPr>
            </w:pPr>
          </w:p>
          <w:p>
            <w:pPr>
              <w:pStyle w:val="TableParagraph"/>
              <w:ind w:left="95" w:right="99"/>
              <w:jc w:val="center"/>
              <w:rPr>
                <w:sz w:val="18"/>
              </w:rPr>
            </w:pPr>
            <w:r>
              <w:rPr>
                <w:sz w:val="18"/>
              </w:rPr>
              <w:t>OmniCAD</w:t>
            </w:r>
          </w:p>
        </w:tc>
        <w:tc>
          <w:tcPr>
            <w:tcW w:w="3830" w:type="dxa"/>
          </w:tcPr>
          <w:p>
            <w:pPr>
              <w:pStyle w:val="TableParagraph"/>
              <w:spacing w:line="362" w:lineRule="auto"/>
              <w:ind w:left="532" w:right="139" w:hanging="372"/>
              <w:rPr>
                <w:sz w:val="18"/>
              </w:rPr>
            </w:pPr>
            <w:r>
              <w:rPr>
                <w:sz w:val="18"/>
              </w:rPr>
              <w:t>Modelado 2D y 3D para diseño de moldes y troqueles y modelos 3D complejos</w:t>
            </w:r>
          </w:p>
        </w:tc>
      </w:tr>
      <w:tr>
        <w:trPr>
          <w:trHeight w:val="4045" w:hRule="exact"/>
        </w:trPr>
        <w:tc>
          <w:tcPr>
            <w:tcW w:w="2245" w:type="dxa"/>
            <w:vMerge/>
          </w:tcPr>
          <w:p>
            <w:pPr/>
          </w:p>
        </w:tc>
        <w:tc>
          <w:tcPr>
            <w:tcW w:w="1976"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4"/>
              <w:rPr>
                <w:sz w:val="17"/>
              </w:rPr>
            </w:pPr>
          </w:p>
          <w:p>
            <w:pPr>
              <w:pStyle w:val="TableParagraph"/>
              <w:spacing w:before="1"/>
              <w:ind w:left="98" w:right="97"/>
              <w:jc w:val="center"/>
              <w:rPr>
                <w:sz w:val="18"/>
              </w:rPr>
            </w:pPr>
            <w:r>
              <w:rPr>
                <w:sz w:val="18"/>
              </w:rPr>
              <w:t>PTC</w:t>
            </w:r>
          </w:p>
        </w:tc>
        <w:tc>
          <w:tcPr>
            <w:tcW w:w="3830" w:type="dxa"/>
          </w:tcPr>
          <w:p>
            <w:pPr>
              <w:pStyle w:val="TableParagraph"/>
              <w:spacing w:line="362" w:lineRule="auto"/>
              <w:ind w:left="143" w:right="137"/>
              <w:jc w:val="center"/>
              <w:rPr>
                <w:sz w:val="18"/>
              </w:rPr>
            </w:pPr>
            <w:r>
              <w:rPr>
                <w:sz w:val="18"/>
              </w:rPr>
              <w:t>Creo Direct: diseñado para un uso rápido y fácil por usuarios ocasionales</w:t>
            </w:r>
          </w:p>
          <w:p>
            <w:pPr>
              <w:pStyle w:val="TableParagraph"/>
              <w:spacing w:line="360" w:lineRule="auto"/>
              <w:ind w:left="128" w:right="128" w:hanging="4"/>
              <w:jc w:val="center"/>
              <w:rPr>
                <w:sz w:val="18"/>
              </w:rPr>
            </w:pPr>
            <w:r>
              <w:rPr>
                <w:sz w:val="18"/>
              </w:rPr>
              <w:t>Creo Parametric: software de modelado paramétrico con diversos complementos disponibles para análisis de fatiga, flujo del plástico en moldes de inyección, análisis de holgura y fugas en diseño electromecánicos, análisis de interacciones persona-producto con muñecos virtuales, simulación de fuerzas y aceleraciones en sistemas con componentes móviles, animación de componentes móviles, análisis y control de tolerancias</w:t>
            </w:r>
          </w:p>
        </w:tc>
      </w:tr>
      <w:tr>
        <w:trPr>
          <w:trHeight w:val="1873" w:hRule="exact"/>
        </w:trPr>
        <w:tc>
          <w:tcPr>
            <w:tcW w:w="2245" w:type="dxa"/>
            <w:vMerge/>
          </w:tcPr>
          <w:p>
            <w:pPr/>
          </w:p>
        </w:tc>
        <w:tc>
          <w:tcPr>
            <w:tcW w:w="1976" w:type="dxa"/>
          </w:tcPr>
          <w:p>
            <w:pPr>
              <w:pStyle w:val="TableParagraph"/>
              <w:rPr>
                <w:sz w:val="18"/>
              </w:rPr>
            </w:pPr>
          </w:p>
          <w:p>
            <w:pPr>
              <w:pStyle w:val="TableParagraph"/>
              <w:rPr>
                <w:sz w:val="18"/>
              </w:rPr>
            </w:pPr>
          </w:p>
          <w:p>
            <w:pPr>
              <w:pStyle w:val="TableParagraph"/>
              <w:rPr>
                <w:sz w:val="18"/>
              </w:rPr>
            </w:pPr>
          </w:p>
          <w:p>
            <w:pPr>
              <w:pStyle w:val="TableParagraph"/>
              <w:spacing w:before="4"/>
              <w:rPr>
                <w:sz w:val="26"/>
              </w:rPr>
            </w:pPr>
          </w:p>
          <w:p>
            <w:pPr>
              <w:pStyle w:val="TableParagraph"/>
              <w:ind w:left="93" w:right="99"/>
              <w:jc w:val="center"/>
              <w:rPr>
                <w:sz w:val="18"/>
              </w:rPr>
            </w:pPr>
            <w:r>
              <w:rPr>
                <w:sz w:val="18"/>
              </w:rPr>
              <w:t>Radan</w:t>
            </w:r>
          </w:p>
        </w:tc>
        <w:tc>
          <w:tcPr>
            <w:tcW w:w="3830" w:type="dxa"/>
          </w:tcPr>
          <w:p>
            <w:pPr>
              <w:pStyle w:val="TableParagraph"/>
              <w:spacing w:line="360" w:lineRule="auto"/>
              <w:ind w:left="112" w:right="109" w:hanging="2"/>
              <w:jc w:val="center"/>
              <w:rPr>
                <w:sz w:val="18"/>
              </w:rPr>
            </w:pPr>
            <w:r>
              <w:rPr>
                <w:sz w:val="18"/>
              </w:rPr>
              <w:t>Radan 3D: diseño con lámina de metal y modeldo de ensamblado de ingeniería capaz de descomponer diseños metálicos creados por él mismo y por otros programas Alphacam: software CAD/CAM compatible con cualquier máquina CNC</w:t>
            </w:r>
          </w:p>
        </w:tc>
      </w:tr>
      <w:tr>
        <w:trPr>
          <w:trHeight w:val="633" w:hRule="exact"/>
        </w:trPr>
        <w:tc>
          <w:tcPr>
            <w:tcW w:w="2245" w:type="dxa"/>
            <w:vMerge/>
          </w:tcPr>
          <w:p>
            <w:pPr/>
          </w:p>
        </w:tc>
        <w:tc>
          <w:tcPr>
            <w:tcW w:w="1976" w:type="dxa"/>
          </w:tcPr>
          <w:p>
            <w:pPr>
              <w:pStyle w:val="TableParagraph"/>
              <w:spacing w:line="357" w:lineRule="auto"/>
              <w:ind w:left="547" w:right="190" w:hanging="340"/>
              <w:rPr>
                <w:sz w:val="18"/>
              </w:rPr>
            </w:pPr>
            <w:r>
              <w:rPr>
                <w:sz w:val="18"/>
              </w:rPr>
              <w:t>Robert McNeel and Associates</w:t>
            </w:r>
          </w:p>
        </w:tc>
        <w:tc>
          <w:tcPr>
            <w:tcW w:w="3830" w:type="dxa"/>
          </w:tcPr>
          <w:p>
            <w:pPr>
              <w:pStyle w:val="TableParagraph"/>
              <w:spacing w:line="357" w:lineRule="auto"/>
              <w:ind w:left="224" w:right="205" w:firstLine="40"/>
              <w:rPr>
                <w:sz w:val="18"/>
              </w:rPr>
            </w:pPr>
            <w:r>
              <w:rPr>
                <w:sz w:val="18"/>
              </w:rPr>
              <w:t>Rhinoceros 3D: modelado NURBS 3D de formas libres con renderizado incorporado</w:t>
            </w:r>
          </w:p>
        </w:tc>
      </w:tr>
      <w:tr>
        <w:trPr>
          <w:trHeight w:val="940" w:hRule="exact"/>
        </w:trPr>
        <w:tc>
          <w:tcPr>
            <w:tcW w:w="2245" w:type="dxa"/>
            <w:vMerge/>
          </w:tcPr>
          <w:p>
            <w:pPr/>
          </w:p>
        </w:tc>
        <w:tc>
          <w:tcPr>
            <w:tcW w:w="1976" w:type="dxa"/>
          </w:tcPr>
          <w:p>
            <w:pPr>
              <w:pStyle w:val="TableParagraph"/>
              <w:rPr>
                <w:sz w:val="18"/>
              </w:rPr>
            </w:pPr>
          </w:p>
          <w:p>
            <w:pPr>
              <w:pStyle w:val="TableParagraph"/>
              <w:rPr>
                <w:sz w:val="18"/>
              </w:rPr>
            </w:pPr>
          </w:p>
          <w:p>
            <w:pPr>
              <w:pStyle w:val="TableParagraph"/>
              <w:spacing w:before="6"/>
              <w:rPr>
                <w:sz w:val="17"/>
              </w:rPr>
            </w:pPr>
          </w:p>
          <w:p>
            <w:pPr>
              <w:pStyle w:val="TableParagraph"/>
              <w:ind w:left="98" w:right="98"/>
              <w:jc w:val="center"/>
              <w:rPr>
                <w:sz w:val="18"/>
              </w:rPr>
            </w:pPr>
            <w:r>
              <w:rPr>
                <w:sz w:val="18"/>
              </w:rPr>
              <w:t>Siemens</w:t>
            </w:r>
          </w:p>
        </w:tc>
        <w:tc>
          <w:tcPr>
            <w:tcW w:w="3830" w:type="dxa"/>
          </w:tcPr>
          <w:p>
            <w:pPr>
              <w:pStyle w:val="TableParagraph"/>
              <w:spacing w:line="362" w:lineRule="auto"/>
              <w:ind w:left="348" w:right="349" w:hanging="1"/>
              <w:jc w:val="center"/>
              <w:rPr>
                <w:sz w:val="18"/>
              </w:rPr>
            </w:pPr>
            <w:r>
              <w:rPr>
                <w:sz w:val="18"/>
              </w:rPr>
              <w:t>Solid Edge: dibujo 2D, modelado 3D, simulación de movimiento, renderizado NX8: modelado 3D CAD, CAE y CAM,</w:t>
            </w:r>
          </w:p>
        </w:tc>
      </w:tr>
    </w:tbl>
    <w:p>
      <w:pPr>
        <w:spacing w:after="0" w:line="362" w:lineRule="auto"/>
        <w:jc w:val="center"/>
        <w:rPr>
          <w:sz w:val="18"/>
        </w:rPr>
        <w:sectPr>
          <w:pgSz w:w="12240" w:h="15840"/>
          <w:pgMar w:header="0" w:footer="1031" w:top="1420" w:bottom="1160" w:left="1720" w:right="1600"/>
        </w:sectPr>
      </w:pPr>
    </w:p>
    <w:tbl>
      <w:tblPr>
        <w:tblW w:w="0" w:type="auto"/>
        <w:jc w:val="left"/>
        <w:tblInd w:w="492"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245"/>
        <w:gridCol w:w="1976"/>
        <w:gridCol w:w="3830"/>
      </w:tblGrid>
      <w:tr>
        <w:trPr>
          <w:trHeight w:val="632" w:hRule="exact"/>
        </w:trPr>
        <w:tc>
          <w:tcPr>
            <w:tcW w:w="2245" w:type="dxa"/>
            <w:vMerge w:val="restart"/>
          </w:tcPr>
          <w:p>
            <w:pPr/>
          </w:p>
        </w:tc>
        <w:tc>
          <w:tcPr>
            <w:tcW w:w="1976" w:type="dxa"/>
          </w:tcPr>
          <w:p>
            <w:pPr/>
          </w:p>
        </w:tc>
        <w:tc>
          <w:tcPr>
            <w:tcW w:w="3830" w:type="dxa"/>
          </w:tcPr>
          <w:p>
            <w:pPr>
              <w:pStyle w:val="TableParagraph"/>
              <w:spacing w:line="362" w:lineRule="auto"/>
              <w:ind w:left="1368" w:right="612" w:hanging="740"/>
              <w:rPr>
                <w:sz w:val="18"/>
              </w:rPr>
            </w:pPr>
            <w:r>
              <w:rPr>
                <w:sz w:val="18"/>
              </w:rPr>
              <w:t>simulación FEA y fabricación de componentes</w:t>
            </w:r>
          </w:p>
        </w:tc>
      </w:tr>
      <w:tr>
        <w:trPr>
          <w:trHeight w:val="944" w:hRule="exact"/>
        </w:trPr>
        <w:tc>
          <w:tcPr>
            <w:tcW w:w="2245" w:type="dxa"/>
            <w:vMerge/>
          </w:tcPr>
          <w:p>
            <w:pPr/>
          </w:p>
        </w:tc>
        <w:tc>
          <w:tcPr>
            <w:tcW w:w="1976" w:type="dxa"/>
          </w:tcPr>
          <w:p>
            <w:pPr>
              <w:pStyle w:val="TableParagraph"/>
              <w:spacing w:line="357" w:lineRule="auto"/>
              <w:ind w:left="511" w:right="496" w:firstLine="4"/>
              <w:rPr>
                <w:sz w:val="18"/>
              </w:rPr>
            </w:pPr>
            <w:r>
              <w:rPr>
                <w:sz w:val="18"/>
              </w:rPr>
              <w:t>Spaceclaim Corporation</w:t>
            </w:r>
          </w:p>
        </w:tc>
        <w:tc>
          <w:tcPr>
            <w:tcW w:w="3830" w:type="dxa"/>
          </w:tcPr>
          <w:p>
            <w:pPr>
              <w:pStyle w:val="TableParagraph"/>
              <w:spacing w:line="360" w:lineRule="auto"/>
              <w:ind w:left="143" w:right="142"/>
              <w:jc w:val="center"/>
              <w:rPr>
                <w:sz w:val="18"/>
              </w:rPr>
            </w:pPr>
            <w:r>
              <w:rPr>
                <w:sz w:val="18"/>
              </w:rPr>
              <w:t>Spaceclaim Engineer: modelado sólido paramétrico compatible con diversos archivos de modelos 3D</w:t>
            </w:r>
          </w:p>
        </w:tc>
      </w:tr>
      <w:tr>
        <w:trPr>
          <w:trHeight w:val="2181" w:hRule="exact"/>
        </w:trPr>
        <w:tc>
          <w:tcPr>
            <w:tcW w:w="2245" w:type="dxa"/>
            <w:vMerge w:val="restart"/>
          </w:tcPr>
          <w:p>
            <w:pPr>
              <w:pStyle w:val="TableParagraph"/>
              <w:rPr>
                <w:sz w:val="18"/>
              </w:rPr>
            </w:pPr>
          </w:p>
          <w:p>
            <w:pPr>
              <w:pStyle w:val="TableParagraph"/>
              <w:rPr>
                <w:sz w:val="18"/>
              </w:rPr>
            </w:pPr>
          </w:p>
          <w:p>
            <w:pPr>
              <w:pStyle w:val="TableParagraph"/>
              <w:rPr>
                <w:sz w:val="18"/>
              </w:rPr>
            </w:pPr>
          </w:p>
          <w:p>
            <w:pPr>
              <w:pStyle w:val="TableParagraph"/>
              <w:spacing w:before="3"/>
              <w:rPr>
                <w:sz w:val="26"/>
              </w:rPr>
            </w:pPr>
          </w:p>
          <w:p>
            <w:pPr>
              <w:pStyle w:val="TableParagraph"/>
              <w:spacing w:line="362" w:lineRule="auto"/>
              <w:ind w:left="188" w:right="115" w:hanging="57"/>
              <w:rPr>
                <w:sz w:val="18"/>
              </w:rPr>
            </w:pPr>
            <w:r>
              <w:rPr>
                <w:sz w:val="18"/>
              </w:rPr>
              <w:t>Programas de modelado poligonal y renderizado</w:t>
            </w:r>
          </w:p>
        </w:tc>
        <w:tc>
          <w:tcPr>
            <w:tcW w:w="1976" w:type="dxa"/>
          </w:tcPr>
          <w:p>
            <w:pPr>
              <w:pStyle w:val="TableParagraph"/>
              <w:rPr>
                <w:sz w:val="18"/>
              </w:rPr>
            </w:pPr>
          </w:p>
          <w:p>
            <w:pPr>
              <w:pStyle w:val="TableParagraph"/>
              <w:rPr>
                <w:sz w:val="18"/>
              </w:rPr>
            </w:pPr>
          </w:p>
          <w:p>
            <w:pPr>
              <w:pStyle w:val="TableParagraph"/>
              <w:rPr>
                <w:sz w:val="18"/>
              </w:rPr>
            </w:pPr>
          </w:p>
          <w:p>
            <w:pPr>
              <w:pStyle w:val="TableParagraph"/>
              <w:spacing w:before="3"/>
              <w:rPr>
                <w:sz w:val="26"/>
              </w:rPr>
            </w:pPr>
          </w:p>
          <w:p>
            <w:pPr>
              <w:pStyle w:val="TableParagraph"/>
              <w:ind w:left="98" w:right="97"/>
              <w:jc w:val="center"/>
              <w:rPr>
                <w:sz w:val="18"/>
              </w:rPr>
            </w:pPr>
            <w:r>
              <w:rPr>
                <w:sz w:val="18"/>
              </w:rPr>
              <w:t>Autodesk</w:t>
            </w:r>
          </w:p>
        </w:tc>
        <w:tc>
          <w:tcPr>
            <w:tcW w:w="3830" w:type="dxa"/>
          </w:tcPr>
          <w:p>
            <w:pPr>
              <w:pStyle w:val="TableParagraph"/>
              <w:spacing w:line="362" w:lineRule="auto"/>
              <w:ind w:left="402" w:right="396"/>
              <w:jc w:val="center"/>
              <w:rPr>
                <w:sz w:val="18"/>
              </w:rPr>
            </w:pPr>
            <w:r>
              <w:rPr>
                <w:sz w:val="18"/>
              </w:rPr>
              <w:t>Mudbox: esculpido digital polygonal y pintura digital</w:t>
            </w:r>
          </w:p>
          <w:p>
            <w:pPr>
              <w:pStyle w:val="TableParagraph"/>
              <w:spacing w:line="362" w:lineRule="auto"/>
              <w:ind w:left="143" w:right="144"/>
              <w:jc w:val="center"/>
              <w:rPr>
                <w:sz w:val="18"/>
              </w:rPr>
            </w:pPr>
            <w:r>
              <w:rPr>
                <w:sz w:val="18"/>
              </w:rPr>
              <w:t>3ds Max Design: modelado 3D polygonal, animación y renderizado</w:t>
            </w:r>
          </w:p>
          <w:p>
            <w:pPr>
              <w:pStyle w:val="TableParagraph"/>
              <w:spacing w:line="360" w:lineRule="auto" w:before="2"/>
              <w:ind w:left="244" w:right="242" w:hanging="3"/>
              <w:jc w:val="center"/>
              <w:rPr>
                <w:sz w:val="18"/>
              </w:rPr>
            </w:pPr>
            <w:r>
              <w:rPr>
                <w:sz w:val="18"/>
              </w:rPr>
              <w:t>Maya: esculpido poligonal 3D y efectos Softimage: animación 3D de personajes y efectos visuales</w:t>
            </w:r>
          </w:p>
        </w:tc>
      </w:tr>
      <w:tr>
        <w:trPr>
          <w:trHeight w:val="324" w:hRule="exact"/>
        </w:trPr>
        <w:tc>
          <w:tcPr>
            <w:tcW w:w="2245" w:type="dxa"/>
            <w:vMerge/>
          </w:tcPr>
          <w:p>
            <w:pPr/>
          </w:p>
        </w:tc>
        <w:tc>
          <w:tcPr>
            <w:tcW w:w="1976" w:type="dxa"/>
          </w:tcPr>
          <w:p>
            <w:pPr>
              <w:pStyle w:val="TableParagraph"/>
              <w:spacing w:line="202" w:lineRule="exact"/>
              <w:ind w:left="98" w:right="98"/>
              <w:jc w:val="center"/>
              <w:rPr>
                <w:sz w:val="18"/>
              </w:rPr>
            </w:pPr>
            <w:r>
              <w:rPr>
                <w:sz w:val="18"/>
              </w:rPr>
              <w:t>Pixologic</w:t>
            </w:r>
          </w:p>
        </w:tc>
        <w:tc>
          <w:tcPr>
            <w:tcW w:w="3830" w:type="dxa"/>
          </w:tcPr>
          <w:p>
            <w:pPr>
              <w:pStyle w:val="TableParagraph"/>
              <w:spacing w:line="202" w:lineRule="exact"/>
              <w:ind w:left="139" w:right="144"/>
              <w:jc w:val="center"/>
              <w:rPr>
                <w:sz w:val="18"/>
              </w:rPr>
            </w:pPr>
            <w:r>
              <w:rPr>
                <w:sz w:val="18"/>
              </w:rPr>
              <w:t>ZBrush: esculpido 3d, pintura y renderizado</w:t>
            </w:r>
          </w:p>
        </w:tc>
      </w:tr>
      <w:tr>
        <w:trPr>
          <w:trHeight w:val="1252" w:hRule="exact"/>
        </w:trPr>
        <w:tc>
          <w:tcPr>
            <w:tcW w:w="2245" w:type="dxa"/>
          </w:tcPr>
          <w:p>
            <w:pPr>
              <w:pStyle w:val="TableParagraph"/>
              <w:spacing w:line="360" w:lineRule="auto"/>
              <w:ind w:left="131" w:right="127"/>
              <w:jc w:val="center"/>
              <w:rPr>
                <w:sz w:val="18"/>
              </w:rPr>
            </w:pPr>
            <w:r>
              <w:rPr>
                <w:sz w:val="18"/>
              </w:rPr>
              <w:t>Programas de modelado renderizado con vóxeles 3D</w:t>
            </w:r>
          </w:p>
        </w:tc>
        <w:tc>
          <w:tcPr>
            <w:tcW w:w="1976" w:type="dxa"/>
          </w:tcPr>
          <w:p>
            <w:pPr>
              <w:pStyle w:val="TableParagraph"/>
              <w:rPr>
                <w:sz w:val="18"/>
              </w:rPr>
            </w:pPr>
          </w:p>
          <w:p>
            <w:pPr>
              <w:pStyle w:val="TableParagraph"/>
              <w:rPr>
                <w:sz w:val="18"/>
              </w:rPr>
            </w:pPr>
          </w:p>
          <w:p>
            <w:pPr>
              <w:pStyle w:val="TableParagraph"/>
              <w:spacing w:before="2"/>
              <w:rPr>
                <w:sz w:val="17"/>
              </w:rPr>
            </w:pPr>
          </w:p>
          <w:p>
            <w:pPr>
              <w:pStyle w:val="TableParagraph"/>
              <w:ind w:left="95" w:right="99"/>
              <w:jc w:val="center"/>
              <w:rPr>
                <w:sz w:val="18"/>
              </w:rPr>
            </w:pPr>
            <w:r>
              <w:rPr>
                <w:sz w:val="18"/>
              </w:rPr>
              <w:t>3D Coat</w:t>
            </w:r>
          </w:p>
        </w:tc>
        <w:tc>
          <w:tcPr>
            <w:tcW w:w="3830" w:type="dxa"/>
          </w:tcPr>
          <w:p>
            <w:pPr>
              <w:pStyle w:val="TableParagraph"/>
              <w:spacing w:line="360" w:lineRule="auto"/>
              <w:ind w:left="132" w:right="136" w:firstLine="4"/>
              <w:jc w:val="center"/>
              <w:rPr>
                <w:sz w:val="18"/>
              </w:rPr>
            </w:pPr>
            <w:r>
              <w:rPr>
                <w:sz w:val="18"/>
              </w:rPr>
              <w:t>Esculpido 3D, pintura y renderizado basado en técnicas de esculpido con vóxeles, capaz de importar archivos 3D de muchos otros programas de modelado 3D</w:t>
            </w:r>
          </w:p>
        </w:tc>
      </w:tr>
      <w:tr>
        <w:trPr>
          <w:trHeight w:val="629" w:hRule="exact"/>
        </w:trPr>
        <w:tc>
          <w:tcPr>
            <w:tcW w:w="2245" w:type="dxa"/>
            <w:vMerge w:val="restart"/>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4"/>
              <w:rPr>
                <w:sz w:val="17"/>
              </w:rPr>
            </w:pPr>
          </w:p>
          <w:p>
            <w:pPr>
              <w:pStyle w:val="TableParagraph"/>
              <w:spacing w:line="357" w:lineRule="auto" w:before="1"/>
              <w:ind w:left="720" w:right="167" w:hanging="541"/>
              <w:rPr>
                <w:sz w:val="18"/>
              </w:rPr>
            </w:pPr>
            <w:r>
              <w:rPr>
                <w:sz w:val="18"/>
              </w:rPr>
              <w:t>Programas gratuitos de modelado</w:t>
            </w:r>
          </w:p>
        </w:tc>
        <w:tc>
          <w:tcPr>
            <w:tcW w:w="1976" w:type="dxa"/>
          </w:tcPr>
          <w:p>
            <w:pPr>
              <w:pStyle w:val="TableParagraph"/>
              <w:spacing w:line="199" w:lineRule="exact"/>
              <w:ind w:left="98" w:right="95"/>
              <w:jc w:val="center"/>
              <w:rPr>
                <w:sz w:val="18"/>
              </w:rPr>
            </w:pPr>
            <w:r>
              <w:rPr>
                <w:sz w:val="18"/>
              </w:rPr>
              <w:t>Art of Illusion</w:t>
            </w:r>
          </w:p>
        </w:tc>
        <w:tc>
          <w:tcPr>
            <w:tcW w:w="3830" w:type="dxa"/>
          </w:tcPr>
          <w:p>
            <w:pPr>
              <w:pStyle w:val="TableParagraph"/>
              <w:spacing w:line="362" w:lineRule="auto"/>
              <w:ind w:left="720" w:right="480" w:hanging="221"/>
              <w:rPr>
                <w:sz w:val="18"/>
              </w:rPr>
            </w:pPr>
            <w:r>
              <w:rPr>
                <w:sz w:val="18"/>
              </w:rPr>
              <w:t>Paquete de modelado, animación y renderizado de código abierto</w:t>
            </w:r>
          </w:p>
        </w:tc>
      </w:tr>
      <w:tr>
        <w:trPr>
          <w:trHeight w:val="632" w:hRule="exact"/>
        </w:trPr>
        <w:tc>
          <w:tcPr>
            <w:tcW w:w="2245" w:type="dxa"/>
            <w:vMerge/>
          </w:tcPr>
          <w:p>
            <w:pPr/>
          </w:p>
        </w:tc>
        <w:tc>
          <w:tcPr>
            <w:tcW w:w="1976" w:type="dxa"/>
          </w:tcPr>
          <w:p>
            <w:pPr>
              <w:pStyle w:val="TableParagraph"/>
              <w:spacing w:line="203" w:lineRule="exact"/>
              <w:ind w:left="97" w:right="99"/>
              <w:jc w:val="center"/>
              <w:rPr>
                <w:sz w:val="18"/>
              </w:rPr>
            </w:pPr>
            <w:r>
              <w:rPr>
                <w:sz w:val="18"/>
              </w:rPr>
              <w:t>Blender</w:t>
            </w:r>
          </w:p>
        </w:tc>
        <w:tc>
          <w:tcPr>
            <w:tcW w:w="3830" w:type="dxa"/>
          </w:tcPr>
          <w:p>
            <w:pPr>
              <w:pStyle w:val="TableParagraph"/>
              <w:spacing w:line="357" w:lineRule="auto"/>
              <w:ind w:left="720" w:right="480" w:hanging="221"/>
              <w:rPr>
                <w:sz w:val="18"/>
              </w:rPr>
            </w:pPr>
            <w:r>
              <w:rPr>
                <w:sz w:val="18"/>
              </w:rPr>
              <w:t>Paquete de modelado, animación y renderizado de código abierto</w:t>
            </w:r>
          </w:p>
        </w:tc>
      </w:tr>
      <w:tr>
        <w:trPr>
          <w:trHeight w:val="1252" w:hRule="exact"/>
        </w:trPr>
        <w:tc>
          <w:tcPr>
            <w:tcW w:w="2245" w:type="dxa"/>
            <w:vMerge/>
          </w:tcPr>
          <w:p>
            <w:pPr/>
          </w:p>
        </w:tc>
        <w:tc>
          <w:tcPr>
            <w:tcW w:w="1976" w:type="dxa"/>
          </w:tcPr>
          <w:p>
            <w:pPr>
              <w:pStyle w:val="TableParagraph"/>
              <w:rPr>
                <w:sz w:val="18"/>
              </w:rPr>
            </w:pPr>
          </w:p>
          <w:p>
            <w:pPr>
              <w:pStyle w:val="TableParagraph"/>
              <w:rPr>
                <w:sz w:val="18"/>
              </w:rPr>
            </w:pPr>
          </w:p>
          <w:p>
            <w:pPr>
              <w:pStyle w:val="TableParagraph"/>
              <w:spacing w:before="6"/>
              <w:rPr>
                <w:sz w:val="17"/>
              </w:rPr>
            </w:pPr>
          </w:p>
          <w:p>
            <w:pPr>
              <w:pStyle w:val="TableParagraph"/>
              <w:ind w:left="98" w:right="99"/>
              <w:jc w:val="center"/>
              <w:rPr>
                <w:sz w:val="18"/>
              </w:rPr>
            </w:pPr>
            <w:r>
              <w:rPr>
                <w:sz w:val="18"/>
              </w:rPr>
              <w:t>Dassault Systémes</w:t>
            </w:r>
          </w:p>
        </w:tc>
        <w:tc>
          <w:tcPr>
            <w:tcW w:w="3830" w:type="dxa"/>
          </w:tcPr>
          <w:p>
            <w:pPr>
              <w:pStyle w:val="TableParagraph"/>
              <w:spacing w:line="360" w:lineRule="auto"/>
              <w:ind w:left="142" w:right="144"/>
              <w:jc w:val="center"/>
              <w:rPr>
                <w:sz w:val="18"/>
              </w:rPr>
            </w:pPr>
            <w:r>
              <w:rPr>
                <w:sz w:val="18"/>
              </w:rPr>
              <w:t>DraftSight: software gratuito de dibujo 2D, crea, edita y visualiza archivos .dwg y .dxf 3D Via Shape: software gratuito de modelado 3D</w:t>
            </w:r>
          </w:p>
        </w:tc>
      </w:tr>
      <w:tr>
        <w:trPr>
          <w:trHeight w:val="320" w:hRule="exact"/>
        </w:trPr>
        <w:tc>
          <w:tcPr>
            <w:tcW w:w="2245" w:type="dxa"/>
            <w:vMerge/>
          </w:tcPr>
          <w:p>
            <w:pPr/>
          </w:p>
        </w:tc>
        <w:tc>
          <w:tcPr>
            <w:tcW w:w="1976" w:type="dxa"/>
          </w:tcPr>
          <w:p>
            <w:pPr>
              <w:pStyle w:val="TableParagraph"/>
              <w:spacing w:line="199" w:lineRule="exact"/>
              <w:ind w:left="98" w:right="98"/>
              <w:jc w:val="center"/>
              <w:rPr>
                <w:sz w:val="18"/>
              </w:rPr>
            </w:pPr>
            <w:r>
              <w:rPr>
                <w:sz w:val="18"/>
              </w:rPr>
              <w:t>Google Sketchup</w:t>
            </w:r>
          </w:p>
        </w:tc>
        <w:tc>
          <w:tcPr>
            <w:tcW w:w="3830" w:type="dxa"/>
          </w:tcPr>
          <w:p>
            <w:pPr>
              <w:pStyle w:val="TableParagraph"/>
              <w:spacing w:line="199" w:lineRule="exact"/>
              <w:ind w:left="143" w:right="141"/>
              <w:jc w:val="center"/>
              <w:rPr>
                <w:sz w:val="18"/>
              </w:rPr>
            </w:pPr>
            <w:r>
              <w:rPr>
                <w:sz w:val="18"/>
              </w:rPr>
              <w:t>Paquete de modelado básico</w:t>
            </w:r>
          </w:p>
        </w:tc>
      </w:tr>
      <w:tr>
        <w:trPr>
          <w:trHeight w:val="632" w:hRule="exact"/>
        </w:trPr>
        <w:tc>
          <w:tcPr>
            <w:tcW w:w="2245" w:type="dxa"/>
            <w:vMerge/>
          </w:tcPr>
          <w:p>
            <w:pPr/>
          </w:p>
        </w:tc>
        <w:tc>
          <w:tcPr>
            <w:tcW w:w="1976" w:type="dxa"/>
          </w:tcPr>
          <w:p>
            <w:pPr>
              <w:pStyle w:val="TableParagraph"/>
              <w:spacing w:line="203" w:lineRule="exact"/>
              <w:ind w:left="98" w:right="98"/>
              <w:jc w:val="center"/>
              <w:rPr>
                <w:sz w:val="18"/>
              </w:rPr>
            </w:pPr>
            <w:r>
              <w:rPr>
                <w:sz w:val="18"/>
              </w:rPr>
              <w:t>K3DSurf</w:t>
            </w:r>
          </w:p>
        </w:tc>
        <w:tc>
          <w:tcPr>
            <w:tcW w:w="3830" w:type="dxa"/>
          </w:tcPr>
          <w:p>
            <w:pPr>
              <w:pStyle w:val="TableParagraph"/>
              <w:spacing w:line="357" w:lineRule="auto"/>
              <w:ind w:left="1224" w:right="298" w:hanging="913"/>
              <w:rPr>
                <w:sz w:val="18"/>
              </w:rPr>
            </w:pPr>
            <w:r>
              <w:rPr>
                <w:sz w:val="18"/>
              </w:rPr>
              <w:t>Paquete gratuito de modelado en 3D de base matemática</w:t>
            </w:r>
          </w:p>
        </w:tc>
      </w:tr>
      <w:tr>
        <w:trPr>
          <w:trHeight w:val="941" w:hRule="exact"/>
        </w:trPr>
        <w:tc>
          <w:tcPr>
            <w:tcW w:w="2245" w:type="dxa"/>
            <w:vMerge/>
          </w:tcPr>
          <w:p>
            <w:pPr/>
          </w:p>
        </w:tc>
        <w:tc>
          <w:tcPr>
            <w:tcW w:w="1976" w:type="dxa"/>
          </w:tcPr>
          <w:p>
            <w:pPr>
              <w:pStyle w:val="TableParagraph"/>
              <w:spacing w:before="4"/>
              <w:rPr>
                <w:sz w:val="26"/>
              </w:rPr>
            </w:pPr>
          </w:p>
          <w:p>
            <w:pPr>
              <w:pStyle w:val="TableParagraph"/>
              <w:ind w:left="98" w:right="97"/>
              <w:jc w:val="center"/>
              <w:rPr>
                <w:sz w:val="18"/>
              </w:rPr>
            </w:pPr>
            <w:r>
              <w:rPr>
                <w:sz w:val="18"/>
              </w:rPr>
              <w:t>PTC</w:t>
            </w:r>
          </w:p>
        </w:tc>
        <w:tc>
          <w:tcPr>
            <w:tcW w:w="3830" w:type="dxa"/>
          </w:tcPr>
          <w:p>
            <w:pPr>
              <w:pStyle w:val="TableParagraph"/>
              <w:spacing w:line="362" w:lineRule="auto"/>
              <w:ind w:left="268" w:right="267" w:firstLine="24"/>
              <w:jc w:val="both"/>
              <w:rPr>
                <w:sz w:val="18"/>
              </w:rPr>
            </w:pPr>
            <w:r>
              <w:rPr>
                <w:sz w:val="18"/>
              </w:rPr>
              <w:t>Creo Sketch: bocetos 2D a mano alzada ProDESKTOP: modelado 3D de sólidos, dibujo de ingeniería y renderizado básico</w:t>
            </w:r>
          </w:p>
        </w:tc>
      </w:tr>
      <w:tr>
        <w:trPr>
          <w:trHeight w:val="1252" w:hRule="exact"/>
        </w:trPr>
        <w:tc>
          <w:tcPr>
            <w:tcW w:w="2245" w:type="dxa"/>
            <w:vMerge w:val="restart"/>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5"/>
              <w:rPr>
                <w:sz w:val="17"/>
              </w:rPr>
            </w:pPr>
          </w:p>
          <w:p>
            <w:pPr>
              <w:pStyle w:val="TableParagraph"/>
              <w:ind w:left="268" w:right="115"/>
              <w:rPr>
                <w:sz w:val="18"/>
              </w:rPr>
            </w:pPr>
            <w:r>
              <w:rPr>
                <w:sz w:val="18"/>
              </w:rPr>
              <w:t>Modelado 3D háptico</w:t>
            </w:r>
          </w:p>
        </w:tc>
        <w:tc>
          <w:tcPr>
            <w:tcW w:w="1976" w:type="dxa"/>
          </w:tcPr>
          <w:p>
            <w:pPr>
              <w:pStyle w:val="TableParagraph"/>
              <w:rPr>
                <w:sz w:val="18"/>
              </w:rPr>
            </w:pPr>
          </w:p>
          <w:p>
            <w:pPr>
              <w:pStyle w:val="TableParagraph"/>
              <w:rPr>
                <w:sz w:val="18"/>
              </w:rPr>
            </w:pPr>
          </w:p>
          <w:p>
            <w:pPr>
              <w:pStyle w:val="TableParagraph"/>
              <w:spacing w:before="6"/>
              <w:rPr>
                <w:sz w:val="17"/>
              </w:rPr>
            </w:pPr>
          </w:p>
          <w:p>
            <w:pPr>
              <w:pStyle w:val="TableParagraph"/>
              <w:ind w:left="98" w:right="98"/>
              <w:jc w:val="center"/>
              <w:rPr>
                <w:sz w:val="18"/>
              </w:rPr>
            </w:pPr>
            <w:r>
              <w:rPr>
                <w:sz w:val="18"/>
              </w:rPr>
              <w:t>Anarkik 3D</w:t>
            </w:r>
          </w:p>
        </w:tc>
        <w:tc>
          <w:tcPr>
            <w:tcW w:w="3830" w:type="dxa"/>
          </w:tcPr>
          <w:p>
            <w:pPr>
              <w:pStyle w:val="TableParagraph"/>
              <w:spacing w:line="360" w:lineRule="auto"/>
              <w:ind w:left="140" w:right="144"/>
              <w:jc w:val="center"/>
              <w:rPr>
                <w:sz w:val="18"/>
              </w:rPr>
            </w:pPr>
            <w:r>
              <w:rPr>
                <w:sz w:val="18"/>
              </w:rPr>
              <w:t>Software de esculpido háptico que requiere un dispositivo de entrada Flacon, el cual reemplaza al ratón para proporcionar información táctil de modelos 3D virtuales</w:t>
            </w:r>
          </w:p>
        </w:tc>
      </w:tr>
      <w:tr>
        <w:trPr>
          <w:trHeight w:val="1564" w:hRule="exact"/>
        </w:trPr>
        <w:tc>
          <w:tcPr>
            <w:tcW w:w="2245" w:type="dxa"/>
            <w:vMerge/>
          </w:tcPr>
          <w:p>
            <w:pPr/>
          </w:p>
        </w:tc>
        <w:tc>
          <w:tcPr>
            <w:tcW w:w="1976" w:type="dxa"/>
          </w:tcPr>
          <w:p>
            <w:pPr>
              <w:pStyle w:val="TableParagraph"/>
              <w:rPr>
                <w:sz w:val="18"/>
              </w:rPr>
            </w:pPr>
          </w:p>
          <w:p>
            <w:pPr>
              <w:pStyle w:val="TableParagraph"/>
              <w:rPr>
                <w:sz w:val="18"/>
              </w:rPr>
            </w:pPr>
          </w:p>
          <w:p>
            <w:pPr>
              <w:pStyle w:val="TableParagraph"/>
              <w:spacing w:before="6"/>
              <w:rPr>
                <w:sz w:val="17"/>
              </w:rPr>
            </w:pPr>
          </w:p>
          <w:p>
            <w:pPr>
              <w:pStyle w:val="TableParagraph"/>
              <w:ind w:left="98" w:right="98"/>
              <w:jc w:val="center"/>
              <w:rPr>
                <w:sz w:val="18"/>
              </w:rPr>
            </w:pPr>
            <w:r>
              <w:rPr>
                <w:sz w:val="18"/>
              </w:rPr>
              <w:t>Sensable</w:t>
            </w:r>
          </w:p>
        </w:tc>
        <w:tc>
          <w:tcPr>
            <w:tcW w:w="3830" w:type="dxa"/>
          </w:tcPr>
          <w:p>
            <w:pPr>
              <w:pStyle w:val="TableParagraph"/>
              <w:spacing w:line="360" w:lineRule="auto"/>
              <w:ind w:left="143" w:right="139"/>
              <w:jc w:val="center"/>
              <w:rPr>
                <w:sz w:val="18"/>
              </w:rPr>
            </w:pPr>
            <w:r>
              <w:rPr>
                <w:sz w:val="18"/>
              </w:rPr>
              <w:t>ClayTools: modelado de formas libres que usa Phathom, dispositivo de retroalimentación de fuerza del modelado táctil que permite al usuario tocar y manipular el modelo 3D</w:t>
            </w:r>
          </w:p>
        </w:tc>
      </w:tr>
      <w:tr>
        <w:trPr>
          <w:trHeight w:val="316" w:hRule="exact"/>
        </w:trPr>
        <w:tc>
          <w:tcPr>
            <w:tcW w:w="2245" w:type="dxa"/>
          </w:tcPr>
          <w:p>
            <w:pPr/>
          </w:p>
        </w:tc>
        <w:tc>
          <w:tcPr>
            <w:tcW w:w="1976" w:type="dxa"/>
          </w:tcPr>
          <w:p>
            <w:pPr/>
          </w:p>
        </w:tc>
        <w:tc>
          <w:tcPr>
            <w:tcW w:w="3830" w:type="dxa"/>
          </w:tcPr>
          <w:p>
            <w:pPr>
              <w:pStyle w:val="TableParagraph"/>
              <w:spacing w:line="199" w:lineRule="exact"/>
              <w:ind w:left="140" w:right="144"/>
              <w:jc w:val="center"/>
              <w:rPr>
                <w:sz w:val="18"/>
              </w:rPr>
            </w:pPr>
            <w:r>
              <w:rPr>
                <w:sz w:val="18"/>
              </w:rPr>
              <w:t>Moldflow: simulación de moldeo por</w:t>
            </w:r>
          </w:p>
        </w:tc>
      </w:tr>
    </w:tbl>
    <w:p>
      <w:pPr>
        <w:spacing w:after="0" w:line="199" w:lineRule="exact"/>
        <w:jc w:val="center"/>
        <w:rPr>
          <w:sz w:val="18"/>
        </w:rPr>
        <w:sectPr>
          <w:pgSz w:w="12240" w:h="15840"/>
          <w:pgMar w:header="0" w:footer="1031" w:top="1420" w:bottom="1160" w:left="1600" w:right="1720"/>
        </w:sectPr>
      </w:pPr>
    </w:p>
    <w:tbl>
      <w:tblPr>
        <w:tblW w:w="0" w:type="auto"/>
        <w:jc w:val="left"/>
        <w:tblInd w:w="372"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245"/>
        <w:gridCol w:w="1976"/>
        <w:gridCol w:w="3830"/>
      </w:tblGrid>
      <w:tr>
        <w:trPr>
          <w:trHeight w:val="324" w:hRule="exact"/>
        </w:trPr>
        <w:tc>
          <w:tcPr>
            <w:tcW w:w="2245" w:type="dxa"/>
            <w:vMerge w:val="restart"/>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7"/>
              <w:rPr>
                <w:sz w:val="26"/>
              </w:rPr>
            </w:pPr>
          </w:p>
          <w:p>
            <w:pPr>
              <w:pStyle w:val="TableParagraph"/>
              <w:spacing w:line="362" w:lineRule="auto"/>
              <w:ind w:left="808" w:right="212" w:hanging="584"/>
              <w:rPr>
                <w:sz w:val="18"/>
              </w:rPr>
            </w:pPr>
            <w:r>
              <w:rPr>
                <w:sz w:val="18"/>
              </w:rPr>
              <w:t>Programas especiales de CAE</w:t>
            </w:r>
          </w:p>
        </w:tc>
        <w:tc>
          <w:tcPr>
            <w:tcW w:w="1976" w:type="dxa"/>
          </w:tcPr>
          <w:p>
            <w:pPr>
              <w:pStyle w:val="TableParagraph"/>
              <w:spacing w:line="203" w:lineRule="exact"/>
              <w:ind w:left="98" w:right="97"/>
              <w:jc w:val="center"/>
              <w:rPr>
                <w:sz w:val="18"/>
              </w:rPr>
            </w:pPr>
            <w:r>
              <w:rPr>
                <w:sz w:val="18"/>
              </w:rPr>
              <w:t>Autodesk</w:t>
            </w:r>
          </w:p>
        </w:tc>
        <w:tc>
          <w:tcPr>
            <w:tcW w:w="3830" w:type="dxa"/>
          </w:tcPr>
          <w:p>
            <w:pPr>
              <w:pStyle w:val="TableParagraph"/>
              <w:spacing w:line="203" w:lineRule="exact"/>
              <w:ind w:right="298"/>
              <w:jc w:val="right"/>
              <w:rPr>
                <w:sz w:val="18"/>
              </w:rPr>
            </w:pPr>
            <w:r>
              <w:rPr>
                <w:sz w:val="18"/>
              </w:rPr>
              <w:t>inyección para la optimización de piezas</w:t>
            </w:r>
          </w:p>
        </w:tc>
      </w:tr>
      <w:tr>
        <w:trPr>
          <w:trHeight w:val="1560" w:hRule="exact"/>
        </w:trPr>
        <w:tc>
          <w:tcPr>
            <w:tcW w:w="2245" w:type="dxa"/>
            <w:vMerge/>
          </w:tcPr>
          <w:p>
            <w:pPr/>
          </w:p>
        </w:tc>
        <w:tc>
          <w:tcPr>
            <w:tcW w:w="1976" w:type="dxa"/>
          </w:tcPr>
          <w:p>
            <w:pPr>
              <w:pStyle w:val="TableParagraph"/>
              <w:rPr>
                <w:sz w:val="18"/>
              </w:rPr>
            </w:pPr>
          </w:p>
          <w:p>
            <w:pPr>
              <w:pStyle w:val="TableParagraph"/>
              <w:rPr>
                <w:sz w:val="18"/>
              </w:rPr>
            </w:pPr>
          </w:p>
          <w:p>
            <w:pPr>
              <w:pStyle w:val="TableParagraph"/>
              <w:spacing w:before="1"/>
              <w:rPr>
                <w:sz w:val="17"/>
              </w:rPr>
            </w:pPr>
          </w:p>
          <w:p>
            <w:pPr>
              <w:pStyle w:val="TableParagraph"/>
              <w:spacing w:before="1"/>
              <w:ind w:left="98" w:right="99"/>
              <w:jc w:val="center"/>
              <w:rPr>
                <w:sz w:val="18"/>
              </w:rPr>
            </w:pPr>
            <w:r>
              <w:rPr>
                <w:sz w:val="18"/>
              </w:rPr>
              <w:t>Dassault Systémes</w:t>
            </w:r>
          </w:p>
        </w:tc>
        <w:tc>
          <w:tcPr>
            <w:tcW w:w="3830" w:type="dxa"/>
          </w:tcPr>
          <w:p>
            <w:pPr>
              <w:pStyle w:val="TableParagraph"/>
              <w:spacing w:line="360" w:lineRule="auto"/>
              <w:ind w:left="144" w:right="141" w:hanging="1"/>
              <w:jc w:val="center"/>
              <w:rPr>
                <w:sz w:val="18"/>
              </w:rPr>
            </w:pPr>
            <w:r>
              <w:rPr>
                <w:sz w:val="18"/>
              </w:rPr>
              <w:t>SIMULIA: conjunto de programas para realizar pruebas virtuales de rendimiento de los productos, por ejemplo, el análisis estructural de piezas y ensamblados, dentro del software de modelado CATIA</w:t>
            </w:r>
          </w:p>
        </w:tc>
      </w:tr>
      <w:tr>
        <w:trPr>
          <w:trHeight w:val="1564" w:hRule="exact"/>
        </w:trPr>
        <w:tc>
          <w:tcPr>
            <w:tcW w:w="2245" w:type="dxa"/>
            <w:vMerge/>
          </w:tcPr>
          <w:p>
            <w:pPr/>
          </w:p>
        </w:tc>
        <w:tc>
          <w:tcPr>
            <w:tcW w:w="1976" w:type="dxa"/>
          </w:tcPr>
          <w:p>
            <w:pPr>
              <w:pStyle w:val="TableParagraph"/>
              <w:rPr>
                <w:sz w:val="18"/>
              </w:rPr>
            </w:pPr>
          </w:p>
          <w:p>
            <w:pPr>
              <w:pStyle w:val="TableParagraph"/>
              <w:rPr>
                <w:sz w:val="18"/>
              </w:rPr>
            </w:pPr>
          </w:p>
          <w:p>
            <w:pPr>
              <w:pStyle w:val="TableParagraph"/>
              <w:spacing w:before="6"/>
              <w:rPr>
                <w:sz w:val="17"/>
              </w:rPr>
            </w:pPr>
          </w:p>
          <w:p>
            <w:pPr>
              <w:pStyle w:val="TableParagraph"/>
              <w:spacing w:line="362" w:lineRule="auto"/>
              <w:ind w:left="447" w:right="430" w:firstLine="131"/>
              <w:rPr>
                <w:sz w:val="18"/>
              </w:rPr>
            </w:pPr>
            <w:r>
              <w:rPr>
                <w:sz w:val="18"/>
              </w:rPr>
              <w:t>Next Limit Technologies</w:t>
            </w:r>
          </w:p>
        </w:tc>
        <w:tc>
          <w:tcPr>
            <w:tcW w:w="3830" w:type="dxa"/>
          </w:tcPr>
          <w:p>
            <w:pPr>
              <w:pStyle w:val="TableParagraph"/>
              <w:spacing w:line="357" w:lineRule="auto"/>
              <w:ind w:left="500" w:right="494" w:hanging="3"/>
              <w:jc w:val="center"/>
              <w:rPr>
                <w:sz w:val="18"/>
              </w:rPr>
            </w:pPr>
            <w:r>
              <w:rPr>
                <w:sz w:val="18"/>
              </w:rPr>
              <w:t>Real Flow: simulador de fluidos XFlow: simulacicones de ingeniería</w:t>
            </w:r>
          </w:p>
          <w:p>
            <w:pPr>
              <w:pStyle w:val="TableParagraph"/>
              <w:spacing w:line="360" w:lineRule="auto" w:before="6"/>
              <w:ind w:left="89" w:right="89"/>
              <w:jc w:val="center"/>
              <w:rPr>
                <w:sz w:val="18"/>
              </w:rPr>
            </w:pPr>
            <w:r>
              <w:rPr>
                <w:sz w:val="18"/>
              </w:rPr>
              <w:t>EasyKinematics: extensión de simulación del movimiento para programas Autodesk 2D y 3D</w:t>
            </w:r>
          </w:p>
        </w:tc>
      </w:tr>
      <w:tr>
        <w:trPr>
          <w:trHeight w:val="633" w:hRule="exact"/>
        </w:trPr>
        <w:tc>
          <w:tcPr>
            <w:tcW w:w="2245" w:type="dxa"/>
            <w:vMerge/>
          </w:tcPr>
          <w:p>
            <w:pPr/>
          </w:p>
        </w:tc>
        <w:tc>
          <w:tcPr>
            <w:tcW w:w="1976" w:type="dxa"/>
          </w:tcPr>
          <w:p>
            <w:pPr>
              <w:pStyle w:val="TableParagraph"/>
              <w:spacing w:line="199" w:lineRule="exact"/>
              <w:ind w:left="98" w:right="97"/>
              <w:jc w:val="center"/>
              <w:rPr>
                <w:sz w:val="18"/>
              </w:rPr>
            </w:pPr>
            <w:r>
              <w:rPr>
                <w:sz w:val="18"/>
              </w:rPr>
              <w:t>PTC</w:t>
            </w:r>
          </w:p>
        </w:tc>
        <w:tc>
          <w:tcPr>
            <w:tcW w:w="3830" w:type="dxa"/>
          </w:tcPr>
          <w:p>
            <w:pPr>
              <w:pStyle w:val="TableParagraph"/>
              <w:spacing w:line="362" w:lineRule="auto"/>
              <w:ind w:left="1424" w:right="155" w:hanging="1249"/>
              <w:rPr>
                <w:sz w:val="18"/>
              </w:rPr>
            </w:pPr>
            <w:r>
              <w:rPr>
                <w:sz w:val="18"/>
              </w:rPr>
              <w:t>Creo Simulate: análisis estructural, termal y de vibración</w:t>
            </w:r>
          </w:p>
        </w:tc>
      </w:tr>
      <w:tr>
        <w:trPr>
          <w:trHeight w:val="3112" w:hRule="exact"/>
        </w:trPr>
        <w:tc>
          <w:tcPr>
            <w:tcW w:w="2245" w:type="dxa"/>
            <w:vMerge w:val="restart"/>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4"/>
              <w:rPr>
                <w:sz w:val="17"/>
              </w:rPr>
            </w:pPr>
          </w:p>
          <w:p>
            <w:pPr>
              <w:pStyle w:val="TableParagraph"/>
              <w:spacing w:line="357" w:lineRule="auto"/>
              <w:ind w:left="828" w:right="115" w:hanging="697"/>
              <w:rPr>
                <w:sz w:val="18"/>
              </w:rPr>
            </w:pPr>
            <w:r>
              <w:rPr>
                <w:sz w:val="18"/>
              </w:rPr>
              <w:t>Programas de ingeniería inversa</w:t>
            </w:r>
          </w:p>
        </w:tc>
        <w:tc>
          <w:tcPr>
            <w:tcW w:w="1976"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3"/>
              <w:rPr>
                <w:sz w:val="26"/>
              </w:rPr>
            </w:pPr>
          </w:p>
          <w:p>
            <w:pPr>
              <w:pStyle w:val="TableParagraph"/>
              <w:ind w:left="98" w:right="98"/>
              <w:jc w:val="center"/>
              <w:rPr>
                <w:sz w:val="18"/>
              </w:rPr>
            </w:pPr>
            <w:r>
              <w:rPr>
                <w:sz w:val="18"/>
              </w:rPr>
              <w:t>Geomagic</w:t>
            </w:r>
          </w:p>
        </w:tc>
        <w:tc>
          <w:tcPr>
            <w:tcW w:w="3830" w:type="dxa"/>
          </w:tcPr>
          <w:p>
            <w:pPr>
              <w:pStyle w:val="TableParagraph"/>
              <w:spacing w:line="360" w:lineRule="auto"/>
              <w:ind w:left="160" w:right="160" w:firstLine="2"/>
              <w:jc w:val="center"/>
              <w:rPr>
                <w:sz w:val="18"/>
              </w:rPr>
            </w:pPr>
            <w:r>
              <w:rPr>
                <w:sz w:val="18"/>
              </w:rPr>
              <w:t>Geomagic Studio: conversion de datos 3D escaneados en modelos de malla poligonal para análisis de productos y prototipado Geomagic Wrap: conversion de datos 3D escaneados en modelos de malla</w:t>
            </w:r>
            <w:r>
              <w:rPr>
                <w:spacing w:val="-11"/>
                <w:sz w:val="18"/>
              </w:rPr>
              <w:t> </w:t>
            </w:r>
            <w:r>
              <w:rPr>
                <w:sz w:val="18"/>
              </w:rPr>
              <w:t>polygonal para análisis de diseños y prototipado Geomagic Qualify: revision de piezas de producción escaneadas en 3D para comparaciones de calidad y comparación con el diseño original</w:t>
            </w:r>
          </w:p>
        </w:tc>
      </w:tr>
      <w:tr>
        <w:trPr>
          <w:trHeight w:val="1252" w:hRule="exact"/>
        </w:trPr>
        <w:tc>
          <w:tcPr>
            <w:tcW w:w="2245" w:type="dxa"/>
            <w:vMerge/>
          </w:tcPr>
          <w:p>
            <w:pPr/>
          </w:p>
        </w:tc>
        <w:tc>
          <w:tcPr>
            <w:tcW w:w="1976" w:type="dxa"/>
          </w:tcPr>
          <w:p>
            <w:pPr>
              <w:pStyle w:val="TableParagraph"/>
              <w:rPr>
                <w:sz w:val="18"/>
              </w:rPr>
            </w:pPr>
          </w:p>
          <w:p>
            <w:pPr>
              <w:pStyle w:val="TableParagraph"/>
              <w:rPr>
                <w:sz w:val="18"/>
              </w:rPr>
            </w:pPr>
          </w:p>
          <w:p>
            <w:pPr>
              <w:pStyle w:val="TableParagraph"/>
              <w:spacing w:before="6"/>
              <w:rPr>
                <w:sz w:val="17"/>
              </w:rPr>
            </w:pPr>
          </w:p>
          <w:p>
            <w:pPr>
              <w:pStyle w:val="TableParagraph"/>
              <w:ind w:left="98" w:right="98"/>
              <w:jc w:val="center"/>
              <w:rPr>
                <w:sz w:val="18"/>
              </w:rPr>
            </w:pPr>
            <w:r>
              <w:rPr>
                <w:sz w:val="18"/>
              </w:rPr>
              <w:t>Sycode</w:t>
            </w:r>
          </w:p>
        </w:tc>
        <w:tc>
          <w:tcPr>
            <w:tcW w:w="3830" w:type="dxa"/>
          </w:tcPr>
          <w:p>
            <w:pPr>
              <w:pStyle w:val="TableParagraph"/>
              <w:spacing w:line="360" w:lineRule="auto"/>
              <w:ind w:left="143" w:right="142"/>
              <w:jc w:val="center"/>
              <w:rPr>
                <w:sz w:val="18"/>
              </w:rPr>
            </w:pPr>
            <w:r>
              <w:rPr>
                <w:sz w:val="18"/>
              </w:rPr>
              <w:t>Point Cloud: ingeniería inversa para rodear con superficies o mallas envolventes datos de nube de puntos de objetos escaneados en 3D</w:t>
            </w:r>
          </w:p>
        </w:tc>
      </w:tr>
      <w:tr>
        <w:trPr>
          <w:trHeight w:val="1873" w:hRule="exact"/>
        </w:trPr>
        <w:tc>
          <w:tcPr>
            <w:tcW w:w="2245" w:type="dxa"/>
            <w:vMerge w:val="restart"/>
          </w:tcPr>
          <w:p>
            <w:pPr/>
          </w:p>
        </w:tc>
        <w:tc>
          <w:tcPr>
            <w:tcW w:w="1976" w:type="dxa"/>
          </w:tcPr>
          <w:p>
            <w:pPr>
              <w:pStyle w:val="TableParagraph"/>
              <w:rPr>
                <w:sz w:val="18"/>
              </w:rPr>
            </w:pPr>
          </w:p>
          <w:p>
            <w:pPr>
              <w:pStyle w:val="TableParagraph"/>
              <w:rPr>
                <w:sz w:val="18"/>
              </w:rPr>
            </w:pPr>
          </w:p>
          <w:p>
            <w:pPr>
              <w:pStyle w:val="TableParagraph"/>
              <w:rPr>
                <w:sz w:val="18"/>
              </w:rPr>
            </w:pPr>
          </w:p>
          <w:p>
            <w:pPr>
              <w:pStyle w:val="TableParagraph"/>
              <w:spacing w:before="8"/>
              <w:rPr>
                <w:sz w:val="26"/>
              </w:rPr>
            </w:pPr>
          </w:p>
          <w:p>
            <w:pPr>
              <w:pStyle w:val="TableParagraph"/>
              <w:ind w:left="98" w:right="97"/>
              <w:jc w:val="center"/>
              <w:rPr>
                <w:sz w:val="18"/>
              </w:rPr>
            </w:pPr>
            <w:r>
              <w:rPr>
                <w:sz w:val="18"/>
              </w:rPr>
              <w:t>Ashlar Vellum</w:t>
            </w:r>
          </w:p>
        </w:tc>
        <w:tc>
          <w:tcPr>
            <w:tcW w:w="3830" w:type="dxa"/>
          </w:tcPr>
          <w:p>
            <w:pPr>
              <w:pStyle w:val="TableParagraph"/>
              <w:spacing w:line="360" w:lineRule="auto"/>
              <w:ind w:left="199" w:right="201"/>
              <w:jc w:val="center"/>
              <w:rPr>
                <w:sz w:val="18"/>
              </w:rPr>
            </w:pPr>
            <w:r>
              <w:rPr>
                <w:sz w:val="18"/>
              </w:rPr>
              <w:t>Alchemy: Essential (traducción de</w:t>
            </w:r>
            <w:r>
              <w:rPr>
                <w:spacing w:val="-10"/>
                <w:sz w:val="18"/>
              </w:rPr>
              <w:t> </w:t>
            </w:r>
            <w:r>
              <w:rPr>
                <w:sz w:val="18"/>
              </w:rPr>
              <w:t>archivos de Ashalar Vellum para hacerlos compatibles con otros programas Alchemy: Adept (tradución de archivos de Ashlar Vellum con compatibilidad adicional con PTC y</w:t>
            </w:r>
            <w:r>
              <w:rPr>
                <w:spacing w:val="-4"/>
                <w:sz w:val="18"/>
              </w:rPr>
              <w:t> </w:t>
            </w:r>
            <w:r>
              <w:rPr>
                <w:sz w:val="18"/>
              </w:rPr>
              <w:t>CATIA</w:t>
            </w:r>
          </w:p>
        </w:tc>
      </w:tr>
      <w:tr>
        <w:trPr>
          <w:trHeight w:val="324" w:hRule="exact"/>
        </w:trPr>
        <w:tc>
          <w:tcPr>
            <w:tcW w:w="2245" w:type="dxa"/>
            <w:vMerge/>
          </w:tcPr>
          <w:p>
            <w:pPr/>
          </w:p>
        </w:tc>
        <w:tc>
          <w:tcPr>
            <w:tcW w:w="1976" w:type="dxa"/>
          </w:tcPr>
          <w:p>
            <w:pPr>
              <w:pStyle w:val="TableParagraph"/>
              <w:spacing w:line="203" w:lineRule="exact"/>
              <w:ind w:left="98" w:right="98"/>
              <w:jc w:val="center"/>
              <w:rPr>
                <w:sz w:val="18"/>
              </w:rPr>
            </w:pPr>
            <w:r>
              <w:rPr>
                <w:sz w:val="18"/>
              </w:rPr>
              <w:t>Auto DWG</w:t>
            </w:r>
          </w:p>
        </w:tc>
        <w:tc>
          <w:tcPr>
            <w:tcW w:w="3830" w:type="dxa"/>
          </w:tcPr>
          <w:p>
            <w:pPr>
              <w:pStyle w:val="TableParagraph"/>
              <w:spacing w:line="203" w:lineRule="exact"/>
              <w:ind w:right="230"/>
              <w:jc w:val="right"/>
              <w:rPr>
                <w:sz w:val="18"/>
              </w:rPr>
            </w:pPr>
            <w:r>
              <w:rPr>
                <w:sz w:val="18"/>
              </w:rPr>
              <w:t>Convierte archivos .dwg a .dxf y viceversa</w:t>
            </w:r>
          </w:p>
        </w:tc>
      </w:tr>
      <w:tr>
        <w:trPr>
          <w:trHeight w:val="940" w:hRule="exact"/>
        </w:trPr>
        <w:tc>
          <w:tcPr>
            <w:tcW w:w="2245" w:type="dxa"/>
            <w:vMerge/>
          </w:tcPr>
          <w:p>
            <w:pPr/>
          </w:p>
        </w:tc>
        <w:tc>
          <w:tcPr>
            <w:tcW w:w="1976" w:type="dxa"/>
          </w:tcPr>
          <w:p>
            <w:pPr>
              <w:pStyle w:val="TableParagraph"/>
              <w:spacing w:line="199" w:lineRule="exact"/>
              <w:ind w:left="95" w:right="99"/>
              <w:jc w:val="center"/>
              <w:rPr>
                <w:sz w:val="18"/>
              </w:rPr>
            </w:pPr>
            <w:r>
              <w:rPr>
                <w:sz w:val="18"/>
              </w:rPr>
              <w:t>Delcam</w:t>
            </w:r>
          </w:p>
        </w:tc>
        <w:tc>
          <w:tcPr>
            <w:tcW w:w="3830" w:type="dxa"/>
          </w:tcPr>
          <w:p>
            <w:pPr>
              <w:pStyle w:val="TableParagraph"/>
              <w:spacing w:line="360" w:lineRule="auto"/>
              <w:ind w:left="124" w:right="128"/>
              <w:jc w:val="center"/>
              <w:rPr>
                <w:sz w:val="18"/>
              </w:rPr>
            </w:pPr>
            <w:r>
              <w:rPr>
                <w:sz w:val="18"/>
              </w:rPr>
              <w:t>Exchange: programa traductor autónomo de CAD capaz de traducir muchos formatos CAD de uso común</w:t>
            </w:r>
          </w:p>
        </w:tc>
      </w:tr>
      <w:tr>
        <w:trPr>
          <w:trHeight w:val="1248" w:hRule="exact"/>
        </w:trPr>
        <w:tc>
          <w:tcPr>
            <w:tcW w:w="2245" w:type="dxa"/>
            <w:vMerge/>
          </w:tcPr>
          <w:p>
            <w:pPr/>
          </w:p>
        </w:tc>
        <w:tc>
          <w:tcPr>
            <w:tcW w:w="1976" w:type="dxa"/>
          </w:tcPr>
          <w:p>
            <w:pPr/>
          </w:p>
        </w:tc>
        <w:tc>
          <w:tcPr>
            <w:tcW w:w="3830" w:type="dxa"/>
          </w:tcPr>
          <w:p>
            <w:pPr>
              <w:pStyle w:val="TableParagraph"/>
              <w:spacing w:line="362" w:lineRule="auto"/>
              <w:ind w:left="87" w:right="89"/>
              <w:jc w:val="center"/>
              <w:rPr>
                <w:sz w:val="18"/>
              </w:rPr>
            </w:pPr>
            <w:r>
              <w:rPr>
                <w:sz w:val="18"/>
              </w:rPr>
              <w:t>Power SubD-NURBS: extensión de 3ds Max para convertir superficies poligonales subdivididas en superficies NURBS</w:t>
            </w:r>
          </w:p>
          <w:p>
            <w:pPr>
              <w:pStyle w:val="TableParagraph"/>
              <w:spacing w:line="205" w:lineRule="exact"/>
              <w:ind w:left="140" w:right="144"/>
              <w:jc w:val="center"/>
              <w:rPr>
                <w:sz w:val="18"/>
              </w:rPr>
            </w:pPr>
            <w:r>
              <w:rPr>
                <w:sz w:val="18"/>
              </w:rPr>
              <w:t>Power Rhino: extensión de Rhino que le</w:t>
            </w:r>
          </w:p>
        </w:tc>
      </w:tr>
    </w:tbl>
    <w:p>
      <w:pPr>
        <w:spacing w:after="0" w:line="205" w:lineRule="exact"/>
        <w:jc w:val="center"/>
        <w:rPr>
          <w:sz w:val="18"/>
        </w:rPr>
        <w:sectPr>
          <w:pgSz w:w="12240" w:h="15840"/>
          <w:pgMar w:header="0" w:footer="1031" w:top="1420" w:bottom="1160" w:left="1720" w:right="1600"/>
        </w:sectPr>
      </w:pPr>
    </w:p>
    <w:tbl>
      <w:tblPr>
        <w:tblW w:w="0" w:type="auto"/>
        <w:jc w:val="left"/>
        <w:tblInd w:w="492"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245"/>
        <w:gridCol w:w="1976"/>
        <w:gridCol w:w="3830"/>
      </w:tblGrid>
      <w:tr>
        <w:trPr>
          <w:trHeight w:val="944" w:hRule="exact"/>
        </w:trPr>
        <w:tc>
          <w:tcPr>
            <w:tcW w:w="2245" w:type="dxa"/>
            <w:vMerge w:val="restart"/>
          </w:tcPr>
          <w:p>
            <w:pPr>
              <w:pStyle w:val="TableParagraph"/>
              <w:spacing w:before="8"/>
              <w:rPr>
                <w:sz w:val="26"/>
              </w:rPr>
            </w:pPr>
          </w:p>
          <w:p>
            <w:pPr>
              <w:pStyle w:val="TableParagraph"/>
              <w:ind w:left="175" w:right="115"/>
              <w:rPr>
                <w:sz w:val="18"/>
              </w:rPr>
            </w:pPr>
            <w:r>
              <w:rPr>
                <w:sz w:val="18"/>
              </w:rPr>
              <w:t>Conversión de archivos</w:t>
            </w:r>
          </w:p>
        </w:tc>
        <w:tc>
          <w:tcPr>
            <w:tcW w:w="1976" w:type="dxa"/>
          </w:tcPr>
          <w:p>
            <w:pPr>
              <w:pStyle w:val="TableParagraph"/>
              <w:spacing w:line="203" w:lineRule="exact"/>
              <w:ind w:left="97" w:right="99"/>
              <w:jc w:val="center"/>
              <w:rPr>
                <w:sz w:val="18"/>
              </w:rPr>
            </w:pPr>
            <w:r>
              <w:rPr>
                <w:sz w:val="18"/>
              </w:rPr>
              <w:t>nPower</w:t>
            </w:r>
          </w:p>
        </w:tc>
        <w:tc>
          <w:tcPr>
            <w:tcW w:w="3830" w:type="dxa"/>
          </w:tcPr>
          <w:p>
            <w:pPr>
              <w:pStyle w:val="TableParagraph"/>
              <w:spacing w:line="360" w:lineRule="auto"/>
              <w:ind w:left="168" w:right="169" w:firstLine="1"/>
              <w:jc w:val="center"/>
              <w:rPr>
                <w:sz w:val="18"/>
              </w:rPr>
            </w:pPr>
            <w:r>
              <w:rPr>
                <w:sz w:val="18"/>
              </w:rPr>
              <w:t>añade más funciones de modelado sólido Power NURBSPro: extensión para 3ds Max que permite realizar modelado NURBS</w:t>
            </w:r>
          </w:p>
        </w:tc>
      </w:tr>
      <w:tr>
        <w:trPr>
          <w:trHeight w:val="940" w:hRule="exact"/>
        </w:trPr>
        <w:tc>
          <w:tcPr>
            <w:tcW w:w="2245" w:type="dxa"/>
            <w:vMerge/>
          </w:tcPr>
          <w:p>
            <w:pPr/>
          </w:p>
        </w:tc>
        <w:tc>
          <w:tcPr>
            <w:tcW w:w="1976" w:type="dxa"/>
          </w:tcPr>
          <w:p>
            <w:pPr>
              <w:pStyle w:val="TableParagraph"/>
              <w:spacing w:before="4"/>
              <w:rPr>
                <w:sz w:val="26"/>
              </w:rPr>
            </w:pPr>
          </w:p>
          <w:p>
            <w:pPr>
              <w:pStyle w:val="TableParagraph"/>
              <w:ind w:left="97" w:right="99"/>
              <w:jc w:val="center"/>
              <w:rPr>
                <w:sz w:val="18"/>
              </w:rPr>
            </w:pPr>
            <w:r>
              <w:rPr>
                <w:sz w:val="18"/>
              </w:rPr>
              <w:t>Okino</w:t>
            </w:r>
          </w:p>
        </w:tc>
        <w:tc>
          <w:tcPr>
            <w:tcW w:w="3830" w:type="dxa"/>
          </w:tcPr>
          <w:p>
            <w:pPr>
              <w:pStyle w:val="TableParagraph"/>
              <w:spacing w:line="362" w:lineRule="auto"/>
              <w:ind w:left="143" w:right="142"/>
              <w:jc w:val="center"/>
              <w:rPr>
                <w:sz w:val="18"/>
              </w:rPr>
            </w:pPr>
            <w:r>
              <w:rPr>
                <w:sz w:val="18"/>
              </w:rPr>
              <w:t>PolyTrans: conversión-traducción de archivos 3D. Programa estándar en la industria</w:t>
            </w:r>
          </w:p>
        </w:tc>
      </w:tr>
      <w:tr>
        <w:trPr>
          <w:trHeight w:val="2496" w:hRule="exact"/>
        </w:trPr>
        <w:tc>
          <w:tcPr>
            <w:tcW w:w="2245" w:type="dxa"/>
            <w:vMerge/>
          </w:tcPr>
          <w:p>
            <w:pPr/>
          </w:p>
        </w:tc>
        <w:tc>
          <w:tcPr>
            <w:tcW w:w="1976"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5"/>
              <w:rPr>
                <w:sz w:val="17"/>
              </w:rPr>
            </w:pPr>
          </w:p>
          <w:p>
            <w:pPr>
              <w:pStyle w:val="TableParagraph"/>
              <w:ind w:left="98" w:right="95"/>
              <w:jc w:val="center"/>
              <w:rPr>
                <w:sz w:val="18"/>
              </w:rPr>
            </w:pPr>
            <w:r>
              <w:rPr>
                <w:sz w:val="18"/>
              </w:rPr>
              <w:t>Softpedia</w:t>
            </w:r>
          </w:p>
        </w:tc>
        <w:tc>
          <w:tcPr>
            <w:tcW w:w="3830" w:type="dxa"/>
          </w:tcPr>
          <w:p>
            <w:pPr>
              <w:pStyle w:val="TableParagraph"/>
              <w:spacing w:line="357" w:lineRule="auto"/>
              <w:ind w:left="139" w:right="144"/>
              <w:jc w:val="center"/>
              <w:rPr>
                <w:sz w:val="18"/>
              </w:rPr>
            </w:pPr>
            <w:r>
              <w:rPr>
                <w:sz w:val="18"/>
              </w:rPr>
              <w:t>IGES STEP Converter: convierte archivos STEP a archivos IGES y viceversa</w:t>
            </w:r>
          </w:p>
          <w:p>
            <w:pPr>
              <w:pStyle w:val="TableParagraph"/>
              <w:spacing w:line="362" w:lineRule="auto" w:before="6"/>
              <w:ind w:left="112" w:right="114" w:hanging="2"/>
              <w:jc w:val="center"/>
              <w:rPr>
                <w:sz w:val="18"/>
              </w:rPr>
            </w:pPr>
            <w:r>
              <w:rPr>
                <w:sz w:val="18"/>
              </w:rPr>
              <w:t>Mesh Converter: convierte distintos tipos de archivos de malla: .dxf, .dwg, .3ds, .3dm, .stl,</w:t>
            </w:r>
          </w:p>
          <w:p>
            <w:pPr>
              <w:pStyle w:val="TableParagraph"/>
              <w:spacing w:line="205" w:lineRule="exact"/>
              <w:ind w:left="143" w:right="143"/>
              <w:jc w:val="center"/>
              <w:rPr>
                <w:sz w:val="18"/>
              </w:rPr>
            </w:pPr>
            <w:r>
              <w:rPr>
                <w:sz w:val="18"/>
              </w:rPr>
              <w:t>.obj</w:t>
            </w:r>
          </w:p>
          <w:p>
            <w:pPr>
              <w:pStyle w:val="TableParagraph"/>
              <w:spacing w:line="360" w:lineRule="auto" w:before="105"/>
              <w:ind w:left="184" w:right="179" w:hanging="9"/>
              <w:jc w:val="center"/>
              <w:rPr>
                <w:sz w:val="18"/>
              </w:rPr>
            </w:pPr>
            <w:r>
              <w:rPr>
                <w:sz w:val="18"/>
              </w:rPr>
              <w:t>MeshtoSolid: importa archivos de malla poligonal_.stl, .obj, .3dm- y los convierte en archivos de datos de sólidos .sat y .3dm</w:t>
            </w:r>
          </w:p>
        </w:tc>
      </w:tr>
      <w:tr>
        <w:trPr>
          <w:trHeight w:val="1253" w:hRule="exact"/>
        </w:trPr>
        <w:tc>
          <w:tcPr>
            <w:tcW w:w="2245" w:type="dxa"/>
          </w:tcPr>
          <w:p>
            <w:pPr>
              <w:pStyle w:val="TableParagraph"/>
              <w:rPr>
                <w:sz w:val="18"/>
              </w:rPr>
            </w:pPr>
          </w:p>
          <w:p>
            <w:pPr>
              <w:pStyle w:val="TableParagraph"/>
              <w:rPr>
                <w:sz w:val="18"/>
              </w:rPr>
            </w:pPr>
          </w:p>
          <w:p>
            <w:pPr>
              <w:pStyle w:val="TableParagraph"/>
              <w:spacing w:before="2"/>
              <w:rPr>
                <w:sz w:val="17"/>
              </w:rPr>
            </w:pPr>
          </w:p>
          <w:p>
            <w:pPr>
              <w:pStyle w:val="TableParagraph"/>
              <w:ind w:left="128" w:right="127"/>
              <w:jc w:val="center"/>
              <w:rPr>
                <w:sz w:val="18"/>
              </w:rPr>
            </w:pPr>
            <w:r>
              <w:rPr>
                <w:sz w:val="18"/>
              </w:rPr>
              <w:t>Programas auxiliares</w:t>
            </w:r>
          </w:p>
        </w:tc>
        <w:tc>
          <w:tcPr>
            <w:tcW w:w="1976" w:type="dxa"/>
          </w:tcPr>
          <w:p>
            <w:pPr>
              <w:pStyle w:val="TableParagraph"/>
              <w:rPr>
                <w:sz w:val="18"/>
              </w:rPr>
            </w:pPr>
          </w:p>
          <w:p>
            <w:pPr>
              <w:pStyle w:val="TableParagraph"/>
              <w:rPr>
                <w:sz w:val="18"/>
              </w:rPr>
            </w:pPr>
          </w:p>
          <w:p>
            <w:pPr>
              <w:pStyle w:val="TableParagraph"/>
              <w:spacing w:before="2"/>
              <w:rPr>
                <w:sz w:val="17"/>
              </w:rPr>
            </w:pPr>
          </w:p>
          <w:p>
            <w:pPr>
              <w:pStyle w:val="TableParagraph"/>
              <w:ind w:left="98" w:right="98"/>
              <w:jc w:val="center"/>
              <w:rPr>
                <w:sz w:val="18"/>
              </w:rPr>
            </w:pPr>
            <w:r>
              <w:rPr>
                <w:sz w:val="18"/>
              </w:rPr>
              <w:t>Sycode</w:t>
            </w:r>
          </w:p>
        </w:tc>
        <w:tc>
          <w:tcPr>
            <w:tcW w:w="3830" w:type="dxa"/>
          </w:tcPr>
          <w:p>
            <w:pPr>
              <w:pStyle w:val="TableParagraph"/>
              <w:spacing w:line="360" w:lineRule="auto"/>
              <w:ind w:left="132" w:right="134" w:firstLine="2"/>
              <w:jc w:val="center"/>
              <w:rPr>
                <w:sz w:val="18"/>
              </w:rPr>
            </w:pPr>
            <w:r>
              <w:rPr>
                <w:sz w:val="18"/>
              </w:rPr>
              <w:t>Software autónomo, complementos y extensiones para el modelado y funciones de importación y exportación para los programas de modelado 3D más empleados</w:t>
            </w:r>
          </w:p>
        </w:tc>
      </w:tr>
      <w:tr>
        <w:trPr>
          <w:trHeight w:val="628" w:hRule="exact"/>
        </w:trPr>
        <w:tc>
          <w:tcPr>
            <w:tcW w:w="2245" w:type="dxa"/>
          </w:tcPr>
          <w:p>
            <w:pPr>
              <w:pStyle w:val="TableParagraph"/>
              <w:spacing w:before="4"/>
              <w:rPr>
                <w:sz w:val="26"/>
              </w:rPr>
            </w:pPr>
          </w:p>
          <w:p>
            <w:pPr>
              <w:pStyle w:val="TableParagraph"/>
              <w:ind w:left="127" w:right="127"/>
              <w:jc w:val="center"/>
              <w:rPr>
                <w:sz w:val="18"/>
              </w:rPr>
            </w:pPr>
            <w:r>
              <w:rPr>
                <w:sz w:val="18"/>
              </w:rPr>
              <w:t>Prototipado rápido</w:t>
            </w:r>
          </w:p>
        </w:tc>
        <w:tc>
          <w:tcPr>
            <w:tcW w:w="1976" w:type="dxa"/>
          </w:tcPr>
          <w:p>
            <w:pPr>
              <w:pStyle w:val="TableParagraph"/>
              <w:spacing w:before="4"/>
              <w:rPr>
                <w:sz w:val="26"/>
              </w:rPr>
            </w:pPr>
          </w:p>
          <w:p>
            <w:pPr>
              <w:pStyle w:val="TableParagraph"/>
              <w:ind w:left="98" w:right="98"/>
              <w:jc w:val="center"/>
              <w:rPr>
                <w:sz w:val="18"/>
              </w:rPr>
            </w:pPr>
            <w:r>
              <w:rPr>
                <w:sz w:val="18"/>
              </w:rPr>
              <w:t>Materialise</w:t>
            </w:r>
          </w:p>
        </w:tc>
        <w:tc>
          <w:tcPr>
            <w:tcW w:w="3830" w:type="dxa"/>
          </w:tcPr>
          <w:p>
            <w:pPr>
              <w:pStyle w:val="TableParagraph"/>
              <w:spacing w:line="362" w:lineRule="auto"/>
              <w:ind w:left="348" w:right="251" w:hanging="80"/>
              <w:rPr>
                <w:sz w:val="18"/>
              </w:rPr>
            </w:pPr>
            <w:r>
              <w:rPr>
                <w:sz w:val="18"/>
              </w:rPr>
              <w:t>Magics: preparación de archivos 3D para prototipado rápido, utillaje y fabricación</w:t>
            </w:r>
          </w:p>
        </w:tc>
      </w:tr>
      <w:tr>
        <w:trPr>
          <w:trHeight w:val="6529" w:hRule="exact"/>
        </w:trPr>
        <w:tc>
          <w:tcPr>
            <w:tcW w:w="2245"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8"/>
              <w:rPr>
                <w:sz w:val="26"/>
              </w:rPr>
            </w:pPr>
          </w:p>
          <w:p>
            <w:pPr>
              <w:pStyle w:val="TableParagraph"/>
              <w:spacing w:before="1"/>
              <w:ind w:left="127" w:right="127"/>
              <w:jc w:val="center"/>
              <w:rPr>
                <w:sz w:val="18"/>
              </w:rPr>
            </w:pPr>
            <w:r>
              <w:rPr>
                <w:sz w:val="18"/>
              </w:rPr>
              <w:t>Programas CAD/CAM</w:t>
            </w:r>
          </w:p>
        </w:tc>
        <w:tc>
          <w:tcPr>
            <w:tcW w:w="1976"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8"/>
              <w:rPr>
                <w:sz w:val="26"/>
              </w:rPr>
            </w:pPr>
          </w:p>
          <w:p>
            <w:pPr>
              <w:pStyle w:val="TableParagraph"/>
              <w:spacing w:before="1"/>
              <w:ind w:left="95" w:right="99"/>
              <w:jc w:val="center"/>
              <w:rPr>
                <w:sz w:val="18"/>
              </w:rPr>
            </w:pPr>
            <w:r>
              <w:rPr>
                <w:sz w:val="18"/>
              </w:rPr>
              <w:t>Delcam</w:t>
            </w:r>
          </w:p>
        </w:tc>
        <w:tc>
          <w:tcPr>
            <w:tcW w:w="3830" w:type="dxa"/>
          </w:tcPr>
          <w:p>
            <w:pPr>
              <w:pStyle w:val="TableParagraph"/>
              <w:spacing w:line="360" w:lineRule="auto"/>
              <w:ind w:left="212" w:right="211" w:hanging="7"/>
              <w:jc w:val="center"/>
              <w:rPr>
                <w:sz w:val="18"/>
              </w:rPr>
            </w:pPr>
            <w:r>
              <w:rPr>
                <w:sz w:val="18"/>
              </w:rPr>
              <w:t>PowerShape: para diversas aplicaciones, incluidas el modelado 3D para fabricación, diseño de electrodos para electroerosión y elaboración de utillaje y moldes</w:t>
            </w:r>
          </w:p>
          <w:p>
            <w:pPr>
              <w:pStyle w:val="TableParagraph"/>
              <w:spacing w:line="360" w:lineRule="auto" w:before="1"/>
              <w:ind w:left="116" w:right="121" w:firstLine="5"/>
              <w:jc w:val="center"/>
              <w:rPr>
                <w:sz w:val="18"/>
              </w:rPr>
            </w:pPr>
            <w:r>
              <w:rPr>
                <w:sz w:val="18"/>
              </w:rPr>
              <w:t>Power Mill: creación de código de control númerico fiable, con herramientas de edición de recorridos de máquinas multieje y acabado de alta velocidad de piezas complejas</w:t>
            </w:r>
          </w:p>
          <w:p>
            <w:pPr>
              <w:pStyle w:val="TableParagraph"/>
              <w:spacing w:line="360" w:lineRule="auto"/>
              <w:ind w:left="142" w:right="144"/>
              <w:jc w:val="center"/>
              <w:rPr>
                <w:sz w:val="18"/>
              </w:rPr>
            </w:pPr>
            <w:r>
              <w:rPr>
                <w:sz w:val="18"/>
              </w:rPr>
              <w:t>ArtCAM: para la producción de modelos 3D, relieves esculpidos y molduras de manera rápida y fácil. Permite la creación de modelos personalizados o a medida a partir de bocetos 2D o fotografías</w:t>
            </w:r>
          </w:p>
          <w:p>
            <w:pPr>
              <w:pStyle w:val="TableParagraph"/>
              <w:spacing w:line="360" w:lineRule="auto" w:before="4"/>
              <w:ind w:left="232" w:right="234" w:firstLine="3"/>
              <w:jc w:val="center"/>
              <w:rPr>
                <w:sz w:val="18"/>
              </w:rPr>
            </w:pPr>
            <w:r>
              <w:rPr>
                <w:sz w:val="18"/>
              </w:rPr>
              <w:t>Feature CAM: automatización del mecanizado y reducción del tiempo de las piezas en tornos, fresadoras y máquinas EDM</w:t>
            </w:r>
          </w:p>
          <w:p>
            <w:pPr>
              <w:pStyle w:val="TableParagraph"/>
              <w:spacing w:line="360" w:lineRule="auto" w:before="4"/>
              <w:ind w:left="196" w:right="199" w:firstLine="2"/>
              <w:jc w:val="center"/>
              <w:rPr>
                <w:sz w:val="18"/>
              </w:rPr>
            </w:pPr>
            <w:r>
              <w:rPr>
                <w:sz w:val="18"/>
              </w:rPr>
              <w:t>Part Maker: sistemas de CAM para automatizar la programación de centros de torno-fresa y tornos de tipo suizo</w:t>
            </w:r>
          </w:p>
        </w:tc>
      </w:tr>
    </w:tbl>
    <w:p>
      <w:pPr>
        <w:spacing w:after="0" w:line="360" w:lineRule="auto"/>
        <w:jc w:val="center"/>
        <w:rPr>
          <w:sz w:val="18"/>
        </w:rPr>
        <w:sectPr>
          <w:pgSz w:w="12240" w:h="15840"/>
          <w:pgMar w:header="0" w:footer="1031" w:top="1420" w:bottom="1160" w:left="1600" w:right="1720"/>
        </w:sectPr>
      </w:pPr>
    </w:p>
    <w:tbl>
      <w:tblPr>
        <w:tblW w:w="0" w:type="auto"/>
        <w:jc w:val="left"/>
        <w:tblInd w:w="372"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245"/>
        <w:gridCol w:w="1976"/>
        <w:gridCol w:w="3830"/>
      </w:tblGrid>
      <w:tr>
        <w:trPr>
          <w:trHeight w:val="632" w:hRule="exact"/>
        </w:trPr>
        <w:tc>
          <w:tcPr>
            <w:tcW w:w="2245" w:type="dxa"/>
            <w:vMerge w:val="restart"/>
          </w:tcPr>
          <w:p>
            <w:pPr/>
          </w:p>
        </w:tc>
        <w:tc>
          <w:tcPr>
            <w:tcW w:w="1976" w:type="dxa"/>
          </w:tcPr>
          <w:p>
            <w:pPr/>
          </w:p>
        </w:tc>
        <w:tc>
          <w:tcPr>
            <w:tcW w:w="3830" w:type="dxa"/>
          </w:tcPr>
          <w:p>
            <w:pPr>
              <w:pStyle w:val="TableParagraph"/>
              <w:spacing w:line="362" w:lineRule="auto"/>
              <w:ind w:left="524" w:right="178" w:hanging="332"/>
              <w:rPr>
                <w:sz w:val="18"/>
              </w:rPr>
            </w:pPr>
            <w:r>
              <w:rPr>
                <w:sz w:val="18"/>
              </w:rPr>
              <w:t>CRISPIN: software de asistencia al diseño, ingeniería y fabricación de calzado</w:t>
            </w:r>
          </w:p>
        </w:tc>
      </w:tr>
      <w:tr>
        <w:trPr>
          <w:trHeight w:val="632" w:hRule="exact"/>
        </w:trPr>
        <w:tc>
          <w:tcPr>
            <w:tcW w:w="2245" w:type="dxa"/>
            <w:vMerge/>
          </w:tcPr>
          <w:p>
            <w:pPr/>
          </w:p>
        </w:tc>
        <w:tc>
          <w:tcPr>
            <w:tcW w:w="1976" w:type="dxa"/>
          </w:tcPr>
          <w:p>
            <w:pPr>
              <w:pStyle w:val="TableParagraph"/>
              <w:spacing w:line="202" w:lineRule="exact"/>
              <w:ind w:left="93" w:right="99"/>
              <w:jc w:val="center"/>
              <w:rPr>
                <w:sz w:val="18"/>
              </w:rPr>
            </w:pPr>
            <w:r>
              <w:rPr>
                <w:sz w:val="18"/>
              </w:rPr>
              <w:t>Radan</w:t>
            </w:r>
          </w:p>
        </w:tc>
        <w:tc>
          <w:tcPr>
            <w:tcW w:w="3830" w:type="dxa"/>
          </w:tcPr>
          <w:p>
            <w:pPr>
              <w:pStyle w:val="TableParagraph"/>
              <w:spacing w:line="357" w:lineRule="auto"/>
              <w:ind w:left="784" w:right="205" w:hanging="569"/>
              <w:rPr>
                <w:sz w:val="18"/>
              </w:rPr>
            </w:pPr>
            <w:r>
              <w:rPr>
                <w:sz w:val="18"/>
              </w:rPr>
              <w:t>Alphacam: software CAD/CAM compatible con cualquier máquina CNC</w:t>
            </w:r>
          </w:p>
        </w:tc>
      </w:tr>
      <w:tr>
        <w:trPr>
          <w:trHeight w:val="632" w:hRule="exact"/>
        </w:trPr>
        <w:tc>
          <w:tcPr>
            <w:tcW w:w="2245" w:type="dxa"/>
            <w:vMerge w:val="restart"/>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7"/>
              <w:rPr>
                <w:sz w:val="26"/>
              </w:rPr>
            </w:pPr>
          </w:p>
          <w:p>
            <w:pPr>
              <w:pStyle w:val="TableParagraph"/>
              <w:spacing w:line="360" w:lineRule="auto"/>
              <w:ind w:left="572" w:right="546" w:hanging="20"/>
              <w:jc w:val="both"/>
              <w:rPr>
                <w:sz w:val="18"/>
              </w:rPr>
            </w:pPr>
            <w:r>
              <w:rPr>
                <w:sz w:val="18"/>
              </w:rPr>
              <w:t>Programas de renderizado y visualización</w:t>
            </w:r>
          </w:p>
        </w:tc>
        <w:tc>
          <w:tcPr>
            <w:tcW w:w="1976" w:type="dxa"/>
          </w:tcPr>
          <w:p>
            <w:pPr>
              <w:pStyle w:val="TableParagraph"/>
              <w:spacing w:line="198" w:lineRule="exact"/>
              <w:ind w:left="95" w:right="99"/>
              <w:jc w:val="center"/>
              <w:rPr>
                <w:sz w:val="18"/>
              </w:rPr>
            </w:pPr>
            <w:r>
              <w:rPr>
                <w:sz w:val="18"/>
              </w:rPr>
              <w:t>3D Coat</w:t>
            </w:r>
          </w:p>
        </w:tc>
        <w:tc>
          <w:tcPr>
            <w:tcW w:w="3830" w:type="dxa"/>
          </w:tcPr>
          <w:p>
            <w:pPr>
              <w:pStyle w:val="TableParagraph"/>
              <w:spacing w:line="362" w:lineRule="auto"/>
              <w:ind w:left="1480" w:right="400" w:hanging="1061"/>
              <w:rPr>
                <w:sz w:val="18"/>
              </w:rPr>
            </w:pPr>
            <w:r>
              <w:rPr>
                <w:sz w:val="18"/>
              </w:rPr>
              <w:t>Esculpido, pintura y renderizado para artistas 3D</w:t>
            </w:r>
          </w:p>
        </w:tc>
      </w:tr>
      <w:tr>
        <w:trPr>
          <w:trHeight w:val="628" w:hRule="exact"/>
        </w:trPr>
        <w:tc>
          <w:tcPr>
            <w:tcW w:w="2245" w:type="dxa"/>
            <w:vMerge/>
          </w:tcPr>
          <w:p>
            <w:pPr/>
          </w:p>
        </w:tc>
        <w:tc>
          <w:tcPr>
            <w:tcW w:w="1976" w:type="dxa"/>
          </w:tcPr>
          <w:p>
            <w:pPr>
              <w:pStyle w:val="TableParagraph"/>
              <w:spacing w:before="4"/>
              <w:rPr>
                <w:sz w:val="26"/>
              </w:rPr>
            </w:pPr>
          </w:p>
          <w:p>
            <w:pPr>
              <w:pStyle w:val="TableParagraph"/>
              <w:ind w:left="98" w:right="98"/>
              <w:jc w:val="center"/>
              <w:rPr>
                <w:sz w:val="18"/>
              </w:rPr>
            </w:pPr>
            <w:r>
              <w:rPr>
                <w:sz w:val="18"/>
              </w:rPr>
              <w:t>ArtVPS</w:t>
            </w:r>
          </w:p>
        </w:tc>
        <w:tc>
          <w:tcPr>
            <w:tcW w:w="3830" w:type="dxa"/>
          </w:tcPr>
          <w:p>
            <w:pPr>
              <w:pStyle w:val="TableParagraph"/>
              <w:spacing w:line="362" w:lineRule="auto"/>
              <w:ind w:left="592" w:right="246" w:hanging="329"/>
              <w:rPr>
                <w:sz w:val="18"/>
              </w:rPr>
            </w:pPr>
            <w:r>
              <w:rPr>
                <w:sz w:val="18"/>
              </w:rPr>
              <w:t>Shaderlight Pro: renderizador que admite muchos formatos de archivos 3D</w:t>
            </w:r>
          </w:p>
        </w:tc>
      </w:tr>
      <w:tr>
        <w:trPr>
          <w:trHeight w:val="1565" w:hRule="exact"/>
        </w:trPr>
        <w:tc>
          <w:tcPr>
            <w:tcW w:w="2245" w:type="dxa"/>
            <w:vMerge/>
          </w:tcPr>
          <w:p>
            <w:pPr/>
          </w:p>
        </w:tc>
        <w:tc>
          <w:tcPr>
            <w:tcW w:w="1976" w:type="dxa"/>
          </w:tcPr>
          <w:p>
            <w:pPr>
              <w:pStyle w:val="TableParagraph"/>
              <w:rPr>
                <w:sz w:val="18"/>
              </w:rPr>
            </w:pPr>
          </w:p>
          <w:p>
            <w:pPr>
              <w:pStyle w:val="TableParagraph"/>
              <w:rPr>
                <w:sz w:val="18"/>
              </w:rPr>
            </w:pPr>
          </w:p>
          <w:p>
            <w:pPr>
              <w:pStyle w:val="TableParagraph"/>
              <w:spacing w:before="6"/>
              <w:rPr>
                <w:sz w:val="17"/>
              </w:rPr>
            </w:pPr>
          </w:p>
          <w:p>
            <w:pPr>
              <w:pStyle w:val="TableParagraph"/>
              <w:ind w:left="98" w:right="97"/>
              <w:jc w:val="center"/>
              <w:rPr>
                <w:sz w:val="18"/>
              </w:rPr>
            </w:pPr>
            <w:r>
              <w:rPr>
                <w:sz w:val="18"/>
              </w:rPr>
              <w:t>Autodesk</w:t>
            </w:r>
          </w:p>
        </w:tc>
        <w:tc>
          <w:tcPr>
            <w:tcW w:w="3830" w:type="dxa"/>
          </w:tcPr>
          <w:p>
            <w:pPr>
              <w:pStyle w:val="TableParagraph"/>
              <w:spacing w:line="362" w:lineRule="auto"/>
              <w:ind w:left="143" w:right="143"/>
              <w:jc w:val="center"/>
              <w:rPr>
                <w:sz w:val="18"/>
              </w:rPr>
            </w:pPr>
            <w:r>
              <w:rPr>
                <w:sz w:val="18"/>
              </w:rPr>
              <w:t>Showcase: renderizado que admite muchos formatos de archivo 3D</w:t>
            </w:r>
          </w:p>
          <w:p>
            <w:pPr>
              <w:pStyle w:val="TableParagraph"/>
              <w:spacing w:line="360" w:lineRule="auto"/>
              <w:ind w:left="148" w:right="146" w:hanging="2"/>
              <w:jc w:val="center"/>
              <w:rPr>
                <w:sz w:val="18"/>
              </w:rPr>
            </w:pPr>
            <w:r>
              <w:rPr>
                <w:sz w:val="18"/>
              </w:rPr>
              <w:t>Turtle: extensión para Maya empleada para convertir la iluminación en mapas de textura en el desarrollo de juegos</w:t>
            </w:r>
          </w:p>
        </w:tc>
      </w:tr>
      <w:tr>
        <w:trPr>
          <w:trHeight w:val="2184" w:hRule="exact"/>
        </w:trPr>
        <w:tc>
          <w:tcPr>
            <w:tcW w:w="2245" w:type="dxa"/>
            <w:vMerge/>
          </w:tcPr>
          <w:p>
            <w:pPr/>
          </w:p>
        </w:tc>
        <w:tc>
          <w:tcPr>
            <w:tcW w:w="1976" w:type="dxa"/>
          </w:tcPr>
          <w:p>
            <w:pPr>
              <w:pStyle w:val="TableParagraph"/>
              <w:rPr>
                <w:sz w:val="18"/>
              </w:rPr>
            </w:pPr>
          </w:p>
          <w:p>
            <w:pPr>
              <w:pStyle w:val="TableParagraph"/>
              <w:rPr>
                <w:sz w:val="18"/>
              </w:rPr>
            </w:pPr>
          </w:p>
          <w:p>
            <w:pPr>
              <w:pStyle w:val="TableParagraph"/>
              <w:rPr>
                <w:sz w:val="18"/>
              </w:rPr>
            </w:pPr>
          </w:p>
          <w:p>
            <w:pPr>
              <w:pStyle w:val="TableParagraph"/>
              <w:spacing w:before="3"/>
              <w:rPr>
                <w:sz w:val="26"/>
              </w:rPr>
            </w:pPr>
          </w:p>
          <w:p>
            <w:pPr>
              <w:pStyle w:val="TableParagraph"/>
              <w:ind w:left="97" w:right="99"/>
              <w:jc w:val="center"/>
              <w:rPr>
                <w:sz w:val="18"/>
              </w:rPr>
            </w:pPr>
            <w:r>
              <w:rPr>
                <w:sz w:val="18"/>
              </w:rPr>
              <w:t>Bunkspeed</w:t>
            </w:r>
          </w:p>
        </w:tc>
        <w:tc>
          <w:tcPr>
            <w:tcW w:w="3830" w:type="dxa"/>
          </w:tcPr>
          <w:p>
            <w:pPr>
              <w:pStyle w:val="TableParagraph"/>
              <w:spacing w:line="357" w:lineRule="auto"/>
              <w:ind w:left="87" w:right="89"/>
              <w:jc w:val="center"/>
              <w:rPr>
                <w:sz w:val="18"/>
              </w:rPr>
            </w:pPr>
            <w:r>
              <w:rPr>
                <w:sz w:val="18"/>
              </w:rPr>
              <w:t>Shot: renderizado físicamente exacto para la plataforma de Windows</w:t>
            </w:r>
          </w:p>
          <w:p>
            <w:pPr>
              <w:pStyle w:val="TableParagraph"/>
              <w:spacing w:line="357" w:lineRule="auto" w:before="6"/>
              <w:ind w:left="87" w:right="89"/>
              <w:jc w:val="center"/>
              <w:rPr>
                <w:sz w:val="18"/>
              </w:rPr>
            </w:pPr>
            <w:r>
              <w:rPr>
                <w:sz w:val="18"/>
              </w:rPr>
              <w:t>Move: todas las presentaciones de Shot más animación</w:t>
            </w:r>
          </w:p>
          <w:p>
            <w:pPr>
              <w:pStyle w:val="TableParagraph"/>
              <w:spacing w:line="360" w:lineRule="auto" w:before="6"/>
              <w:ind w:left="124" w:right="119" w:hanging="8"/>
              <w:jc w:val="center"/>
              <w:rPr>
                <w:sz w:val="18"/>
              </w:rPr>
            </w:pPr>
            <w:r>
              <w:rPr>
                <w:sz w:val="18"/>
              </w:rPr>
              <w:t>Pro: igual que Shot y Move, con materiales adicionales, renderizado, animación, cámara y funciones y ventajas de productividad</w:t>
            </w:r>
          </w:p>
        </w:tc>
      </w:tr>
      <w:tr>
        <w:trPr>
          <w:trHeight w:val="632" w:hRule="exact"/>
        </w:trPr>
        <w:tc>
          <w:tcPr>
            <w:tcW w:w="2245" w:type="dxa"/>
            <w:vMerge/>
          </w:tcPr>
          <w:p>
            <w:pPr/>
          </w:p>
        </w:tc>
        <w:tc>
          <w:tcPr>
            <w:tcW w:w="1976" w:type="dxa"/>
          </w:tcPr>
          <w:p>
            <w:pPr>
              <w:pStyle w:val="TableParagraph"/>
              <w:spacing w:line="362" w:lineRule="auto"/>
              <w:ind w:left="515" w:right="436" w:hanging="64"/>
              <w:rPr>
                <w:sz w:val="18"/>
              </w:rPr>
            </w:pPr>
            <w:r>
              <w:rPr>
                <w:sz w:val="18"/>
              </w:rPr>
              <w:t>Cebas Visual Technology</w:t>
            </w:r>
          </w:p>
        </w:tc>
        <w:tc>
          <w:tcPr>
            <w:tcW w:w="3830" w:type="dxa"/>
          </w:tcPr>
          <w:p>
            <w:pPr>
              <w:pStyle w:val="TableParagraph"/>
              <w:spacing w:line="362" w:lineRule="auto"/>
              <w:ind w:left="452" w:right="111" w:hanging="324"/>
              <w:rPr>
                <w:sz w:val="18"/>
              </w:rPr>
            </w:pPr>
            <w:r>
              <w:rPr>
                <w:sz w:val="18"/>
              </w:rPr>
              <w:t>Final Render: extensión de renderizado para Autodesk 3ds Max y Autodesk Maya</w:t>
            </w:r>
          </w:p>
        </w:tc>
      </w:tr>
      <w:tr>
        <w:trPr>
          <w:trHeight w:val="1252" w:hRule="exact"/>
        </w:trPr>
        <w:tc>
          <w:tcPr>
            <w:tcW w:w="2245" w:type="dxa"/>
            <w:vMerge/>
          </w:tcPr>
          <w:p>
            <w:pPr/>
          </w:p>
        </w:tc>
        <w:tc>
          <w:tcPr>
            <w:tcW w:w="1976" w:type="dxa"/>
          </w:tcPr>
          <w:p>
            <w:pPr>
              <w:pStyle w:val="TableParagraph"/>
              <w:spacing w:before="4"/>
              <w:rPr>
                <w:sz w:val="26"/>
              </w:rPr>
            </w:pPr>
          </w:p>
          <w:p>
            <w:pPr>
              <w:pStyle w:val="TableParagraph"/>
              <w:ind w:left="98" w:right="98"/>
              <w:jc w:val="center"/>
              <w:rPr>
                <w:sz w:val="18"/>
              </w:rPr>
            </w:pPr>
            <w:r>
              <w:rPr>
                <w:sz w:val="18"/>
              </w:rPr>
              <w:t>Chaos Group</w:t>
            </w:r>
          </w:p>
        </w:tc>
        <w:tc>
          <w:tcPr>
            <w:tcW w:w="3830" w:type="dxa"/>
          </w:tcPr>
          <w:p>
            <w:pPr>
              <w:pStyle w:val="TableParagraph"/>
              <w:spacing w:line="360" w:lineRule="auto"/>
              <w:ind w:left="388" w:right="385" w:hanging="3"/>
              <w:jc w:val="center"/>
              <w:rPr>
                <w:sz w:val="18"/>
              </w:rPr>
            </w:pPr>
            <w:r>
              <w:rPr>
                <w:sz w:val="18"/>
              </w:rPr>
              <w:t>V-Ray: extensión de renderizado para Autodesk 3ds Max, Autodesk Maya, Autodesk Softimage, Rhinoceros 3D y Google Sketch Up</w:t>
            </w:r>
          </w:p>
        </w:tc>
      </w:tr>
      <w:tr>
        <w:trPr>
          <w:trHeight w:val="320" w:hRule="exact"/>
        </w:trPr>
        <w:tc>
          <w:tcPr>
            <w:tcW w:w="2245" w:type="dxa"/>
            <w:vMerge/>
          </w:tcPr>
          <w:p>
            <w:pPr/>
          </w:p>
        </w:tc>
        <w:tc>
          <w:tcPr>
            <w:tcW w:w="1976" w:type="dxa"/>
          </w:tcPr>
          <w:p>
            <w:pPr>
              <w:pStyle w:val="TableParagraph"/>
              <w:spacing w:line="199" w:lineRule="exact"/>
              <w:ind w:left="93" w:right="99"/>
              <w:jc w:val="center"/>
              <w:rPr>
                <w:sz w:val="18"/>
              </w:rPr>
            </w:pPr>
            <w:r>
              <w:rPr>
                <w:sz w:val="18"/>
              </w:rPr>
              <w:t>Indigo Renderer</w:t>
            </w:r>
          </w:p>
        </w:tc>
        <w:tc>
          <w:tcPr>
            <w:tcW w:w="3830" w:type="dxa"/>
          </w:tcPr>
          <w:p>
            <w:pPr>
              <w:pStyle w:val="TableParagraph"/>
              <w:spacing w:line="199" w:lineRule="exact"/>
              <w:ind w:left="464" w:right="138"/>
              <w:rPr>
                <w:sz w:val="18"/>
              </w:rPr>
            </w:pPr>
            <w:r>
              <w:rPr>
                <w:sz w:val="18"/>
              </w:rPr>
              <w:t>Programa autónomo de renderizado</w:t>
            </w:r>
          </w:p>
        </w:tc>
      </w:tr>
      <w:tr>
        <w:trPr>
          <w:trHeight w:val="1253" w:hRule="exact"/>
        </w:trPr>
        <w:tc>
          <w:tcPr>
            <w:tcW w:w="2245" w:type="dxa"/>
            <w:vMerge/>
          </w:tcPr>
          <w:p>
            <w:pPr/>
          </w:p>
        </w:tc>
        <w:tc>
          <w:tcPr>
            <w:tcW w:w="1976" w:type="dxa"/>
          </w:tcPr>
          <w:p>
            <w:pPr>
              <w:pStyle w:val="TableParagraph"/>
              <w:rPr>
                <w:sz w:val="18"/>
              </w:rPr>
            </w:pPr>
          </w:p>
          <w:p>
            <w:pPr>
              <w:pStyle w:val="TableParagraph"/>
              <w:rPr>
                <w:sz w:val="18"/>
              </w:rPr>
            </w:pPr>
          </w:p>
          <w:p>
            <w:pPr>
              <w:pStyle w:val="TableParagraph"/>
              <w:spacing w:before="2"/>
              <w:rPr>
                <w:sz w:val="17"/>
              </w:rPr>
            </w:pPr>
          </w:p>
          <w:p>
            <w:pPr>
              <w:pStyle w:val="TableParagraph"/>
              <w:ind w:left="93" w:right="99"/>
              <w:jc w:val="center"/>
              <w:rPr>
                <w:sz w:val="18"/>
              </w:rPr>
            </w:pPr>
            <w:r>
              <w:rPr>
                <w:sz w:val="18"/>
              </w:rPr>
              <w:t>Luxion</w:t>
            </w:r>
          </w:p>
        </w:tc>
        <w:tc>
          <w:tcPr>
            <w:tcW w:w="3830" w:type="dxa"/>
          </w:tcPr>
          <w:p>
            <w:pPr>
              <w:pStyle w:val="TableParagraph"/>
              <w:spacing w:line="360" w:lineRule="auto"/>
              <w:ind w:left="143" w:right="142"/>
              <w:jc w:val="center"/>
              <w:rPr>
                <w:sz w:val="18"/>
              </w:rPr>
            </w:pPr>
            <w:r>
              <w:rPr>
                <w:sz w:val="18"/>
              </w:rPr>
              <w:t>KeyShot: renderizado autónomo con una resolución máxima de 4,1 megapíxeles KeyShot Pro: renderizado autónomo con resolución ilimitada</w:t>
            </w:r>
          </w:p>
        </w:tc>
      </w:tr>
      <w:tr>
        <w:trPr>
          <w:trHeight w:val="628" w:hRule="exact"/>
        </w:trPr>
        <w:tc>
          <w:tcPr>
            <w:tcW w:w="2245" w:type="dxa"/>
            <w:vMerge/>
          </w:tcPr>
          <w:p>
            <w:pPr/>
          </w:p>
        </w:tc>
        <w:tc>
          <w:tcPr>
            <w:tcW w:w="1976" w:type="dxa"/>
          </w:tcPr>
          <w:p>
            <w:pPr>
              <w:pStyle w:val="TableParagraph"/>
              <w:spacing w:line="199" w:lineRule="exact"/>
              <w:ind w:left="98" w:right="97"/>
              <w:jc w:val="center"/>
              <w:rPr>
                <w:sz w:val="18"/>
              </w:rPr>
            </w:pPr>
            <w:r>
              <w:rPr>
                <w:sz w:val="18"/>
              </w:rPr>
              <w:t>Luxology</w:t>
            </w:r>
          </w:p>
        </w:tc>
        <w:tc>
          <w:tcPr>
            <w:tcW w:w="3830" w:type="dxa"/>
          </w:tcPr>
          <w:p>
            <w:pPr>
              <w:pStyle w:val="TableParagraph"/>
              <w:spacing w:line="362" w:lineRule="auto"/>
              <w:ind w:left="1432" w:right="92" w:hanging="1325"/>
              <w:rPr>
                <w:sz w:val="18"/>
              </w:rPr>
            </w:pPr>
            <w:r>
              <w:rPr>
                <w:sz w:val="18"/>
              </w:rPr>
              <w:t>Modo: software de modelado 3D, esculpido y renderizado</w:t>
            </w:r>
          </w:p>
        </w:tc>
      </w:tr>
      <w:tr>
        <w:trPr>
          <w:trHeight w:val="944" w:hRule="exact"/>
        </w:trPr>
        <w:tc>
          <w:tcPr>
            <w:tcW w:w="2245" w:type="dxa"/>
            <w:vMerge/>
          </w:tcPr>
          <w:p>
            <w:pPr/>
          </w:p>
        </w:tc>
        <w:tc>
          <w:tcPr>
            <w:tcW w:w="1976" w:type="dxa"/>
          </w:tcPr>
          <w:p>
            <w:pPr>
              <w:pStyle w:val="TableParagraph"/>
              <w:spacing w:before="8"/>
              <w:rPr>
                <w:sz w:val="26"/>
              </w:rPr>
            </w:pPr>
          </w:p>
          <w:p>
            <w:pPr>
              <w:pStyle w:val="TableParagraph"/>
              <w:ind w:left="93" w:right="99"/>
              <w:jc w:val="center"/>
              <w:rPr>
                <w:sz w:val="18"/>
              </w:rPr>
            </w:pPr>
            <w:r>
              <w:rPr>
                <w:sz w:val="18"/>
              </w:rPr>
              <w:t>Maxon</w:t>
            </w:r>
          </w:p>
        </w:tc>
        <w:tc>
          <w:tcPr>
            <w:tcW w:w="3830" w:type="dxa"/>
          </w:tcPr>
          <w:p>
            <w:pPr>
              <w:pStyle w:val="TableParagraph"/>
              <w:spacing w:line="360" w:lineRule="auto"/>
              <w:ind w:left="124" w:right="122" w:hanging="4"/>
              <w:jc w:val="center"/>
              <w:rPr>
                <w:sz w:val="18"/>
              </w:rPr>
            </w:pPr>
            <w:r>
              <w:rPr>
                <w:sz w:val="18"/>
              </w:rPr>
              <w:t>Cinema 4D Visualize: dirigido a arquitectos, diseñadores y fotógrafos para el renderizado de animaciones</w:t>
            </w:r>
          </w:p>
        </w:tc>
      </w:tr>
      <w:tr>
        <w:trPr>
          <w:trHeight w:val="941" w:hRule="exact"/>
        </w:trPr>
        <w:tc>
          <w:tcPr>
            <w:tcW w:w="2245" w:type="dxa"/>
            <w:vMerge/>
          </w:tcPr>
          <w:p>
            <w:pPr/>
          </w:p>
        </w:tc>
        <w:tc>
          <w:tcPr>
            <w:tcW w:w="1976" w:type="dxa"/>
          </w:tcPr>
          <w:p>
            <w:pPr>
              <w:pStyle w:val="TableParagraph"/>
              <w:spacing w:before="5"/>
              <w:rPr>
                <w:sz w:val="26"/>
              </w:rPr>
            </w:pPr>
          </w:p>
          <w:p>
            <w:pPr>
              <w:pStyle w:val="TableParagraph"/>
              <w:ind w:left="97" w:right="99"/>
              <w:jc w:val="center"/>
              <w:rPr>
                <w:sz w:val="18"/>
              </w:rPr>
            </w:pPr>
            <w:r>
              <w:rPr>
                <w:sz w:val="18"/>
              </w:rPr>
              <w:t>Motiva</w:t>
            </w:r>
          </w:p>
        </w:tc>
        <w:tc>
          <w:tcPr>
            <w:tcW w:w="3830" w:type="dxa"/>
          </w:tcPr>
          <w:p>
            <w:pPr>
              <w:pStyle w:val="TableParagraph"/>
              <w:spacing w:line="360" w:lineRule="auto"/>
              <w:ind w:left="138" w:right="144"/>
              <w:jc w:val="center"/>
              <w:rPr>
                <w:sz w:val="18"/>
              </w:rPr>
            </w:pPr>
            <w:r>
              <w:rPr>
                <w:sz w:val="18"/>
              </w:rPr>
              <w:t>Colimo: postproducción de materiales, iluminación y efectos de cámara de los render</w:t>
            </w:r>
          </w:p>
        </w:tc>
      </w:tr>
      <w:tr>
        <w:trPr>
          <w:trHeight w:val="628" w:hRule="exact"/>
        </w:trPr>
        <w:tc>
          <w:tcPr>
            <w:tcW w:w="2245" w:type="dxa"/>
            <w:vMerge/>
          </w:tcPr>
          <w:p>
            <w:pPr/>
          </w:p>
        </w:tc>
        <w:tc>
          <w:tcPr>
            <w:tcW w:w="1976" w:type="dxa"/>
          </w:tcPr>
          <w:p>
            <w:pPr>
              <w:pStyle w:val="TableParagraph"/>
              <w:spacing w:before="4"/>
              <w:rPr>
                <w:sz w:val="26"/>
              </w:rPr>
            </w:pPr>
          </w:p>
          <w:p>
            <w:pPr>
              <w:pStyle w:val="TableParagraph"/>
              <w:ind w:left="98" w:right="98"/>
              <w:jc w:val="center"/>
              <w:rPr>
                <w:sz w:val="18"/>
              </w:rPr>
            </w:pPr>
            <w:r>
              <w:rPr>
                <w:sz w:val="18"/>
              </w:rPr>
              <w:t>NewTek</w:t>
            </w:r>
          </w:p>
        </w:tc>
        <w:tc>
          <w:tcPr>
            <w:tcW w:w="3830" w:type="dxa"/>
          </w:tcPr>
          <w:p>
            <w:pPr>
              <w:pStyle w:val="TableParagraph"/>
              <w:spacing w:line="357" w:lineRule="auto"/>
              <w:ind w:left="492" w:right="91" w:hanging="384"/>
              <w:rPr>
                <w:sz w:val="18"/>
              </w:rPr>
            </w:pPr>
            <w:r>
              <w:rPr>
                <w:sz w:val="18"/>
              </w:rPr>
              <w:t>Lightwave 3D: VFX, renderizado y animación dirigido principalmente a artistas de</w:t>
            </w:r>
          </w:p>
        </w:tc>
      </w:tr>
    </w:tbl>
    <w:p>
      <w:pPr>
        <w:spacing w:after="0" w:line="357" w:lineRule="auto"/>
        <w:rPr>
          <w:sz w:val="18"/>
        </w:rPr>
        <w:sectPr>
          <w:pgSz w:w="12240" w:h="15840"/>
          <w:pgMar w:header="0" w:footer="1031" w:top="1420" w:bottom="1160" w:left="1720" w:right="1600"/>
        </w:sectPr>
      </w:pPr>
    </w:p>
    <w:tbl>
      <w:tblPr>
        <w:tblW w:w="0" w:type="auto"/>
        <w:jc w:val="left"/>
        <w:tblInd w:w="492"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245"/>
        <w:gridCol w:w="1976"/>
        <w:gridCol w:w="3830"/>
      </w:tblGrid>
      <w:tr>
        <w:trPr>
          <w:trHeight w:val="324" w:hRule="exact"/>
        </w:trPr>
        <w:tc>
          <w:tcPr>
            <w:tcW w:w="2245" w:type="dxa"/>
            <w:vMerge w:val="restart"/>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7"/>
              <w:rPr>
                <w:sz w:val="17"/>
              </w:rPr>
            </w:pPr>
          </w:p>
          <w:p>
            <w:pPr>
              <w:pStyle w:val="TableParagraph"/>
              <w:spacing w:line="360" w:lineRule="auto" w:before="1"/>
              <w:ind w:left="572" w:right="546" w:hanging="20"/>
              <w:jc w:val="both"/>
              <w:rPr>
                <w:sz w:val="18"/>
              </w:rPr>
            </w:pPr>
            <w:r>
              <w:rPr>
                <w:sz w:val="18"/>
              </w:rPr>
              <w:t>Programas de renderizado y visualización</w:t>
            </w:r>
          </w:p>
        </w:tc>
        <w:tc>
          <w:tcPr>
            <w:tcW w:w="1976" w:type="dxa"/>
          </w:tcPr>
          <w:p>
            <w:pPr/>
          </w:p>
        </w:tc>
        <w:tc>
          <w:tcPr>
            <w:tcW w:w="3830" w:type="dxa"/>
          </w:tcPr>
          <w:p>
            <w:pPr>
              <w:pStyle w:val="TableParagraph"/>
              <w:spacing w:line="203" w:lineRule="exact"/>
              <w:ind w:left="142" w:right="144"/>
              <w:jc w:val="center"/>
              <w:rPr>
                <w:sz w:val="18"/>
              </w:rPr>
            </w:pPr>
            <w:r>
              <w:rPr>
                <w:sz w:val="18"/>
              </w:rPr>
              <w:t>producción de cine, TV y videojuegos</w:t>
            </w:r>
          </w:p>
        </w:tc>
      </w:tr>
      <w:tr>
        <w:trPr>
          <w:trHeight w:val="628" w:hRule="exact"/>
        </w:trPr>
        <w:tc>
          <w:tcPr>
            <w:tcW w:w="2245" w:type="dxa"/>
            <w:vMerge/>
          </w:tcPr>
          <w:p>
            <w:pPr/>
          </w:p>
        </w:tc>
        <w:tc>
          <w:tcPr>
            <w:tcW w:w="1976" w:type="dxa"/>
          </w:tcPr>
          <w:p>
            <w:pPr>
              <w:pStyle w:val="TableParagraph"/>
              <w:spacing w:line="362" w:lineRule="auto"/>
              <w:ind w:left="447" w:right="430" w:firstLine="131"/>
              <w:rPr>
                <w:sz w:val="18"/>
              </w:rPr>
            </w:pPr>
            <w:r>
              <w:rPr>
                <w:sz w:val="18"/>
              </w:rPr>
              <w:t>Next Limit Technologies</w:t>
            </w:r>
          </w:p>
        </w:tc>
        <w:tc>
          <w:tcPr>
            <w:tcW w:w="3830" w:type="dxa"/>
          </w:tcPr>
          <w:p>
            <w:pPr>
              <w:pStyle w:val="TableParagraph"/>
              <w:spacing w:line="198" w:lineRule="exact"/>
              <w:ind w:left="142" w:right="144"/>
              <w:jc w:val="center"/>
              <w:rPr>
                <w:sz w:val="18"/>
              </w:rPr>
            </w:pPr>
            <w:r>
              <w:rPr>
                <w:sz w:val="18"/>
              </w:rPr>
              <w:t>Maxwell Render</w:t>
            </w:r>
          </w:p>
        </w:tc>
      </w:tr>
      <w:tr>
        <w:trPr>
          <w:trHeight w:val="944" w:hRule="exact"/>
        </w:trPr>
        <w:tc>
          <w:tcPr>
            <w:tcW w:w="2245" w:type="dxa"/>
            <w:vMerge/>
          </w:tcPr>
          <w:p>
            <w:pPr/>
          </w:p>
        </w:tc>
        <w:tc>
          <w:tcPr>
            <w:tcW w:w="1976" w:type="dxa"/>
          </w:tcPr>
          <w:p>
            <w:pPr>
              <w:pStyle w:val="TableParagraph"/>
              <w:spacing w:before="4"/>
              <w:rPr>
                <w:sz w:val="26"/>
              </w:rPr>
            </w:pPr>
          </w:p>
          <w:p>
            <w:pPr>
              <w:pStyle w:val="TableParagraph"/>
              <w:ind w:left="93" w:right="99"/>
              <w:jc w:val="center"/>
              <w:rPr>
                <w:sz w:val="18"/>
              </w:rPr>
            </w:pPr>
            <w:r>
              <w:rPr>
                <w:sz w:val="18"/>
              </w:rPr>
              <w:t>NVidia</w:t>
            </w:r>
          </w:p>
        </w:tc>
        <w:tc>
          <w:tcPr>
            <w:tcW w:w="3830" w:type="dxa"/>
          </w:tcPr>
          <w:p>
            <w:pPr>
              <w:pStyle w:val="TableParagraph"/>
              <w:spacing w:line="360" w:lineRule="auto"/>
              <w:ind w:left="143" w:right="142"/>
              <w:jc w:val="center"/>
              <w:rPr>
                <w:sz w:val="18"/>
              </w:rPr>
            </w:pPr>
            <w:r>
              <w:rPr>
                <w:sz w:val="18"/>
              </w:rPr>
              <w:t>Mental Ray: renderizador autónomo o como extensión de una amplia variedad de programas</w:t>
            </w:r>
          </w:p>
        </w:tc>
      </w:tr>
      <w:tr>
        <w:trPr>
          <w:trHeight w:val="320" w:hRule="exact"/>
        </w:trPr>
        <w:tc>
          <w:tcPr>
            <w:tcW w:w="2245" w:type="dxa"/>
            <w:vMerge/>
          </w:tcPr>
          <w:p>
            <w:pPr/>
          </w:p>
        </w:tc>
        <w:tc>
          <w:tcPr>
            <w:tcW w:w="1976" w:type="dxa"/>
          </w:tcPr>
          <w:p>
            <w:pPr>
              <w:pStyle w:val="TableParagraph"/>
              <w:spacing w:line="199" w:lineRule="exact"/>
              <w:ind w:left="98" w:right="95"/>
              <w:jc w:val="center"/>
              <w:rPr>
                <w:sz w:val="18"/>
              </w:rPr>
            </w:pPr>
            <w:r>
              <w:rPr>
                <w:sz w:val="18"/>
              </w:rPr>
              <w:t>NVidia Gelato Pro</w:t>
            </w:r>
          </w:p>
        </w:tc>
        <w:tc>
          <w:tcPr>
            <w:tcW w:w="3830" w:type="dxa"/>
          </w:tcPr>
          <w:p>
            <w:pPr>
              <w:pStyle w:val="TableParagraph"/>
              <w:spacing w:line="199" w:lineRule="exact"/>
              <w:jc w:val="center"/>
              <w:rPr>
                <w:sz w:val="18"/>
              </w:rPr>
            </w:pPr>
            <w:r>
              <w:rPr>
                <w:w w:val="99"/>
                <w:sz w:val="18"/>
              </w:rPr>
              <w:t>-</w:t>
            </w:r>
          </w:p>
        </w:tc>
      </w:tr>
      <w:tr>
        <w:trPr>
          <w:trHeight w:val="1252" w:hRule="exact"/>
        </w:trPr>
        <w:tc>
          <w:tcPr>
            <w:tcW w:w="2245" w:type="dxa"/>
            <w:vMerge/>
          </w:tcPr>
          <w:p>
            <w:pPr/>
          </w:p>
        </w:tc>
        <w:tc>
          <w:tcPr>
            <w:tcW w:w="1976" w:type="dxa"/>
          </w:tcPr>
          <w:p>
            <w:pPr>
              <w:pStyle w:val="TableParagraph"/>
              <w:spacing w:before="4"/>
              <w:rPr>
                <w:sz w:val="26"/>
              </w:rPr>
            </w:pPr>
          </w:p>
          <w:p>
            <w:pPr>
              <w:pStyle w:val="TableParagraph"/>
              <w:ind w:left="95" w:right="99"/>
              <w:jc w:val="center"/>
              <w:rPr>
                <w:sz w:val="18"/>
              </w:rPr>
            </w:pPr>
            <w:r>
              <w:rPr>
                <w:sz w:val="18"/>
              </w:rPr>
              <w:t>PiVR</w:t>
            </w:r>
          </w:p>
        </w:tc>
        <w:tc>
          <w:tcPr>
            <w:tcW w:w="3830" w:type="dxa"/>
          </w:tcPr>
          <w:p>
            <w:pPr>
              <w:pStyle w:val="TableParagraph"/>
              <w:spacing w:line="362" w:lineRule="auto"/>
              <w:ind w:left="89" w:right="84"/>
              <w:jc w:val="center"/>
              <w:rPr>
                <w:sz w:val="18"/>
              </w:rPr>
            </w:pPr>
            <w:r>
              <w:rPr>
                <w:sz w:val="18"/>
              </w:rPr>
              <w:t>VRED Essentials: renderizado de trazado de rayos en tiempo real, autónomo</w:t>
            </w:r>
          </w:p>
          <w:p>
            <w:pPr>
              <w:pStyle w:val="TableParagraph"/>
              <w:spacing w:line="357" w:lineRule="auto" w:before="2"/>
              <w:ind w:left="143" w:right="137"/>
              <w:jc w:val="center"/>
              <w:rPr>
                <w:sz w:val="18"/>
              </w:rPr>
            </w:pPr>
            <w:r>
              <w:rPr>
                <w:sz w:val="18"/>
              </w:rPr>
              <w:t>VRED Essentials Plus: lo mismo que el anterior pero con animación</w:t>
            </w:r>
          </w:p>
        </w:tc>
      </w:tr>
      <w:tr>
        <w:trPr>
          <w:trHeight w:val="2185" w:hRule="exact"/>
        </w:trPr>
        <w:tc>
          <w:tcPr>
            <w:tcW w:w="2245" w:type="dxa"/>
            <w:vMerge/>
          </w:tcPr>
          <w:p>
            <w:pPr/>
          </w:p>
        </w:tc>
        <w:tc>
          <w:tcPr>
            <w:tcW w:w="1976" w:type="dxa"/>
          </w:tcPr>
          <w:p>
            <w:pPr>
              <w:pStyle w:val="TableParagraph"/>
              <w:rPr>
                <w:sz w:val="18"/>
              </w:rPr>
            </w:pPr>
          </w:p>
          <w:p>
            <w:pPr>
              <w:pStyle w:val="TableParagraph"/>
              <w:rPr>
                <w:sz w:val="18"/>
              </w:rPr>
            </w:pPr>
          </w:p>
          <w:p>
            <w:pPr>
              <w:pStyle w:val="TableParagraph"/>
              <w:rPr>
                <w:sz w:val="18"/>
              </w:rPr>
            </w:pPr>
          </w:p>
          <w:p>
            <w:pPr>
              <w:pStyle w:val="TableParagraph"/>
              <w:spacing w:before="4"/>
              <w:rPr>
                <w:sz w:val="26"/>
              </w:rPr>
            </w:pPr>
          </w:p>
          <w:p>
            <w:pPr>
              <w:pStyle w:val="TableParagraph"/>
              <w:ind w:left="93" w:right="99"/>
              <w:jc w:val="center"/>
              <w:rPr>
                <w:sz w:val="18"/>
              </w:rPr>
            </w:pPr>
            <w:r>
              <w:rPr>
                <w:sz w:val="18"/>
              </w:rPr>
              <w:t>Pixar</w:t>
            </w:r>
          </w:p>
        </w:tc>
        <w:tc>
          <w:tcPr>
            <w:tcW w:w="3830" w:type="dxa"/>
          </w:tcPr>
          <w:p>
            <w:pPr>
              <w:pStyle w:val="TableParagraph"/>
              <w:spacing w:line="362" w:lineRule="auto"/>
              <w:ind w:left="124" w:right="119"/>
              <w:jc w:val="center"/>
              <w:rPr>
                <w:sz w:val="18"/>
              </w:rPr>
            </w:pPr>
            <w:r>
              <w:rPr>
                <w:sz w:val="18"/>
              </w:rPr>
              <w:t>RenderMan for Maya: render de alto nivel de animaciones 3D y efectos visuales, extensión para Maya</w:t>
            </w:r>
          </w:p>
          <w:p>
            <w:pPr>
              <w:pStyle w:val="TableParagraph"/>
              <w:spacing w:line="362" w:lineRule="auto"/>
              <w:ind w:left="143" w:right="142"/>
              <w:jc w:val="center"/>
              <w:rPr>
                <w:sz w:val="18"/>
              </w:rPr>
            </w:pPr>
            <w:r>
              <w:rPr>
                <w:sz w:val="18"/>
              </w:rPr>
              <w:t>Render Man Studio: render de alto nivel de animaciones 3D y efectos visuales</w:t>
            </w:r>
          </w:p>
          <w:p>
            <w:pPr>
              <w:pStyle w:val="TableParagraph"/>
              <w:spacing w:line="362" w:lineRule="auto"/>
              <w:ind w:left="143" w:right="142"/>
              <w:jc w:val="center"/>
              <w:rPr>
                <w:sz w:val="18"/>
              </w:rPr>
            </w:pPr>
            <w:r>
              <w:rPr>
                <w:sz w:val="18"/>
              </w:rPr>
              <w:t>Render Man Pro: render de alto nivel de animaciones 3D y efectos visuales</w:t>
            </w:r>
          </w:p>
        </w:tc>
      </w:tr>
      <w:tr>
        <w:trPr>
          <w:trHeight w:val="628" w:hRule="exact"/>
        </w:trPr>
        <w:tc>
          <w:tcPr>
            <w:tcW w:w="2245" w:type="dxa"/>
            <w:vMerge/>
          </w:tcPr>
          <w:p>
            <w:pPr/>
          </w:p>
        </w:tc>
        <w:tc>
          <w:tcPr>
            <w:tcW w:w="1976" w:type="dxa"/>
          </w:tcPr>
          <w:p>
            <w:pPr>
              <w:pStyle w:val="TableParagraph"/>
              <w:spacing w:line="199" w:lineRule="exact"/>
              <w:ind w:left="98" w:right="98"/>
              <w:jc w:val="center"/>
              <w:rPr>
                <w:sz w:val="18"/>
              </w:rPr>
            </w:pPr>
            <w:r>
              <w:rPr>
                <w:sz w:val="18"/>
              </w:rPr>
              <w:t>Pixologic</w:t>
            </w:r>
          </w:p>
        </w:tc>
        <w:tc>
          <w:tcPr>
            <w:tcW w:w="3830" w:type="dxa"/>
          </w:tcPr>
          <w:p>
            <w:pPr>
              <w:pStyle w:val="TableParagraph"/>
              <w:spacing w:line="362" w:lineRule="auto"/>
              <w:ind w:left="588" w:right="359" w:hanging="217"/>
              <w:rPr>
                <w:sz w:val="18"/>
              </w:rPr>
            </w:pPr>
            <w:r>
              <w:rPr>
                <w:sz w:val="18"/>
              </w:rPr>
              <w:t>ZBrush: programa de estudio y pintura digital, rival de Autodesk Mudbox</w:t>
            </w:r>
          </w:p>
        </w:tc>
      </w:tr>
      <w:tr>
        <w:trPr>
          <w:trHeight w:val="1876" w:hRule="exact"/>
        </w:trPr>
        <w:tc>
          <w:tcPr>
            <w:tcW w:w="2245" w:type="dxa"/>
            <w:vMerge/>
          </w:tcPr>
          <w:p>
            <w:pPr/>
          </w:p>
        </w:tc>
        <w:tc>
          <w:tcPr>
            <w:tcW w:w="1976" w:type="dxa"/>
          </w:tcPr>
          <w:p>
            <w:pPr>
              <w:pStyle w:val="TableParagraph"/>
              <w:rPr>
                <w:sz w:val="18"/>
              </w:rPr>
            </w:pPr>
          </w:p>
          <w:p>
            <w:pPr>
              <w:pStyle w:val="TableParagraph"/>
              <w:rPr>
                <w:sz w:val="18"/>
              </w:rPr>
            </w:pPr>
          </w:p>
          <w:p>
            <w:pPr>
              <w:pStyle w:val="TableParagraph"/>
              <w:rPr>
                <w:sz w:val="18"/>
              </w:rPr>
            </w:pPr>
          </w:p>
          <w:p>
            <w:pPr>
              <w:pStyle w:val="TableParagraph"/>
              <w:spacing w:before="7"/>
              <w:rPr>
                <w:sz w:val="26"/>
              </w:rPr>
            </w:pPr>
          </w:p>
          <w:p>
            <w:pPr>
              <w:pStyle w:val="TableParagraph"/>
              <w:ind w:left="98" w:right="97"/>
              <w:jc w:val="center"/>
              <w:rPr>
                <w:sz w:val="18"/>
              </w:rPr>
            </w:pPr>
            <w:r>
              <w:rPr>
                <w:sz w:val="18"/>
              </w:rPr>
              <w:t>PTC</w:t>
            </w:r>
          </w:p>
        </w:tc>
        <w:tc>
          <w:tcPr>
            <w:tcW w:w="3830" w:type="dxa"/>
          </w:tcPr>
          <w:p>
            <w:pPr>
              <w:pStyle w:val="TableParagraph"/>
              <w:spacing w:line="357" w:lineRule="auto"/>
              <w:ind w:left="984" w:right="167" w:hanging="801"/>
              <w:rPr>
                <w:sz w:val="18"/>
              </w:rPr>
            </w:pPr>
            <w:r>
              <w:rPr>
                <w:sz w:val="18"/>
              </w:rPr>
              <w:t>Creo View MCAD: visualización de dibujos, modelos y documentos</w:t>
            </w:r>
          </w:p>
          <w:p>
            <w:pPr>
              <w:pStyle w:val="TableParagraph"/>
              <w:spacing w:line="362" w:lineRule="auto" w:before="6"/>
              <w:ind w:left="1064" w:right="185" w:hanging="869"/>
              <w:rPr>
                <w:sz w:val="18"/>
              </w:rPr>
            </w:pPr>
            <w:r>
              <w:rPr>
                <w:sz w:val="18"/>
              </w:rPr>
              <w:t>Creo View ECAD: visualización de diseños de circuitos impresos</w:t>
            </w:r>
          </w:p>
          <w:p>
            <w:pPr>
              <w:pStyle w:val="TableParagraph"/>
              <w:spacing w:line="362" w:lineRule="auto"/>
              <w:ind w:left="1072" w:right="238" w:hanging="821"/>
              <w:rPr>
                <w:sz w:val="18"/>
              </w:rPr>
            </w:pPr>
            <w:r>
              <w:rPr>
                <w:sz w:val="18"/>
              </w:rPr>
              <w:t>Creo Ilustrate: creación de ilustraciones a partir de modelos 3D</w:t>
            </w:r>
          </w:p>
        </w:tc>
      </w:tr>
      <w:tr>
        <w:trPr>
          <w:trHeight w:val="628" w:hRule="exact"/>
        </w:trPr>
        <w:tc>
          <w:tcPr>
            <w:tcW w:w="2245" w:type="dxa"/>
            <w:vMerge/>
          </w:tcPr>
          <w:p>
            <w:pPr/>
          </w:p>
        </w:tc>
        <w:tc>
          <w:tcPr>
            <w:tcW w:w="1976" w:type="dxa"/>
          </w:tcPr>
          <w:p>
            <w:pPr>
              <w:pStyle w:val="TableParagraph"/>
              <w:spacing w:line="199" w:lineRule="exact"/>
              <w:ind w:left="98" w:right="96"/>
              <w:jc w:val="center"/>
              <w:rPr>
                <w:sz w:val="18"/>
              </w:rPr>
            </w:pPr>
            <w:r>
              <w:rPr>
                <w:sz w:val="18"/>
              </w:rPr>
              <w:t>Random control</w:t>
            </w:r>
          </w:p>
        </w:tc>
        <w:tc>
          <w:tcPr>
            <w:tcW w:w="3830" w:type="dxa"/>
          </w:tcPr>
          <w:p>
            <w:pPr>
              <w:pStyle w:val="TableParagraph"/>
              <w:spacing w:line="362" w:lineRule="auto"/>
              <w:ind w:left="568" w:right="552" w:firstLine="152"/>
              <w:rPr>
                <w:sz w:val="18"/>
              </w:rPr>
            </w:pPr>
            <w:r>
              <w:rPr>
                <w:sz w:val="18"/>
              </w:rPr>
              <w:t>Arion: renderizador autónomo fryrender: renderizador autónomo</w:t>
            </w:r>
          </w:p>
        </w:tc>
      </w:tr>
      <w:tr>
        <w:trPr>
          <w:trHeight w:val="320" w:hRule="exact"/>
        </w:trPr>
        <w:tc>
          <w:tcPr>
            <w:tcW w:w="2245" w:type="dxa"/>
            <w:vMerge w:val="restart"/>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5"/>
              <w:rPr>
                <w:sz w:val="17"/>
              </w:rPr>
            </w:pPr>
          </w:p>
          <w:p>
            <w:pPr>
              <w:pStyle w:val="TableParagraph"/>
              <w:spacing w:line="362" w:lineRule="auto"/>
              <w:ind w:left="572" w:right="546" w:hanging="20"/>
              <w:jc w:val="both"/>
              <w:rPr>
                <w:sz w:val="18"/>
              </w:rPr>
            </w:pPr>
            <w:r>
              <w:rPr>
                <w:sz w:val="18"/>
              </w:rPr>
              <w:t>Programas de renderizado y visualización</w:t>
            </w:r>
          </w:p>
        </w:tc>
        <w:tc>
          <w:tcPr>
            <w:tcW w:w="1976" w:type="dxa"/>
          </w:tcPr>
          <w:p>
            <w:pPr>
              <w:pStyle w:val="TableParagraph"/>
              <w:spacing w:line="203" w:lineRule="exact"/>
              <w:ind w:left="98" w:right="99"/>
              <w:jc w:val="center"/>
              <w:rPr>
                <w:sz w:val="18"/>
              </w:rPr>
            </w:pPr>
            <w:r>
              <w:rPr>
                <w:sz w:val="18"/>
              </w:rPr>
              <w:t>Refractive Software</w:t>
            </w:r>
          </w:p>
        </w:tc>
        <w:tc>
          <w:tcPr>
            <w:tcW w:w="3830" w:type="dxa"/>
          </w:tcPr>
          <w:p>
            <w:pPr>
              <w:pStyle w:val="TableParagraph"/>
              <w:spacing w:line="203" w:lineRule="exact"/>
              <w:ind w:left="143" w:right="141"/>
              <w:jc w:val="center"/>
              <w:rPr>
                <w:sz w:val="18"/>
              </w:rPr>
            </w:pPr>
            <w:r>
              <w:rPr>
                <w:sz w:val="18"/>
              </w:rPr>
              <w:t>Octane Render: renderizador autónomo</w:t>
            </w:r>
          </w:p>
        </w:tc>
      </w:tr>
      <w:tr>
        <w:trPr>
          <w:trHeight w:val="632" w:hRule="exact"/>
        </w:trPr>
        <w:tc>
          <w:tcPr>
            <w:tcW w:w="2245" w:type="dxa"/>
            <w:vMerge/>
          </w:tcPr>
          <w:p>
            <w:pPr/>
          </w:p>
        </w:tc>
        <w:tc>
          <w:tcPr>
            <w:tcW w:w="1976" w:type="dxa"/>
          </w:tcPr>
          <w:p>
            <w:pPr>
              <w:pStyle w:val="TableParagraph"/>
              <w:spacing w:before="9"/>
              <w:rPr>
                <w:sz w:val="26"/>
              </w:rPr>
            </w:pPr>
          </w:p>
          <w:p>
            <w:pPr>
              <w:pStyle w:val="TableParagraph"/>
              <w:ind w:left="93" w:right="99"/>
              <w:jc w:val="center"/>
              <w:rPr>
                <w:sz w:val="18"/>
              </w:rPr>
            </w:pPr>
            <w:r>
              <w:rPr>
                <w:sz w:val="18"/>
              </w:rPr>
              <w:t>Render Zone</w:t>
            </w:r>
          </w:p>
        </w:tc>
        <w:tc>
          <w:tcPr>
            <w:tcW w:w="3830" w:type="dxa"/>
          </w:tcPr>
          <w:p>
            <w:pPr>
              <w:pStyle w:val="TableParagraph"/>
              <w:spacing w:line="362" w:lineRule="auto"/>
              <w:ind w:left="488" w:right="151" w:hanging="320"/>
              <w:rPr>
                <w:sz w:val="18"/>
              </w:rPr>
            </w:pPr>
            <w:r>
              <w:rPr>
                <w:sz w:val="18"/>
              </w:rPr>
              <w:t>Extensión para los programas de modelado Bonzai3d y FormZ, de auto DesSys</w:t>
            </w:r>
          </w:p>
        </w:tc>
      </w:tr>
      <w:tr>
        <w:trPr>
          <w:trHeight w:val="632" w:hRule="exact"/>
        </w:trPr>
        <w:tc>
          <w:tcPr>
            <w:tcW w:w="2245" w:type="dxa"/>
            <w:vMerge/>
          </w:tcPr>
          <w:p>
            <w:pPr/>
          </w:p>
        </w:tc>
        <w:tc>
          <w:tcPr>
            <w:tcW w:w="1976" w:type="dxa"/>
          </w:tcPr>
          <w:p>
            <w:pPr>
              <w:pStyle w:val="TableParagraph"/>
              <w:spacing w:line="357" w:lineRule="auto"/>
              <w:ind w:left="547" w:right="365" w:hanging="164"/>
              <w:rPr>
                <w:sz w:val="18"/>
              </w:rPr>
            </w:pPr>
            <w:r>
              <w:rPr>
                <w:sz w:val="18"/>
              </w:rPr>
              <w:t>Robert McNeel Associates</w:t>
            </w:r>
          </w:p>
        </w:tc>
        <w:tc>
          <w:tcPr>
            <w:tcW w:w="3830" w:type="dxa"/>
          </w:tcPr>
          <w:p>
            <w:pPr>
              <w:pStyle w:val="TableParagraph"/>
              <w:spacing w:line="357" w:lineRule="auto"/>
              <w:ind w:left="264" w:right="157" w:hanging="92"/>
              <w:rPr>
                <w:sz w:val="18"/>
              </w:rPr>
            </w:pPr>
            <w:r>
              <w:rPr>
                <w:sz w:val="18"/>
              </w:rPr>
              <w:t>Flamingo3d: extensión de renderizado para el programa de modelado Rhinoceros 3D</w:t>
            </w:r>
          </w:p>
        </w:tc>
      </w:tr>
      <w:tr>
        <w:trPr>
          <w:trHeight w:val="632" w:hRule="exact"/>
        </w:trPr>
        <w:tc>
          <w:tcPr>
            <w:tcW w:w="2245" w:type="dxa"/>
            <w:vMerge/>
          </w:tcPr>
          <w:p>
            <w:pPr/>
          </w:p>
        </w:tc>
        <w:tc>
          <w:tcPr>
            <w:tcW w:w="1976" w:type="dxa"/>
          </w:tcPr>
          <w:p>
            <w:pPr>
              <w:pStyle w:val="TableParagraph"/>
              <w:spacing w:line="199" w:lineRule="exact"/>
              <w:ind w:left="97" w:right="99"/>
              <w:jc w:val="center"/>
              <w:rPr>
                <w:sz w:val="18"/>
              </w:rPr>
            </w:pPr>
            <w:r>
              <w:rPr>
                <w:sz w:val="18"/>
              </w:rPr>
              <w:t>Sitex Graphics</w:t>
            </w:r>
          </w:p>
        </w:tc>
        <w:tc>
          <w:tcPr>
            <w:tcW w:w="3830" w:type="dxa"/>
          </w:tcPr>
          <w:p>
            <w:pPr>
              <w:pStyle w:val="TableParagraph"/>
              <w:spacing w:line="362" w:lineRule="auto"/>
              <w:ind w:left="1220" w:right="181" w:hanging="1021"/>
              <w:rPr>
                <w:sz w:val="18"/>
              </w:rPr>
            </w:pPr>
            <w:r>
              <w:rPr>
                <w:sz w:val="18"/>
              </w:rPr>
              <w:t>Air: extensión para Maya, Rhinoceros 3D y cinema 4D Prime</w:t>
            </w:r>
          </w:p>
        </w:tc>
      </w:tr>
      <w:tr>
        <w:trPr>
          <w:trHeight w:val="941" w:hRule="exact"/>
        </w:trPr>
        <w:tc>
          <w:tcPr>
            <w:tcW w:w="2245" w:type="dxa"/>
            <w:vMerge/>
          </w:tcPr>
          <w:p>
            <w:pPr/>
          </w:p>
        </w:tc>
        <w:tc>
          <w:tcPr>
            <w:tcW w:w="1976" w:type="dxa"/>
          </w:tcPr>
          <w:p>
            <w:pPr>
              <w:pStyle w:val="TableParagraph"/>
              <w:spacing w:before="4"/>
              <w:rPr>
                <w:sz w:val="26"/>
              </w:rPr>
            </w:pPr>
          </w:p>
          <w:p>
            <w:pPr>
              <w:pStyle w:val="TableParagraph"/>
              <w:spacing w:line="357" w:lineRule="auto"/>
              <w:ind w:left="447" w:right="430" w:firstLine="188"/>
              <w:rPr>
                <w:sz w:val="18"/>
              </w:rPr>
            </w:pPr>
            <w:r>
              <w:rPr>
                <w:sz w:val="18"/>
              </w:rPr>
              <w:t>Solid Iris Technologies</w:t>
            </w:r>
          </w:p>
        </w:tc>
        <w:tc>
          <w:tcPr>
            <w:tcW w:w="3830" w:type="dxa"/>
          </w:tcPr>
          <w:p>
            <w:pPr>
              <w:pStyle w:val="TableParagraph"/>
              <w:spacing w:line="360" w:lineRule="auto"/>
              <w:ind w:left="112" w:right="111" w:firstLine="5"/>
              <w:jc w:val="center"/>
              <w:rPr>
                <w:sz w:val="18"/>
              </w:rPr>
            </w:pPr>
            <w:r>
              <w:rPr>
                <w:sz w:val="18"/>
              </w:rPr>
              <w:t>Thea Render: renderizador autónomo y también extensión para algunos paquetes de modelado 3D muy usados</w:t>
            </w:r>
          </w:p>
        </w:tc>
      </w:tr>
      <w:tr>
        <w:trPr>
          <w:trHeight w:val="632" w:hRule="exact"/>
        </w:trPr>
        <w:tc>
          <w:tcPr>
            <w:tcW w:w="2245" w:type="dxa"/>
            <w:vMerge/>
          </w:tcPr>
          <w:p>
            <w:pPr/>
          </w:p>
        </w:tc>
        <w:tc>
          <w:tcPr>
            <w:tcW w:w="1976" w:type="dxa"/>
          </w:tcPr>
          <w:p>
            <w:pPr>
              <w:pStyle w:val="TableParagraph"/>
              <w:spacing w:before="4"/>
              <w:rPr>
                <w:sz w:val="26"/>
              </w:rPr>
            </w:pPr>
          </w:p>
          <w:p>
            <w:pPr>
              <w:pStyle w:val="TableParagraph"/>
              <w:ind w:left="98" w:right="98"/>
              <w:jc w:val="center"/>
              <w:rPr>
                <w:sz w:val="18"/>
              </w:rPr>
            </w:pPr>
            <w:r>
              <w:rPr>
                <w:sz w:val="18"/>
              </w:rPr>
              <w:t>Splutter Fish</w:t>
            </w:r>
          </w:p>
        </w:tc>
        <w:tc>
          <w:tcPr>
            <w:tcW w:w="3830" w:type="dxa"/>
          </w:tcPr>
          <w:p>
            <w:pPr>
              <w:pStyle w:val="TableParagraph"/>
              <w:spacing w:line="362" w:lineRule="auto"/>
              <w:ind w:left="332" w:right="317" w:firstLine="120"/>
              <w:rPr>
                <w:sz w:val="18"/>
              </w:rPr>
            </w:pPr>
            <w:r>
              <w:rPr>
                <w:sz w:val="18"/>
              </w:rPr>
              <w:t>Brazil: renderizador disponible como extensión para 3dMax y Rihnoceros 3D</w:t>
            </w:r>
          </w:p>
        </w:tc>
      </w:tr>
      <w:tr>
        <w:trPr>
          <w:trHeight w:val="316" w:hRule="exact"/>
        </w:trPr>
        <w:tc>
          <w:tcPr>
            <w:tcW w:w="2245" w:type="dxa"/>
          </w:tcPr>
          <w:p>
            <w:pPr/>
          </w:p>
        </w:tc>
        <w:tc>
          <w:tcPr>
            <w:tcW w:w="1976" w:type="dxa"/>
          </w:tcPr>
          <w:p>
            <w:pPr/>
          </w:p>
        </w:tc>
        <w:tc>
          <w:tcPr>
            <w:tcW w:w="3830" w:type="dxa"/>
          </w:tcPr>
          <w:p>
            <w:pPr>
              <w:pStyle w:val="TableParagraph"/>
              <w:spacing w:line="199" w:lineRule="exact"/>
              <w:ind w:left="89" w:right="89"/>
              <w:jc w:val="center"/>
              <w:rPr>
                <w:sz w:val="18"/>
              </w:rPr>
            </w:pPr>
            <w:r>
              <w:rPr>
                <w:sz w:val="18"/>
              </w:rPr>
              <w:t>Renderizador gratuito, autónomo o extensión</w:t>
            </w:r>
          </w:p>
        </w:tc>
      </w:tr>
    </w:tbl>
    <w:p>
      <w:pPr>
        <w:spacing w:after="0" w:line="199" w:lineRule="exact"/>
        <w:jc w:val="center"/>
        <w:rPr>
          <w:sz w:val="18"/>
        </w:rPr>
        <w:sectPr>
          <w:pgSz w:w="12240" w:h="15840"/>
          <w:pgMar w:header="0" w:footer="1031" w:top="1420" w:bottom="1160" w:left="1600" w:right="1720"/>
        </w:sectPr>
      </w:pPr>
    </w:p>
    <w:tbl>
      <w:tblPr>
        <w:tblW w:w="0" w:type="auto"/>
        <w:jc w:val="left"/>
        <w:tblInd w:w="372"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245"/>
        <w:gridCol w:w="1976"/>
        <w:gridCol w:w="3830"/>
      </w:tblGrid>
      <w:tr>
        <w:trPr>
          <w:trHeight w:val="324" w:hRule="exact"/>
        </w:trPr>
        <w:tc>
          <w:tcPr>
            <w:tcW w:w="2245" w:type="dxa"/>
            <w:vMerge w:val="restart"/>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8"/>
              <w:rPr>
                <w:sz w:val="26"/>
              </w:rPr>
            </w:pPr>
          </w:p>
          <w:p>
            <w:pPr>
              <w:pStyle w:val="TableParagraph"/>
              <w:ind w:left="111"/>
              <w:rPr>
                <w:sz w:val="18"/>
              </w:rPr>
            </w:pPr>
            <w:r>
              <w:rPr>
                <w:sz w:val="18"/>
              </w:rPr>
              <w:t>Renderizadores gratuitos</w:t>
            </w:r>
          </w:p>
        </w:tc>
        <w:tc>
          <w:tcPr>
            <w:tcW w:w="1976" w:type="dxa"/>
          </w:tcPr>
          <w:p>
            <w:pPr>
              <w:pStyle w:val="TableParagraph"/>
              <w:spacing w:line="203" w:lineRule="exact"/>
              <w:ind w:left="98" w:right="95"/>
              <w:jc w:val="center"/>
              <w:rPr>
                <w:sz w:val="18"/>
              </w:rPr>
            </w:pPr>
            <w:r>
              <w:rPr>
                <w:sz w:val="18"/>
              </w:rPr>
              <w:t>3Delight Studio Pro</w:t>
            </w:r>
          </w:p>
        </w:tc>
        <w:tc>
          <w:tcPr>
            <w:tcW w:w="3830" w:type="dxa"/>
          </w:tcPr>
          <w:p>
            <w:pPr>
              <w:pStyle w:val="TableParagraph"/>
              <w:spacing w:line="203" w:lineRule="exact"/>
              <w:ind w:left="89" w:right="89"/>
              <w:jc w:val="center"/>
              <w:rPr>
                <w:sz w:val="18"/>
              </w:rPr>
            </w:pPr>
            <w:r>
              <w:rPr>
                <w:sz w:val="18"/>
              </w:rPr>
              <w:t>de Autodesk Maya o de Autodesk Softimage</w:t>
            </w:r>
          </w:p>
        </w:tc>
      </w:tr>
      <w:tr>
        <w:trPr>
          <w:trHeight w:val="320" w:hRule="exact"/>
        </w:trPr>
        <w:tc>
          <w:tcPr>
            <w:tcW w:w="2245" w:type="dxa"/>
            <w:vMerge/>
          </w:tcPr>
          <w:p>
            <w:pPr/>
          </w:p>
        </w:tc>
        <w:tc>
          <w:tcPr>
            <w:tcW w:w="1976" w:type="dxa"/>
          </w:tcPr>
          <w:p>
            <w:pPr>
              <w:pStyle w:val="TableParagraph"/>
              <w:spacing w:line="198" w:lineRule="exact"/>
              <w:ind w:left="98" w:right="97"/>
              <w:jc w:val="center"/>
              <w:rPr>
                <w:sz w:val="18"/>
              </w:rPr>
            </w:pPr>
            <w:r>
              <w:rPr>
                <w:sz w:val="18"/>
              </w:rPr>
              <w:t>Aqsis</w:t>
            </w:r>
          </w:p>
        </w:tc>
        <w:tc>
          <w:tcPr>
            <w:tcW w:w="3830" w:type="dxa"/>
          </w:tcPr>
          <w:p>
            <w:pPr>
              <w:pStyle w:val="TableParagraph"/>
              <w:spacing w:line="198" w:lineRule="exact"/>
              <w:jc w:val="center"/>
              <w:rPr>
                <w:sz w:val="18"/>
              </w:rPr>
            </w:pPr>
            <w:r>
              <w:rPr>
                <w:w w:val="99"/>
                <w:sz w:val="18"/>
              </w:rPr>
              <w:t>-</w:t>
            </w:r>
          </w:p>
        </w:tc>
      </w:tr>
      <w:tr>
        <w:trPr>
          <w:trHeight w:val="628" w:hRule="exact"/>
        </w:trPr>
        <w:tc>
          <w:tcPr>
            <w:tcW w:w="2245" w:type="dxa"/>
            <w:vMerge/>
          </w:tcPr>
          <w:p>
            <w:pPr/>
          </w:p>
        </w:tc>
        <w:tc>
          <w:tcPr>
            <w:tcW w:w="1976" w:type="dxa"/>
          </w:tcPr>
          <w:p>
            <w:pPr>
              <w:pStyle w:val="TableParagraph"/>
              <w:spacing w:before="4"/>
              <w:rPr>
                <w:sz w:val="26"/>
              </w:rPr>
            </w:pPr>
          </w:p>
          <w:p>
            <w:pPr>
              <w:pStyle w:val="TableParagraph"/>
              <w:ind w:left="98" w:right="95"/>
              <w:jc w:val="center"/>
              <w:rPr>
                <w:sz w:val="18"/>
              </w:rPr>
            </w:pPr>
            <w:r>
              <w:rPr>
                <w:sz w:val="18"/>
              </w:rPr>
              <w:t>ArtsVPS</w:t>
            </w:r>
          </w:p>
        </w:tc>
        <w:tc>
          <w:tcPr>
            <w:tcW w:w="3830" w:type="dxa"/>
          </w:tcPr>
          <w:p>
            <w:pPr>
              <w:pStyle w:val="TableParagraph"/>
              <w:spacing w:line="362" w:lineRule="auto"/>
              <w:ind w:left="1048" w:right="170" w:hanging="869"/>
              <w:rPr>
                <w:sz w:val="18"/>
              </w:rPr>
            </w:pPr>
            <w:r>
              <w:rPr>
                <w:sz w:val="18"/>
              </w:rPr>
              <w:t>Shaderlight (extensión de renderizado para SketchUp de Google)</w:t>
            </w:r>
          </w:p>
        </w:tc>
      </w:tr>
      <w:tr>
        <w:trPr>
          <w:trHeight w:val="633" w:hRule="exact"/>
        </w:trPr>
        <w:tc>
          <w:tcPr>
            <w:tcW w:w="2245" w:type="dxa"/>
            <w:vMerge/>
          </w:tcPr>
          <w:p>
            <w:pPr/>
          </w:p>
        </w:tc>
        <w:tc>
          <w:tcPr>
            <w:tcW w:w="1976" w:type="dxa"/>
          </w:tcPr>
          <w:p>
            <w:pPr>
              <w:pStyle w:val="TableParagraph"/>
              <w:spacing w:before="9"/>
              <w:rPr>
                <w:sz w:val="26"/>
              </w:rPr>
            </w:pPr>
          </w:p>
          <w:p>
            <w:pPr>
              <w:pStyle w:val="TableParagraph"/>
              <w:ind w:left="93" w:right="99"/>
              <w:jc w:val="center"/>
              <w:rPr>
                <w:sz w:val="18"/>
              </w:rPr>
            </w:pPr>
            <w:r>
              <w:rPr>
                <w:sz w:val="18"/>
              </w:rPr>
              <w:t>Freestyle</w:t>
            </w:r>
          </w:p>
        </w:tc>
        <w:tc>
          <w:tcPr>
            <w:tcW w:w="3830" w:type="dxa"/>
          </w:tcPr>
          <w:p>
            <w:pPr>
              <w:pStyle w:val="TableParagraph"/>
              <w:spacing w:line="362" w:lineRule="auto"/>
              <w:ind w:left="400" w:right="97" w:hanging="288"/>
              <w:rPr>
                <w:sz w:val="18"/>
              </w:rPr>
            </w:pPr>
            <w:r>
              <w:rPr>
                <w:sz w:val="18"/>
              </w:rPr>
              <w:t>Crea bocetos e ilustraciones técnicas a partir de modelos 3D para Windows y Linux</w:t>
            </w:r>
          </w:p>
        </w:tc>
      </w:tr>
      <w:tr>
        <w:trPr>
          <w:trHeight w:val="320" w:hRule="exact"/>
        </w:trPr>
        <w:tc>
          <w:tcPr>
            <w:tcW w:w="2245" w:type="dxa"/>
            <w:vMerge/>
          </w:tcPr>
          <w:p>
            <w:pPr/>
          </w:p>
        </w:tc>
        <w:tc>
          <w:tcPr>
            <w:tcW w:w="1976" w:type="dxa"/>
          </w:tcPr>
          <w:p>
            <w:pPr>
              <w:pStyle w:val="TableParagraph"/>
              <w:spacing w:line="203" w:lineRule="exact"/>
              <w:ind w:left="93" w:right="99"/>
              <w:jc w:val="center"/>
              <w:rPr>
                <w:sz w:val="18"/>
              </w:rPr>
            </w:pPr>
            <w:r>
              <w:rPr>
                <w:sz w:val="18"/>
              </w:rPr>
              <w:t>Kerkythea</w:t>
            </w:r>
          </w:p>
        </w:tc>
        <w:tc>
          <w:tcPr>
            <w:tcW w:w="3830" w:type="dxa"/>
          </w:tcPr>
          <w:p>
            <w:pPr>
              <w:pStyle w:val="TableParagraph"/>
              <w:spacing w:line="203" w:lineRule="exact"/>
              <w:ind w:left="143" w:right="140"/>
              <w:jc w:val="center"/>
              <w:rPr>
                <w:sz w:val="18"/>
              </w:rPr>
            </w:pPr>
            <w:r>
              <w:rPr>
                <w:sz w:val="18"/>
              </w:rPr>
              <w:t>Renderizador autónomo gratuito</w:t>
            </w:r>
          </w:p>
        </w:tc>
      </w:tr>
      <w:tr>
        <w:trPr>
          <w:trHeight w:val="1252" w:hRule="exact"/>
        </w:trPr>
        <w:tc>
          <w:tcPr>
            <w:tcW w:w="2245" w:type="dxa"/>
            <w:vMerge/>
          </w:tcPr>
          <w:p>
            <w:pPr/>
          </w:p>
        </w:tc>
        <w:tc>
          <w:tcPr>
            <w:tcW w:w="1976" w:type="dxa"/>
          </w:tcPr>
          <w:p>
            <w:pPr>
              <w:pStyle w:val="TableParagraph"/>
              <w:rPr>
                <w:sz w:val="18"/>
              </w:rPr>
            </w:pPr>
          </w:p>
          <w:p>
            <w:pPr>
              <w:pStyle w:val="TableParagraph"/>
              <w:rPr>
                <w:sz w:val="18"/>
              </w:rPr>
            </w:pPr>
          </w:p>
          <w:p>
            <w:pPr>
              <w:pStyle w:val="TableParagraph"/>
              <w:spacing w:before="6"/>
              <w:rPr>
                <w:sz w:val="17"/>
              </w:rPr>
            </w:pPr>
          </w:p>
          <w:p>
            <w:pPr>
              <w:pStyle w:val="TableParagraph"/>
              <w:ind w:left="97" w:right="99"/>
              <w:jc w:val="center"/>
              <w:rPr>
                <w:sz w:val="18"/>
              </w:rPr>
            </w:pPr>
            <w:r>
              <w:rPr>
                <w:sz w:val="18"/>
              </w:rPr>
              <w:t>LuxRender</w:t>
            </w:r>
          </w:p>
        </w:tc>
        <w:tc>
          <w:tcPr>
            <w:tcW w:w="3830" w:type="dxa"/>
          </w:tcPr>
          <w:p>
            <w:pPr>
              <w:pStyle w:val="TableParagraph"/>
              <w:spacing w:line="360" w:lineRule="auto"/>
              <w:ind w:left="140" w:right="147" w:firstLine="6"/>
              <w:jc w:val="center"/>
              <w:rPr>
                <w:sz w:val="18"/>
              </w:rPr>
            </w:pPr>
            <w:r>
              <w:rPr>
                <w:sz w:val="18"/>
              </w:rPr>
              <w:t>Renderizador autónomo gratuito, también como extensión para Blender, Autodesk 3ds Max, SketchUp, Cinema 4D, Daz Studio, Softimage</w:t>
            </w:r>
          </w:p>
        </w:tc>
      </w:tr>
      <w:tr>
        <w:trPr>
          <w:trHeight w:val="3117" w:hRule="exact"/>
        </w:trPr>
        <w:tc>
          <w:tcPr>
            <w:tcW w:w="2245" w:type="dxa"/>
            <w:vMerge/>
          </w:tcPr>
          <w:p>
            <w:pPr/>
          </w:p>
        </w:tc>
        <w:tc>
          <w:tcPr>
            <w:tcW w:w="1976"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7"/>
              <w:rPr>
                <w:sz w:val="26"/>
              </w:rPr>
            </w:pPr>
          </w:p>
          <w:p>
            <w:pPr>
              <w:pStyle w:val="TableParagraph"/>
              <w:ind w:left="97" w:right="99"/>
              <w:jc w:val="center"/>
              <w:rPr>
                <w:sz w:val="18"/>
              </w:rPr>
            </w:pPr>
            <w:r>
              <w:rPr>
                <w:sz w:val="18"/>
              </w:rPr>
              <w:t>Motiva</w:t>
            </w:r>
          </w:p>
        </w:tc>
        <w:tc>
          <w:tcPr>
            <w:tcW w:w="3830" w:type="dxa"/>
          </w:tcPr>
          <w:p>
            <w:pPr>
              <w:pStyle w:val="TableParagraph"/>
              <w:spacing w:line="360" w:lineRule="auto"/>
              <w:ind w:left="142" w:right="144"/>
              <w:jc w:val="center"/>
              <w:rPr>
                <w:sz w:val="18"/>
              </w:rPr>
            </w:pPr>
            <w:r>
              <w:rPr>
                <w:sz w:val="18"/>
              </w:rPr>
              <w:t>Motiva SOAP: software de postproducción para cambiar colores, materiales e iluminación después de renderizar una escena</w:t>
            </w:r>
          </w:p>
          <w:p>
            <w:pPr>
              <w:pStyle w:val="TableParagraph"/>
              <w:spacing w:line="360" w:lineRule="auto"/>
              <w:ind w:left="172" w:right="174" w:firstLine="2"/>
              <w:jc w:val="center"/>
              <w:rPr>
                <w:sz w:val="18"/>
              </w:rPr>
            </w:pPr>
            <w:r>
              <w:rPr>
                <w:sz w:val="18"/>
              </w:rPr>
              <w:t>Motiva RealCamera: software gratuito de postproducción para cambiar efectos de cámara después de renderizar una escena Material Convertor: convierte los materiales y trasnporta escenas entre diversos paquetes de renderizado de uso común</w:t>
            </w:r>
          </w:p>
        </w:tc>
      </w:tr>
      <w:tr>
        <w:trPr>
          <w:trHeight w:val="320" w:hRule="exact"/>
        </w:trPr>
        <w:tc>
          <w:tcPr>
            <w:tcW w:w="2245" w:type="dxa"/>
            <w:vMerge/>
          </w:tcPr>
          <w:p>
            <w:pPr/>
          </w:p>
        </w:tc>
        <w:tc>
          <w:tcPr>
            <w:tcW w:w="1976" w:type="dxa"/>
          </w:tcPr>
          <w:p>
            <w:pPr>
              <w:pStyle w:val="TableParagraph"/>
              <w:spacing w:line="199" w:lineRule="exact"/>
              <w:ind w:left="98" w:right="98"/>
              <w:jc w:val="center"/>
              <w:rPr>
                <w:sz w:val="18"/>
              </w:rPr>
            </w:pPr>
            <w:r>
              <w:rPr>
                <w:sz w:val="18"/>
              </w:rPr>
              <w:t>NVidia Gelato</w:t>
            </w:r>
          </w:p>
        </w:tc>
        <w:tc>
          <w:tcPr>
            <w:tcW w:w="3830" w:type="dxa"/>
          </w:tcPr>
          <w:p>
            <w:pPr>
              <w:pStyle w:val="TableParagraph"/>
              <w:spacing w:line="199" w:lineRule="exact"/>
              <w:ind w:left="143" w:right="143"/>
              <w:jc w:val="center"/>
              <w:rPr>
                <w:sz w:val="18"/>
              </w:rPr>
            </w:pPr>
            <w:r>
              <w:rPr>
                <w:sz w:val="18"/>
              </w:rPr>
              <w:t>Renderizador gratuito</w:t>
            </w:r>
          </w:p>
        </w:tc>
      </w:tr>
      <w:tr>
        <w:trPr>
          <w:trHeight w:val="320" w:hRule="exact"/>
        </w:trPr>
        <w:tc>
          <w:tcPr>
            <w:tcW w:w="2245" w:type="dxa"/>
            <w:vMerge/>
          </w:tcPr>
          <w:p>
            <w:pPr/>
          </w:p>
        </w:tc>
        <w:tc>
          <w:tcPr>
            <w:tcW w:w="1976" w:type="dxa"/>
          </w:tcPr>
          <w:p>
            <w:pPr>
              <w:pStyle w:val="TableParagraph"/>
              <w:spacing w:line="203" w:lineRule="exact"/>
              <w:ind w:left="97" w:right="99"/>
              <w:jc w:val="center"/>
              <w:rPr>
                <w:sz w:val="18"/>
              </w:rPr>
            </w:pPr>
            <w:r>
              <w:rPr>
                <w:sz w:val="18"/>
              </w:rPr>
              <w:t>Pixie</w:t>
            </w:r>
          </w:p>
        </w:tc>
        <w:tc>
          <w:tcPr>
            <w:tcW w:w="3830" w:type="dxa"/>
          </w:tcPr>
          <w:p>
            <w:pPr>
              <w:pStyle w:val="TableParagraph"/>
              <w:spacing w:line="203" w:lineRule="exact"/>
              <w:ind w:left="143" w:right="143"/>
              <w:jc w:val="center"/>
              <w:rPr>
                <w:sz w:val="18"/>
              </w:rPr>
            </w:pPr>
            <w:r>
              <w:rPr>
                <w:sz w:val="18"/>
              </w:rPr>
              <w:t>Renderizador gratuito</w:t>
            </w:r>
          </w:p>
        </w:tc>
      </w:tr>
      <w:tr>
        <w:trPr>
          <w:trHeight w:val="320" w:hRule="exact"/>
        </w:trPr>
        <w:tc>
          <w:tcPr>
            <w:tcW w:w="2245" w:type="dxa"/>
            <w:vMerge/>
          </w:tcPr>
          <w:p>
            <w:pPr/>
          </w:p>
        </w:tc>
        <w:tc>
          <w:tcPr>
            <w:tcW w:w="1976" w:type="dxa"/>
            <w:tcBorders>
              <w:bottom w:val="single" w:sz="3" w:space="0" w:color="000000"/>
            </w:tcBorders>
          </w:tcPr>
          <w:p>
            <w:pPr>
              <w:pStyle w:val="TableParagraph"/>
              <w:spacing w:line="203" w:lineRule="exact"/>
              <w:ind w:left="98" w:right="97"/>
              <w:jc w:val="center"/>
              <w:rPr>
                <w:sz w:val="18"/>
              </w:rPr>
            </w:pPr>
            <w:r>
              <w:rPr>
                <w:sz w:val="18"/>
              </w:rPr>
              <w:t>Povray</w:t>
            </w:r>
          </w:p>
        </w:tc>
        <w:tc>
          <w:tcPr>
            <w:tcW w:w="3830" w:type="dxa"/>
            <w:tcBorders>
              <w:bottom w:val="single" w:sz="3" w:space="0" w:color="000000"/>
            </w:tcBorders>
          </w:tcPr>
          <w:p>
            <w:pPr>
              <w:pStyle w:val="TableParagraph"/>
              <w:spacing w:line="203" w:lineRule="exact"/>
              <w:ind w:left="87" w:right="89"/>
              <w:jc w:val="center"/>
              <w:rPr>
                <w:sz w:val="18"/>
              </w:rPr>
            </w:pPr>
            <w:r>
              <w:rPr>
                <w:sz w:val="18"/>
              </w:rPr>
              <w:t>Renderizador gratuito de línea de comandos</w:t>
            </w:r>
          </w:p>
        </w:tc>
      </w:tr>
      <w:tr>
        <w:trPr>
          <w:trHeight w:val="632" w:hRule="exact"/>
        </w:trPr>
        <w:tc>
          <w:tcPr>
            <w:tcW w:w="2245" w:type="dxa"/>
            <w:vMerge/>
          </w:tcPr>
          <w:p>
            <w:pPr/>
          </w:p>
        </w:tc>
        <w:tc>
          <w:tcPr>
            <w:tcW w:w="1976" w:type="dxa"/>
            <w:tcBorders>
              <w:top w:val="single" w:sz="3" w:space="0" w:color="000000"/>
            </w:tcBorders>
          </w:tcPr>
          <w:p>
            <w:pPr>
              <w:pStyle w:val="TableParagraph"/>
              <w:spacing w:line="203" w:lineRule="exact"/>
              <w:ind w:left="98" w:right="97"/>
              <w:jc w:val="center"/>
              <w:rPr>
                <w:sz w:val="18"/>
              </w:rPr>
            </w:pPr>
            <w:r>
              <w:rPr>
                <w:sz w:val="18"/>
              </w:rPr>
              <w:t>Yafray</w:t>
            </w:r>
          </w:p>
        </w:tc>
        <w:tc>
          <w:tcPr>
            <w:tcW w:w="3830" w:type="dxa"/>
            <w:tcBorders>
              <w:top w:val="single" w:sz="3" w:space="0" w:color="000000"/>
            </w:tcBorders>
          </w:tcPr>
          <w:p>
            <w:pPr>
              <w:pStyle w:val="TableParagraph"/>
              <w:spacing w:line="357" w:lineRule="auto"/>
              <w:ind w:left="1580" w:right="270" w:hanging="1301"/>
              <w:rPr>
                <w:sz w:val="18"/>
              </w:rPr>
            </w:pPr>
            <w:r>
              <w:rPr>
                <w:sz w:val="18"/>
              </w:rPr>
              <w:t>Renderizador gratuito con integración de mezclas</w:t>
            </w:r>
          </w:p>
        </w:tc>
      </w:tr>
      <w:tr>
        <w:trPr>
          <w:trHeight w:val="632" w:hRule="exact"/>
        </w:trPr>
        <w:tc>
          <w:tcPr>
            <w:tcW w:w="2245" w:type="dxa"/>
            <w:vMerge w:val="restart"/>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7"/>
              <w:rPr>
                <w:sz w:val="17"/>
              </w:rPr>
            </w:pPr>
          </w:p>
          <w:p>
            <w:pPr>
              <w:pStyle w:val="TableParagraph"/>
              <w:spacing w:line="357" w:lineRule="auto" w:before="1"/>
              <w:ind w:left="620" w:right="101" w:hanging="505"/>
              <w:rPr>
                <w:sz w:val="18"/>
              </w:rPr>
            </w:pPr>
            <w:r>
              <w:rPr>
                <w:sz w:val="18"/>
              </w:rPr>
              <w:t>Programas de animación y simulación</w:t>
            </w:r>
          </w:p>
        </w:tc>
        <w:tc>
          <w:tcPr>
            <w:tcW w:w="1976" w:type="dxa"/>
          </w:tcPr>
          <w:p>
            <w:pPr>
              <w:pStyle w:val="TableParagraph"/>
              <w:spacing w:line="203" w:lineRule="exact"/>
              <w:ind w:left="98" w:right="99"/>
              <w:jc w:val="center"/>
              <w:rPr>
                <w:sz w:val="18"/>
              </w:rPr>
            </w:pPr>
            <w:r>
              <w:rPr>
                <w:sz w:val="18"/>
              </w:rPr>
              <w:t>Dassault Systémes</w:t>
            </w:r>
          </w:p>
        </w:tc>
        <w:tc>
          <w:tcPr>
            <w:tcW w:w="3830" w:type="dxa"/>
          </w:tcPr>
          <w:p>
            <w:pPr>
              <w:pStyle w:val="TableParagraph"/>
              <w:spacing w:line="357" w:lineRule="auto"/>
              <w:ind w:left="888" w:right="190" w:hanging="689"/>
              <w:rPr>
                <w:sz w:val="18"/>
              </w:rPr>
            </w:pPr>
            <w:r>
              <w:rPr>
                <w:sz w:val="18"/>
              </w:rPr>
              <w:t>3DVIA Studio Pro: autoría y publicación de simulaciones 3D realistas</w:t>
            </w:r>
          </w:p>
        </w:tc>
      </w:tr>
      <w:tr>
        <w:trPr>
          <w:trHeight w:val="320" w:hRule="exact"/>
        </w:trPr>
        <w:tc>
          <w:tcPr>
            <w:tcW w:w="2245" w:type="dxa"/>
            <w:vMerge/>
          </w:tcPr>
          <w:p>
            <w:pPr/>
          </w:p>
        </w:tc>
        <w:tc>
          <w:tcPr>
            <w:tcW w:w="1976" w:type="dxa"/>
          </w:tcPr>
          <w:p>
            <w:pPr>
              <w:pStyle w:val="TableParagraph"/>
              <w:spacing w:line="199" w:lineRule="exact"/>
              <w:ind w:left="98" w:right="97"/>
              <w:jc w:val="center"/>
              <w:rPr>
                <w:sz w:val="18"/>
              </w:rPr>
            </w:pPr>
            <w:r>
              <w:rPr>
                <w:sz w:val="18"/>
              </w:rPr>
              <w:t>eias3D</w:t>
            </w:r>
          </w:p>
        </w:tc>
        <w:tc>
          <w:tcPr>
            <w:tcW w:w="3830" w:type="dxa"/>
          </w:tcPr>
          <w:p>
            <w:pPr>
              <w:pStyle w:val="TableParagraph"/>
              <w:spacing w:line="199" w:lineRule="exact"/>
              <w:ind w:left="136" w:right="144"/>
              <w:jc w:val="center"/>
              <w:rPr>
                <w:sz w:val="18"/>
              </w:rPr>
            </w:pPr>
            <w:r>
              <w:rPr>
                <w:sz w:val="18"/>
              </w:rPr>
              <w:t>(paquete de animación y renderizado)</w:t>
            </w:r>
          </w:p>
        </w:tc>
      </w:tr>
      <w:tr>
        <w:trPr>
          <w:trHeight w:val="320" w:hRule="exact"/>
        </w:trPr>
        <w:tc>
          <w:tcPr>
            <w:tcW w:w="2245" w:type="dxa"/>
            <w:vMerge/>
          </w:tcPr>
          <w:p>
            <w:pPr/>
          </w:p>
        </w:tc>
        <w:tc>
          <w:tcPr>
            <w:tcW w:w="1976" w:type="dxa"/>
          </w:tcPr>
          <w:p>
            <w:pPr>
              <w:pStyle w:val="TableParagraph"/>
              <w:spacing w:line="199" w:lineRule="exact"/>
              <w:ind w:left="97" w:right="99"/>
              <w:jc w:val="center"/>
              <w:rPr>
                <w:sz w:val="18"/>
              </w:rPr>
            </w:pPr>
            <w:r>
              <w:rPr>
                <w:sz w:val="18"/>
              </w:rPr>
              <w:t>Hash</w:t>
            </w:r>
          </w:p>
        </w:tc>
        <w:tc>
          <w:tcPr>
            <w:tcW w:w="3830" w:type="dxa"/>
          </w:tcPr>
          <w:p>
            <w:pPr>
              <w:pStyle w:val="TableParagraph"/>
              <w:spacing w:line="199" w:lineRule="exact"/>
              <w:ind w:left="143" w:right="142"/>
              <w:jc w:val="center"/>
              <w:rPr>
                <w:sz w:val="18"/>
              </w:rPr>
            </w:pPr>
            <w:r>
              <w:rPr>
                <w:sz w:val="18"/>
              </w:rPr>
              <w:t>Animation: Master modelado y animación</w:t>
            </w:r>
          </w:p>
        </w:tc>
      </w:tr>
      <w:tr>
        <w:trPr>
          <w:trHeight w:val="633" w:hRule="exact"/>
        </w:trPr>
        <w:tc>
          <w:tcPr>
            <w:tcW w:w="2245" w:type="dxa"/>
            <w:vMerge/>
          </w:tcPr>
          <w:p>
            <w:pPr/>
          </w:p>
        </w:tc>
        <w:tc>
          <w:tcPr>
            <w:tcW w:w="1976" w:type="dxa"/>
          </w:tcPr>
          <w:p>
            <w:pPr>
              <w:pStyle w:val="TableParagraph"/>
              <w:spacing w:line="203" w:lineRule="exact"/>
              <w:ind w:left="93" w:right="99"/>
              <w:jc w:val="center"/>
              <w:rPr>
                <w:sz w:val="18"/>
              </w:rPr>
            </w:pPr>
            <w:r>
              <w:rPr>
                <w:sz w:val="18"/>
              </w:rPr>
              <w:t>Maxon</w:t>
            </w:r>
          </w:p>
        </w:tc>
        <w:tc>
          <w:tcPr>
            <w:tcW w:w="3830" w:type="dxa"/>
          </w:tcPr>
          <w:p>
            <w:pPr>
              <w:pStyle w:val="TableParagraph"/>
              <w:spacing w:line="357" w:lineRule="auto"/>
              <w:ind w:left="1032" w:right="285" w:hanging="737"/>
              <w:rPr>
                <w:sz w:val="18"/>
              </w:rPr>
            </w:pPr>
            <w:r>
              <w:rPr>
                <w:sz w:val="18"/>
              </w:rPr>
              <w:t>Cinema 4D Broadcast: dirigido a artistas gráficos de animación</w:t>
            </w:r>
          </w:p>
        </w:tc>
      </w:tr>
      <w:tr>
        <w:trPr>
          <w:trHeight w:val="1561" w:hRule="exact"/>
        </w:trPr>
        <w:tc>
          <w:tcPr>
            <w:tcW w:w="2245" w:type="dxa"/>
            <w:vMerge/>
          </w:tcPr>
          <w:p>
            <w:pPr/>
          </w:p>
        </w:tc>
        <w:tc>
          <w:tcPr>
            <w:tcW w:w="1976" w:type="dxa"/>
          </w:tcPr>
          <w:p>
            <w:pPr>
              <w:pStyle w:val="TableParagraph"/>
              <w:rPr>
                <w:sz w:val="18"/>
              </w:rPr>
            </w:pPr>
          </w:p>
          <w:p>
            <w:pPr>
              <w:pStyle w:val="TableParagraph"/>
              <w:rPr>
                <w:sz w:val="18"/>
              </w:rPr>
            </w:pPr>
          </w:p>
          <w:p>
            <w:pPr>
              <w:pStyle w:val="TableParagraph"/>
              <w:spacing w:before="6"/>
              <w:rPr>
                <w:sz w:val="17"/>
              </w:rPr>
            </w:pPr>
          </w:p>
          <w:p>
            <w:pPr>
              <w:pStyle w:val="TableParagraph"/>
              <w:ind w:left="93" w:right="99"/>
              <w:jc w:val="center"/>
              <w:rPr>
                <w:sz w:val="18"/>
              </w:rPr>
            </w:pPr>
            <w:r>
              <w:rPr>
                <w:sz w:val="18"/>
              </w:rPr>
              <w:t>PMG</w:t>
            </w:r>
          </w:p>
        </w:tc>
        <w:tc>
          <w:tcPr>
            <w:tcW w:w="3830" w:type="dxa"/>
          </w:tcPr>
          <w:p>
            <w:pPr>
              <w:pStyle w:val="TableParagraph"/>
              <w:spacing w:line="360" w:lineRule="auto"/>
              <w:ind w:left="89" w:right="90"/>
              <w:jc w:val="center"/>
              <w:rPr>
                <w:sz w:val="18"/>
              </w:rPr>
            </w:pPr>
            <w:r>
              <w:rPr>
                <w:sz w:val="18"/>
              </w:rPr>
              <w:t>Messiah Studio Basic: paquete de animación y renderizado autónomo o como extensión Messian Studio Pro: lo mismo que el anterior pero con animación de alto nivel y funciones de renderizado</w:t>
            </w:r>
          </w:p>
        </w:tc>
      </w:tr>
      <w:tr>
        <w:trPr>
          <w:trHeight w:val="632" w:hRule="exact"/>
        </w:trPr>
        <w:tc>
          <w:tcPr>
            <w:tcW w:w="2245" w:type="dxa"/>
            <w:vMerge/>
          </w:tcPr>
          <w:p>
            <w:pPr/>
          </w:p>
        </w:tc>
        <w:tc>
          <w:tcPr>
            <w:tcW w:w="1976" w:type="dxa"/>
          </w:tcPr>
          <w:p>
            <w:pPr>
              <w:pStyle w:val="TableParagraph"/>
              <w:spacing w:line="357" w:lineRule="auto"/>
              <w:ind w:left="547" w:right="190" w:hanging="340"/>
              <w:rPr>
                <w:sz w:val="18"/>
              </w:rPr>
            </w:pPr>
            <w:r>
              <w:rPr>
                <w:sz w:val="18"/>
              </w:rPr>
              <w:t>Robert McNeel and Associates</w:t>
            </w:r>
          </w:p>
        </w:tc>
        <w:tc>
          <w:tcPr>
            <w:tcW w:w="3830" w:type="dxa"/>
          </w:tcPr>
          <w:p>
            <w:pPr>
              <w:pStyle w:val="TableParagraph"/>
              <w:spacing w:line="202" w:lineRule="exact"/>
              <w:ind w:left="143" w:right="143"/>
              <w:jc w:val="center"/>
              <w:rPr>
                <w:sz w:val="18"/>
              </w:rPr>
            </w:pPr>
            <w:r>
              <w:rPr>
                <w:sz w:val="18"/>
              </w:rPr>
              <w:t>Bongo 3D: extensión para Rhinoceros 3D</w:t>
            </w:r>
          </w:p>
        </w:tc>
      </w:tr>
      <w:tr>
        <w:trPr>
          <w:trHeight w:val="628" w:hRule="exact"/>
        </w:trPr>
        <w:tc>
          <w:tcPr>
            <w:tcW w:w="2245" w:type="dxa"/>
            <w:vMerge/>
          </w:tcPr>
          <w:p>
            <w:pPr/>
          </w:p>
        </w:tc>
        <w:tc>
          <w:tcPr>
            <w:tcW w:w="1976" w:type="dxa"/>
          </w:tcPr>
          <w:p>
            <w:pPr>
              <w:pStyle w:val="TableParagraph"/>
              <w:spacing w:before="4"/>
              <w:rPr>
                <w:sz w:val="26"/>
              </w:rPr>
            </w:pPr>
          </w:p>
          <w:p>
            <w:pPr>
              <w:pStyle w:val="TableParagraph"/>
              <w:ind w:left="98" w:right="96"/>
              <w:jc w:val="center"/>
              <w:rPr>
                <w:sz w:val="18"/>
              </w:rPr>
            </w:pPr>
            <w:r>
              <w:rPr>
                <w:sz w:val="18"/>
              </w:rPr>
              <w:t>Side Effects Software</w:t>
            </w:r>
          </w:p>
        </w:tc>
        <w:tc>
          <w:tcPr>
            <w:tcW w:w="3830" w:type="dxa"/>
          </w:tcPr>
          <w:p>
            <w:pPr>
              <w:pStyle w:val="TableParagraph"/>
              <w:spacing w:line="357" w:lineRule="auto"/>
              <w:ind w:left="1500" w:right="246" w:hanging="1237"/>
              <w:rPr>
                <w:sz w:val="18"/>
              </w:rPr>
            </w:pPr>
            <w:r>
              <w:rPr>
                <w:sz w:val="18"/>
              </w:rPr>
              <w:t>Houdini Escape: modelado, iluminación y animación</w:t>
            </w:r>
          </w:p>
        </w:tc>
      </w:tr>
    </w:tbl>
    <w:p>
      <w:pPr>
        <w:spacing w:after="0" w:line="357" w:lineRule="auto"/>
        <w:rPr>
          <w:sz w:val="18"/>
        </w:rPr>
        <w:sectPr>
          <w:pgSz w:w="12240" w:h="15840"/>
          <w:pgMar w:header="0" w:footer="1031" w:top="1420" w:bottom="1160" w:left="1720" w:right="1600"/>
        </w:sectPr>
      </w:pPr>
    </w:p>
    <w:tbl>
      <w:tblPr>
        <w:tblW w:w="0" w:type="auto"/>
        <w:jc w:val="left"/>
        <w:tblInd w:w="492"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245"/>
        <w:gridCol w:w="1976"/>
        <w:gridCol w:w="3830"/>
      </w:tblGrid>
      <w:tr>
        <w:trPr>
          <w:trHeight w:val="632" w:hRule="exact"/>
        </w:trPr>
        <w:tc>
          <w:tcPr>
            <w:tcW w:w="2245" w:type="dxa"/>
          </w:tcPr>
          <w:p>
            <w:pPr/>
          </w:p>
        </w:tc>
        <w:tc>
          <w:tcPr>
            <w:tcW w:w="1976" w:type="dxa"/>
          </w:tcPr>
          <w:p>
            <w:pPr/>
          </w:p>
        </w:tc>
        <w:tc>
          <w:tcPr>
            <w:tcW w:w="3830" w:type="dxa"/>
          </w:tcPr>
          <w:p>
            <w:pPr>
              <w:pStyle w:val="TableParagraph"/>
              <w:spacing w:line="362" w:lineRule="auto"/>
              <w:ind w:left="428" w:right="311" w:hanging="100"/>
              <w:rPr>
                <w:sz w:val="18"/>
              </w:rPr>
            </w:pPr>
            <w:r>
              <w:rPr>
                <w:sz w:val="18"/>
              </w:rPr>
              <w:t>Houdini Master: modelado de alto nivel, iluminación, renderizado y animación</w:t>
            </w:r>
          </w:p>
        </w:tc>
      </w:tr>
    </w:tbl>
    <w:p>
      <w:pPr>
        <w:spacing w:line="202" w:lineRule="exact" w:before="0"/>
        <w:ind w:left="1091" w:right="1089" w:firstLine="0"/>
        <w:jc w:val="center"/>
        <w:rPr>
          <w:sz w:val="18"/>
        </w:rPr>
      </w:pPr>
      <w:r>
        <w:rPr>
          <w:sz w:val="18"/>
        </w:rPr>
        <w:t>(Fuente: Bryden, 2014: 167-169).</w:t>
      </w:r>
    </w:p>
    <w:p>
      <w:pPr>
        <w:pStyle w:val="BodyText"/>
        <w:rPr>
          <w:sz w:val="18"/>
        </w:rPr>
      </w:pPr>
    </w:p>
    <w:p>
      <w:pPr>
        <w:pStyle w:val="BodyText"/>
        <w:rPr>
          <w:sz w:val="18"/>
        </w:rPr>
      </w:pPr>
    </w:p>
    <w:p>
      <w:pPr>
        <w:pStyle w:val="BodyText"/>
        <w:spacing w:line="360" w:lineRule="auto" w:before="107"/>
        <w:ind w:left="100" w:right="101"/>
        <w:jc w:val="both"/>
      </w:pPr>
      <w:r>
        <w:rPr/>
        <w:t>El objetivo de haber presentado la tabla anterior es que para adentrarse en el mundo de la tecnología de RP se debe tener el conocimiento básico de qué tipo  de dibujo software funciona para realizar escultura, y este sería de acuerdo al concepto de la obra, lo que desea el artista, </w:t>
      </w:r>
      <w:r>
        <w:rPr>
          <w:spacing w:val="-3"/>
        </w:rPr>
        <w:t>ya </w:t>
      </w:r>
      <w:r>
        <w:rPr/>
        <w:t>que en dicha tabla también se incluye software de modelado 3D para cine, efectos especiales, caracterización, etc.</w:t>
      </w:r>
    </w:p>
    <w:p>
      <w:pPr>
        <w:pStyle w:val="BodyText"/>
      </w:pPr>
    </w:p>
    <w:p>
      <w:pPr>
        <w:pStyle w:val="BodyText"/>
        <w:spacing w:before="3"/>
        <w:rPr>
          <w:sz w:val="29"/>
        </w:rPr>
      </w:pPr>
    </w:p>
    <w:p>
      <w:pPr>
        <w:pStyle w:val="Heading2"/>
        <w:numPr>
          <w:ilvl w:val="2"/>
          <w:numId w:val="6"/>
        </w:numPr>
        <w:tabs>
          <w:tab w:pos="897" w:val="left" w:leader="none"/>
        </w:tabs>
        <w:spacing w:line="240" w:lineRule="auto" w:before="0" w:after="0"/>
        <w:ind w:left="897" w:right="0" w:hanging="797"/>
        <w:jc w:val="both"/>
      </w:pPr>
      <w:bookmarkStart w:name="2.2.2.  Renderizado" w:id="45"/>
      <w:bookmarkEnd w:id="45"/>
      <w:r>
        <w:rPr/>
      </w:r>
      <w:bookmarkStart w:name="_bookmark24" w:id="46"/>
      <w:bookmarkEnd w:id="46"/>
      <w:r>
        <w:rPr/>
        <w:t>R</w:t>
      </w:r>
      <w:r>
        <w:rPr/>
        <w:t>enderizado</w:t>
      </w:r>
    </w:p>
    <w:p>
      <w:pPr>
        <w:pStyle w:val="BodyText"/>
        <w:rPr>
          <w:sz w:val="28"/>
        </w:rPr>
      </w:pPr>
    </w:p>
    <w:p>
      <w:pPr>
        <w:pStyle w:val="BodyText"/>
        <w:spacing w:before="9"/>
        <w:rPr>
          <w:sz w:val="22"/>
        </w:rPr>
      </w:pPr>
    </w:p>
    <w:p>
      <w:pPr>
        <w:pStyle w:val="BodyText"/>
        <w:spacing w:line="360" w:lineRule="auto"/>
        <w:ind w:left="100" w:right="98"/>
        <w:jc w:val="both"/>
      </w:pPr>
      <w:r>
        <w:rPr/>
        <w:t>Bryden (2014) conceptualiza el concepto de renderizado como el proceso de generar una imagen a partir de un modelo informático; los diseñadores de producto lo emplean para crear imágenes realistas de los productos a partir de modelos 3D. Ejemplo Figura 2.4. Para el mismo autor, el proceso de crear una imagen renderizada incluye varios</w:t>
      </w:r>
      <w:r>
        <w:rPr>
          <w:spacing w:val="-17"/>
        </w:rPr>
        <w:t> </w:t>
      </w:r>
      <w:r>
        <w:rPr/>
        <w:t>pasos:</w:t>
      </w:r>
    </w:p>
    <w:p>
      <w:pPr>
        <w:pStyle w:val="BodyText"/>
      </w:pPr>
    </w:p>
    <w:p>
      <w:pPr>
        <w:pStyle w:val="BodyText"/>
        <w:spacing w:before="142"/>
        <w:ind w:left="100"/>
        <w:jc w:val="both"/>
      </w:pPr>
      <w:r>
        <w:rPr/>
        <w:t>-Añadir una superficie de suelo debajo del modelo para crear una sombra</w:t>
      </w:r>
    </w:p>
    <w:p>
      <w:pPr>
        <w:pStyle w:val="BodyText"/>
        <w:spacing w:before="140"/>
        <w:ind w:left="100"/>
        <w:jc w:val="both"/>
      </w:pPr>
      <w:r>
        <w:rPr/>
        <w:t>-Elegir un color o imagen de fondo</w:t>
      </w:r>
    </w:p>
    <w:p>
      <w:pPr>
        <w:pStyle w:val="BodyText"/>
        <w:spacing w:before="136"/>
        <w:ind w:left="100"/>
        <w:jc w:val="both"/>
      </w:pPr>
      <w:r>
        <w:rPr/>
        <w:t>-Posicionar la cámara para crear la vista del modelo deseado</w:t>
      </w:r>
    </w:p>
    <w:p>
      <w:pPr>
        <w:pStyle w:val="BodyText"/>
        <w:spacing w:before="140"/>
        <w:ind w:left="100"/>
        <w:jc w:val="both"/>
      </w:pPr>
      <w:r>
        <w:rPr/>
        <w:t>-Iluminar el modelo y ajustar luces y sombras</w:t>
      </w:r>
    </w:p>
    <w:p>
      <w:pPr>
        <w:pStyle w:val="BodyText"/>
        <w:spacing w:before="136"/>
        <w:ind w:left="100"/>
        <w:jc w:val="both"/>
      </w:pPr>
      <w:r>
        <w:rPr/>
        <w:t>-Añadir materiales al modelo</w:t>
      </w:r>
    </w:p>
    <w:p>
      <w:pPr>
        <w:pStyle w:val="BodyText"/>
        <w:spacing w:before="140"/>
        <w:ind w:left="100"/>
        <w:jc w:val="both"/>
      </w:pPr>
      <w:r>
        <w:rPr/>
        <w:t>-Configurar los ajustes de cámara</w:t>
      </w:r>
    </w:p>
    <w:p>
      <w:pPr>
        <w:pStyle w:val="BodyText"/>
        <w:spacing w:line="362" w:lineRule="auto" w:before="136"/>
        <w:ind w:left="100"/>
      </w:pPr>
      <w:r>
        <w:rPr/>
        <w:t>-Configurar los ajustes de suavizado y especificar el tamaño y resolución de la imagen renderizada. Ver </w:t>
      </w:r>
      <w:hyperlink w:history="true" w:anchor="_bookmark25">
        <w:r>
          <w:rPr/>
          <w:t>Figura 2.4</w:t>
        </w:r>
      </w:hyperlink>
      <w:r>
        <w:rPr/>
        <w:t>.</w:t>
      </w:r>
    </w:p>
    <w:p>
      <w:pPr>
        <w:spacing w:after="0" w:line="362" w:lineRule="auto"/>
        <w:sectPr>
          <w:pgSz w:w="12240" w:h="15840"/>
          <w:pgMar w:header="0" w:footer="1031" w:top="1420" w:bottom="1160" w:left="1600" w:right="1600"/>
        </w:sectPr>
      </w:pPr>
    </w:p>
    <w:p>
      <w:pPr>
        <w:pStyle w:val="BodyText"/>
        <w:ind w:left="1175"/>
        <w:rPr>
          <w:sz w:val="20"/>
        </w:rPr>
      </w:pPr>
      <w:r>
        <w:rPr>
          <w:sz w:val="20"/>
        </w:rPr>
        <w:drawing>
          <wp:inline distT="0" distB="0" distL="0" distR="0">
            <wp:extent cx="4278740" cy="1557908"/>
            <wp:effectExtent l="0" t="0" r="0" b="0"/>
            <wp:docPr id="19" name="image10.jpeg" descr=""/>
            <wp:cNvGraphicFramePr>
              <a:graphicFrameLocks noChangeAspect="1"/>
            </wp:cNvGraphicFramePr>
            <a:graphic>
              <a:graphicData uri="http://schemas.openxmlformats.org/drawingml/2006/picture">
                <pic:pic>
                  <pic:nvPicPr>
                    <pic:cNvPr id="20" name="image10.jpeg"/>
                    <pic:cNvPicPr/>
                  </pic:nvPicPr>
                  <pic:blipFill>
                    <a:blip r:embed="rId18" cstate="print"/>
                    <a:stretch>
                      <a:fillRect/>
                    </a:stretch>
                  </pic:blipFill>
                  <pic:spPr>
                    <a:xfrm>
                      <a:off x="0" y="0"/>
                      <a:ext cx="4278740" cy="1557908"/>
                    </a:xfrm>
                    <a:prstGeom prst="rect">
                      <a:avLst/>
                    </a:prstGeom>
                  </pic:spPr>
                </pic:pic>
              </a:graphicData>
            </a:graphic>
          </wp:inline>
        </w:drawing>
      </w:r>
      <w:r>
        <w:rPr>
          <w:sz w:val="20"/>
        </w:rPr>
      </w:r>
    </w:p>
    <w:p>
      <w:pPr>
        <w:spacing w:before="74"/>
        <w:ind w:left="1264" w:right="1040" w:firstLine="5"/>
        <w:jc w:val="center"/>
        <w:rPr>
          <w:sz w:val="18"/>
        </w:rPr>
      </w:pPr>
      <w:bookmarkStart w:name="_bookmark25" w:id="47"/>
      <w:bookmarkEnd w:id="47"/>
      <w:r>
        <w:rPr/>
      </w:r>
      <w:r>
        <w:rPr>
          <w:sz w:val="18"/>
        </w:rPr>
        <w:t>Figura 2.4. Renderizados de gran realismo de un modelo CAD de una máquina de afeitar eléctrica. Cada renderizado emplea distintos ajustes del fondo y del objeto de la cámara. (Fuente: Bryden, 2014: 41).</w:t>
      </w:r>
    </w:p>
    <w:p>
      <w:pPr>
        <w:pStyle w:val="BodyText"/>
        <w:rPr>
          <w:sz w:val="18"/>
        </w:rPr>
      </w:pPr>
    </w:p>
    <w:p>
      <w:pPr>
        <w:pStyle w:val="BodyText"/>
        <w:spacing w:before="10"/>
        <w:rPr>
          <w:sz w:val="17"/>
        </w:rPr>
      </w:pPr>
    </w:p>
    <w:p>
      <w:pPr>
        <w:pStyle w:val="BodyText"/>
        <w:spacing w:line="360" w:lineRule="auto"/>
        <w:ind w:left="100" w:right="102"/>
        <w:jc w:val="both"/>
      </w:pPr>
      <w:r>
        <w:rPr/>
        <w:t>Un ejemplo de aplicación del renderizado en escultura es la obra "</w:t>
      </w:r>
      <w:r>
        <w:rPr>
          <w:i/>
        </w:rPr>
        <w:t>Anthrosphere</w:t>
      </w:r>
      <w:r>
        <w:rPr/>
        <w:t>” de Duffy (2013), él comenta que es el vínculo fundamental entre el mundo digital y las técnicas tradicionales. El proceso de la creación física de </w:t>
      </w:r>
      <w:r>
        <w:rPr>
          <w:i/>
        </w:rPr>
        <w:t>Anthrosphere </w:t>
      </w:r>
      <w:r>
        <w:rPr/>
        <w:t>personifica tecnologías de fabricación actuales, como RP directo de metal y un ejemplo de la fusión de los reinos de la información y las nanotecnologías con obras de</w:t>
      </w:r>
      <w:r>
        <w:rPr>
          <w:spacing w:val="-8"/>
        </w:rPr>
        <w:t> </w:t>
      </w:r>
      <w:r>
        <w:rPr/>
        <w:t>arte.</w:t>
      </w:r>
    </w:p>
    <w:p>
      <w:pPr>
        <w:pStyle w:val="BodyText"/>
        <w:rPr>
          <w:sz w:val="20"/>
        </w:rPr>
      </w:pPr>
    </w:p>
    <w:p>
      <w:pPr>
        <w:pStyle w:val="BodyText"/>
        <w:spacing w:before="10"/>
        <w:rPr>
          <w:sz w:val="12"/>
        </w:rPr>
      </w:pPr>
      <w:r>
        <w:rPr/>
        <w:drawing>
          <wp:anchor distT="0" distB="0" distL="0" distR="0" allowOverlap="1" layoutInCell="1" locked="0" behindDoc="0" simplePos="0" relativeHeight="1192">
            <wp:simplePos x="0" y="0"/>
            <wp:positionH relativeFrom="page">
              <wp:posOffset>2438400</wp:posOffset>
            </wp:positionH>
            <wp:positionV relativeFrom="paragraph">
              <wp:posOffset>118807</wp:posOffset>
            </wp:positionV>
            <wp:extent cx="2885542" cy="2860357"/>
            <wp:effectExtent l="0" t="0" r="0" b="0"/>
            <wp:wrapTopAndBottom/>
            <wp:docPr id="21" name="image11.jpeg" descr=""/>
            <wp:cNvGraphicFramePr>
              <a:graphicFrameLocks noChangeAspect="1"/>
            </wp:cNvGraphicFramePr>
            <a:graphic>
              <a:graphicData uri="http://schemas.openxmlformats.org/drawingml/2006/picture">
                <pic:pic>
                  <pic:nvPicPr>
                    <pic:cNvPr id="22" name="image11.jpeg"/>
                    <pic:cNvPicPr/>
                  </pic:nvPicPr>
                  <pic:blipFill>
                    <a:blip r:embed="rId19" cstate="print"/>
                    <a:stretch>
                      <a:fillRect/>
                    </a:stretch>
                  </pic:blipFill>
                  <pic:spPr>
                    <a:xfrm>
                      <a:off x="0" y="0"/>
                      <a:ext cx="2885542" cy="2860357"/>
                    </a:xfrm>
                    <a:prstGeom prst="rect">
                      <a:avLst/>
                    </a:prstGeom>
                  </pic:spPr>
                </pic:pic>
              </a:graphicData>
            </a:graphic>
          </wp:anchor>
        </w:drawing>
      </w:r>
    </w:p>
    <w:p>
      <w:pPr>
        <w:spacing w:line="240" w:lineRule="auto" w:before="96"/>
        <w:ind w:left="1441" w:right="1206" w:firstLine="0"/>
        <w:jc w:val="center"/>
        <w:rPr>
          <w:sz w:val="18"/>
        </w:rPr>
      </w:pPr>
      <w:bookmarkStart w:name="_bookmark26" w:id="48"/>
      <w:bookmarkEnd w:id="48"/>
      <w:r>
        <w:rPr/>
      </w:r>
      <w:r>
        <w:rPr>
          <w:sz w:val="18"/>
        </w:rPr>
        <w:t>Figura 2.5. Anthrosphere, diámetro 12", bronce acero inoxidable, 2008. (Fuente: </w:t>
      </w:r>
      <w:hyperlink r:id="rId20">
        <w:r>
          <w:rPr>
            <w:sz w:val="18"/>
          </w:rPr>
          <w:t>http://gallery.bridgesmathart.org/exhibitions/2012-bridges-conference/wduffy,</w:t>
        </w:r>
      </w:hyperlink>
      <w:r>
        <w:rPr>
          <w:sz w:val="18"/>
        </w:rPr>
        <w:t> consultado el  26 de junio de 2013).</w:t>
      </w:r>
    </w:p>
    <w:p>
      <w:pPr>
        <w:spacing w:after="0" w:line="240" w:lineRule="auto"/>
        <w:jc w:val="center"/>
        <w:rPr>
          <w:sz w:val="18"/>
        </w:rPr>
        <w:sectPr>
          <w:pgSz w:w="12240" w:h="15840"/>
          <w:pgMar w:header="0" w:footer="1031" w:top="1420" w:bottom="1160" w:left="1600" w:right="1600"/>
        </w:sectPr>
      </w:pPr>
    </w:p>
    <w:p>
      <w:pPr>
        <w:pStyle w:val="BodyText"/>
        <w:spacing w:line="360" w:lineRule="auto" w:before="55"/>
        <w:ind w:left="100" w:right="117"/>
        <w:jc w:val="both"/>
      </w:pPr>
      <w:r>
        <w:rPr/>
        <w:t>De esta forma el escultor, Duffy, antes de realizar una impresión en metal, puede visualizar el acabado o textura de su propuesta escultórica. Se observa en esta </w:t>
      </w:r>
      <w:hyperlink w:history="true" w:anchor="_bookmark26">
        <w:r>
          <w:rPr/>
          <w:t>Figura 2.5</w:t>
        </w:r>
      </w:hyperlink>
      <w:r>
        <w:rPr/>
        <w:t> que la imagen es un “render” y no la pieza impresa en metal.</w:t>
      </w:r>
    </w:p>
    <w:p>
      <w:pPr>
        <w:pStyle w:val="BodyText"/>
      </w:pPr>
    </w:p>
    <w:p>
      <w:pPr>
        <w:pStyle w:val="BodyText"/>
        <w:spacing w:before="3"/>
        <w:rPr>
          <w:sz w:val="29"/>
        </w:rPr>
      </w:pPr>
    </w:p>
    <w:p>
      <w:pPr>
        <w:pStyle w:val="Heading2"/>
        <w:ind w:left="100" w:firstLine="0"/>
      </w:pPr>
      <w:bookmarkStart w:name="2.3. ¿Qué es RP?" w:id="49"/>
      <w:bookmarkEnd w:id="49"/>
      <w:r>
        <w:rPr/>
      </w:r>
      <w:bookmarkStart w:name="_bookmark27" w:id="50"/>
      <w:bookmarkEnd w:id="50"/>
      <w:r>
        <w:rPr/>
      </w:r>
      <w:r>
        <w:rPr/>
        <w:t>2.3. ¿Qué es RP?</w:t>
      </w:r>
    </w:p>
    <w:p>
      <w:pPr>
        <w:pStyle w:val="BodyText"/>
        <w:rPr>
          <w:sz w:val="28"/>
        </w:rPr>
      </w:pPr>
    </w:p>
    <w:p>
      <w:pPr>
        <w:pStyle w:val="BodyText"/>
        <w:spacing w:before="8"/>
        <w:rPr>
          <w:sz w:val="22"/>
        </w:rPr>
      </w:pPr>
    </w:p>
    <w:p>
      <w:pPr>
        <w:pStyle w:val="BodyText"/>
        <w:spacing w:line="360" w:lineRule="auto"/>
        <w:ind w:left="100" w:right="117"/>
        <w:jc w:val="both"/>
      </w:pPr>
      <w:r>
        <w:rPr/>
        <w:t>En este apartado capitular nos apoyaremos de los conceptos de Rafiq Noorani para responder ¿Qué es </w:t>
      </w:r>
      <w:r>
        <w:rPr>
          <w:i/>
        </w:rPr>
        <w:t>RP</w:t>
      </w:r>
      <w:r>
        <w:rPr/>
        <w:t>? ¿Cómo surgieron estas herramientas? ¿Cuáles son sus aplicaciones? ¿Qué procesos utiliza? ¿Qué materiales utiliza? Y principalmente ¿Cómo se aplican en el campo de lo escultórico?</w:t>
      </w:r>
    </w:p>
    <w:p>
      <w:pPr>
        <w:pStyle w:val="BodyText"/>
      </w:pPr>
    </w:p>
    <w:p>
      <w:pPr>
        <w:pStyle w:val="BodyText"/>
        <w:spacing w:line="360" w:lineRule="auto" w:before="142"/>
        <w:ind w:left="100" w:right="118"/>
        <w:jc w:val="both"/>
      </w:pPr>
      <w:r>
        <w:rPr/>
        <w:t>¿Qué es la RP?, Para Noorani (2006), se refiere a la fabricación de una parte física, en tres dimensiones de forma arbitraria directamente de una descripción numérica (típicamente un modelo CAD) por un proceso rápido, totalmente automatizado, y altamente flexible. Según </w:t>
      </w:r>
      <w:r>
        <w:rPr>
          <w:i/>
        </w:rPr>
        <w:t>Wohlers Report </w:t>
      </w:r>
      <w:r>
        <w:rPr/>
        <w:t>2000, RP se define como: una clase especial de tecnología de la máquina que produce rápidamente modelos y prototipos de piezas a partir de datos 3-D utilizando un enfoque aditivo a partir de los modelos</w:t>
      </w:r>
      <w:r>
        <w:rPr>
          <w:spacing w:val="-17"/>
        </w:rPr>
        <w:t> </w:t>
      </w:r>
      <w:r>
        <w:rPr/>
        <w:t>físicos.</w:t>
      </w:r>
    </w:p>
    <w:p>
      <w:pPr>
        <w:pStyle w:val="BodyText"/>
      </w:pPr>
    </w:p>
    <w:p>
      <w:pPr>
        <w:pStyle w:val="BodyText"/>
        <w:spacing w:line="360" w:lineRule="auto" w:before="142"/>
        <w:ind w:left="100" w:right="117"/>
        <w:jc w:val="both"/>
      </w:pPr>
      <w:r>
        <w:rPr/>
        <w:t>Otro concepto de RP, de Erlhoff (2008), es un término usado para describir una amplia gama de procesos de fabricación donde CAD tridimensional (CAD / CAM / CIM / CNC) de datos se utiliza directamente en la  construcción de componentes   u objetos. Los datos a partir del modelo CAD se divide en un número de capas delgadas que luego son reconstituidas por el corte, fusión, o deposición de material físico, capa tras capa hasta una representación física de los datos  existen.</w:t>
      </w:r>
    </w:p>
    <w:p>
      <w:pPr>
        <w:pStyle w:val="BodyText"/>
      </w:pPr>
    </w:p>
    <w:p>
      <w:pPr>
        <w:pStyle w:val="BodyText"/>
        <w:spacing w:line="360" w:lineRule="auto" w:before="142"/>
        <w:ind w:left="100" w:right="123"/>
        <w:jc w:val="both"/>
      </w:pPr>
      <w:r>
        <w:rPr/>
        <w:t>Para Bryden (2014) el término RP se refiere a los diversos procesos empleados para fabricar modelos y componentes de productos a partir de datos CAD de modelos realizados por ordenador. También creación de prototipos hechos con materiales  laminados  mediante  sistemas  automatizados  que  utilizan  los</w:t>
      </w:r>
      <w:r>
        <w:rPr>
          <w:spacing w:val="56"/>
        </w:rPr>
        <w:t> </w:t>
      </w:r>
      <w:r>
        <w:rPr/>
        <w:t>datos</w:t>
      </w:r>
    </w:p>
    <w:p>
      <w:pPr>
        <w:spacing w:after="0" w:line="360" w:lineRule="auto"/>
        <w:jc w:val="both"/>
        <w:sectPr>
          <w:pgSz w:w="12240" w:h="15840"/>
          <w:pgMar w:header="0" w:footer="1031" w:top="1360" w:bottom="1220" w:left="1600" w:right="1580"/>
        </w:sectPr>
      </w:pPr>
    </w:p>
    <w:p>
      <w:pPr>
        <w:pStyle w:val="BodyText"/>
        <w:spacing w:line="360" w:lineRule="auto" w:before="55"/>
        <w:ind w:left="100" w:right="107"/>
        <w:jc w:val="both"/>
      </w:pPr>
      <w:r>
        <w:rPr/>
        <w:t>CAD 3D. La palabra rápido se aplica a estos procesos por varias razones: permiten fabricar piezas de prototipos en cuestión de horas, mientras que los sistemas tradicionales requieren días o</w:t>
      </w:r>
      <w:r>
        <w:rPr>
          <w:spacing w:val="-28"/>
        </w:rPr>
        <w:t> </w:t>
      </w:r>
      <w:r>
        <w:rPr/>
        <w:t>semanas.</w:t>
      </w:r>
    </w:p>
    <w:p>
      <w:pPr>
        <w:pStyle w:val="BodyText"/>
      </w:pPr>
    </w:p>
    <w:p>
      <w:pPr>
        <w:pStyle w:val="BodyText"/>
        <w:spacing w:line="360" w:lineRule="auto" w:before="142"/>
        <w:ind w:left="100" w:right="105"/>
        <w:jc w:val="both"/>
      </w:pPr>
      <w:r>
        <w:rPr/>
        <w:t>Como ha mencionado Noorani, el RP es una nueva tecnología que está teniendo un efecto profundo en el proceso de desarrollo de productos de las industrias de diseño y fabricación en todo el mundo. Se llama creación rápida de prototipos, </w:t>
      </w:r>
      <w:r>
        <w:rPr>
          <w:spacing w:val="-3"/>
        </w:rPr>
        <w:t>ya </w:t>
      </w:r>
      <w:r>
        <w:rPr/>
        <w:t>que puede crear prototipos de piezas muy rápidamente en la mayoría de los  casos, es decir, en horas en lugar de días o semanas, agrega el</w:t>
      </w:r>
      <w:r>
        <w:rPr>
          <w:spacing w:val="-26"/>
        </w:rPr>
        <w:t> </w:t>
      </w:r>
      <w:r>
        <w:rPr/>
        <w:t>autor.</w:t>
      </w:r>
    </w:p>
    <w:p>
      <w:pPr>
        <w:pStyle w:val="BodyText"/>
      </w:pPr>
    </w:p>
    <w:p>
      <w:pPr>
        <w:pStyle w:val="BodyText"/>
        <w:spacing w:before="142"/>
        <w:ind w:left="100"/>
        <w:jc w:val="both"/>
      </w:pPr>
      <w:r>
        <w:rPr/>
        <w:t>Para Noorani, los beneficios del RP incluye:</w:t>
      </w:r>
    </w:p>
    <w:p>
      <w:pPr>
        <w:pStyle w:val="ListParagraph"/>
        <w:numPr>
          <w:ilvl w:val="0"/>
          <w:numId w:val="7"/>
        </w:numPr>
        <w:tabs>
          <w:tab w:pos="381" w:val="left" w:leader="none"/>
        </w:tabs>
        <w:spacing w:line="240" w:lineRule="auto" w:before="140" w:after="0"/>
        <w:ind w:left="100" w:right="0" w:firstLine="0"/>
        <w:jc w:val="both"/>
        <w:rPr>
          <w:sz w:val="24"/>
        </w:rPr>
      </w:pPr>
      <w:r>
        <w:rPr>
          <w:sz w:val="24"/>
        </w:rPr>
        <w:t>Reduce los tiempos de entrega para producir componentes de</w:t>
      </w:r>
      <w:r>
        <w:rPr>
          <w:spacing w:val="-34"/>
          <w:sz w:val="24"/>
        </w:rPr>
        <w:t> </w:t>
      </w:r>
      <w:r>
        <w:rPr>
          <w:sz w:val="24"/>
        </w:rPr>
        <w:t>prototipo.</w:t>
      </w:r>
    </w:p>
    <w:p>
      <w:pPr>
        <w:pStyle w:val="ListParagraph"/>
        <w:numPr>
          <w:ilvl w:val="0"/>
          <w:numId w:val="7"/>
        </w:numPr>
        <w:tabs>
          <w:tab w:pos="433" w:val="left" w:leader="none"/>
        </w:tabs>
        <w:spacing w:line="362" w:lineRule="auto" w:before="136" w:after="0"/>
        <w:ind w:left="100" w:right="102" w:firstLine="0"/>
        <w:jc w:val="both"/>
        <w:rPr>
          <w:sz w:val="24"/>
        </w:rPr>
      </w:pPr>
      <w:r>
        <w:rPr>
          <w:sz w:val="24"/>
        </w:rPr>
        <w:t>Mejora de la capacidad de visualizar la geometría de la pieza debido a su existencia</w:t>
      </w:r>
      <w:r>
        <w:rPr>
          <w:spacing w:val="-12"/>
          <w:sz w:val="24"/>
        </w:rPr>
        <w:t> </w:t>
      </w:r>
      <w:r>
        <w:rPr>
          <w:sz w:val="24"/>
        </w:rPr>
        <w:t>física.</w:t>
      </w:r>
    </w:p>
    <w:p>
      <w:pPr>
        <w:pStyle w:val="ListParagraph"/>
        <w:numPr>
          <w:ilvl w:val="0"/>
          <w:numId w:val="7"/>
        </w:numPr>
        <w:tabs>
          <w:tab w:pos="381" w:val="left" w:leader="none"/>
        </w:tabs>
        <w:spacing w:line="275" w:lineRule="exact" w:before="0" w:after="0"/>
        <w:ind w:left="380" w:right="0" w:hanging="280"/>
        <w:jc w:val="both"/>
        <w:rPr>
          <w:sz w:val="24"/>
        </w:rPr>
      </w:pPr>
      <w:r>
        <w:rPr>
          <w:sz w:val="24"/>
        </w:rPr>
        <w:t>La detección y la reducción de errores de diseño</w:t>
      </w:r>
      <w:r>
        <w:rPr>
          <w:spacing w:val="-26"/>
          <w:sz w:val="24"/>
        </w:rPr>
        <w:t> </w:t>
      </w:r>
      <w:r>
        <w:rPr>
          <w:sz w:val="24"/>
        </w:rPr>
        <w:t>antes.</w:t>
      </w:r>
    </w:p>
    <w:p>
      <w:pPr>
        <w:pStyle w:val="ListParagraph"/>
        <w:numPr>
          <w:ilvl w:val="0"/>
          <w:numId w:val="7"/>
        </w:numPr>
        <w:tabs>
          <w:tab w:pos="401" w:val="left" w:leader="none"/>
        </w:tabs>
        <w:spacing w:line="357" w:lineRule="auto" w:before="140" w:after="0"/>
        <w:ind w:left="100" w:right="101" w:firstLine="0"/>
        <w:jc w:val="both"/>
        <w:rPr>
          <w:sz w:val="24"/>
        </w:rPr>
      </w:pPr>
      <w:r>
        <w:rPr>
          <w:sz w:val="24"/>
        </w:rPr>
        <w:t>Aumento de la capacidad de calcular propiedades de masa de componentes y conjuntos.</w:t>
      </w:r>
    </w:p>
    <w:p>
      <w:pPr>
        <w:pStyle w:val="ListParagraph"/>
        <w:numPr>
          <w:ilvl w:val="0"/>
          <w:numId w:val="7"/>
        </w:numPr>
        <w:tabs>
          <w:tab w:pos="409" w:val="left" w:leader="none"/>
        </w:tabs>
        <w:spacing w:line="360" w:lineRule="auto" w:before="8" w:after="0"/>
        <w:ind w:left="100" w:right="102" w:firstLine="0"/>
        <w:jc w:val="both"/>
        <w:rPr>
          <w:sz w:val="24"/>
        </w:rPr>
      </w:pPr>
      <w:r>
        <w:rPr>
          <w:sz w:val="24"/>
        </w:rPr>
        <w:t>RP es ventajoso en la eliminación de residuos y costosos cambios de diseño finales.</w:t>
      </w:r>
    </w:p>
    <w:p>
      <w:pPr>
        <w:pStyle w:val="BodyText"/>
        <w:spacing w:line="360" w:lineRule="auto" w:before="5"/>
        <w:ind w:left="100" w:right="107"/>
        <w:jc w:val="both"/>
      </w:pPr>
      <w:r>
        <w:rPr/>
        <w:t>El autor reconoce que el campo de la creación rápida de prototipos abarca una amplia variedad de nuevos métodos, tecnologías y aplicaciones que ya han estimulado una investigación fascinante.</w:t>
      </w:r>
    </w:p>
    <w:p>
      <w:pPr>
        <w:pStyle w:val="BodyText"/>
      </w:pPr>
    </w:p>
    <w:p>
      <w:pPr>
        <w:pStyle w:val="BodyText"/>
        <w:spacing w:line="360" w:lineRule="auto" w:before="142"/>
        <w:ind w:left="100" w:right="98"/>
        <w:jc w:val="both"/>
      </w:pPr>
      <w:r>
        <w:rPr/>
        <w:t>Para Bryden (2014) los beneficios del RP se encuentran el ahorro de tiempo y dinero durante el desarrollo del producto, la evaluación física de las partes, el control de calidad mejorado, la detección temprana de errores durante el  desarrollo del producto, la reducción de cambios en la producción de utillaje e incluso, para ciertos materiales y aplicaciones, la posibilidad de eliminar por completo la necesidad de</w:t>
      </w:r>
      <w:r>
        <w:rPr>
          <w:spacing w:val="-24"/>
        </w:rPr>
        <w:t> </w:t>
      </w:r>
      <w:r>
        <w:rPr/>
        <w:t>utillaje.</w:t>
      </w:r>
    </w:p>
    <w:p>
      <w:pPr>
        <w:spacing w:after="0" w:line="360" w:lineRule="auto"/>
        <w:jc w:val="both"/>
        <w:sectPr>
          <w:pgSz w:w="12240" w:h="15840"/>
          <w:pgMar w:header="0" w:footer="1031" w:top="1360" w:bottom="1220" w:left="1600" w:right="1600"/>
        </w:sectPr>
      </w:pPr>
    </w:p>
    <w:p>
      <w:pPr>
        <w:pStyle w:val="BodyText"/>
        <w:spacing w:line="362" w:lineRule="auto" w:before="55"/>
        <w:ind w:left="100"/>
      </w:pPr>
      <w:r>
        <w:rPr/>
        <w:t>Para Bryden 2014, las máquinas de RP económicas se muestran en la siguiente </w:t>
      </w:r>
      <w:hyperlink w:history="true" w:anchor="_bookmark28">
        <w:r>
          <w:rPr/>
          <w:t>Tabla 2.2</w:t>
        </w:r>
      </w:hyperlink>
    </w:p>
    <w:p>
      <w:pPr>
        <w:pStyle w:val="BodyText"/>
        <w:spacing w:before="8"/>
        <w:rPr>
          <w:sz w:val="35"/>
        </w:rPr>
      </w:pPr>
    </w:p>
    <w:p>
      <w:pPr>
        <w:spacing w:before="1" w:after="6"/>
        <w:ind w:left="3013" w:right="0" w:firstLine="0"/>
        <w:jc w:val="left"/>
        <w:rPr>
          <w:sz w:val="18"/>
        </w:rPr>
      </w:pPr>
      <w:bookmarkStart w:name="_bookmark28" w:id="51"/>
      <w:bookmarkEnd w:id="51"/>
      <w:r>
        <w:rPr/>
      </w:r>
      <w:r>
        <w:rPr>
          <w:sz w:val="18"/>
        </w:rPr>
        <w:t>Tabla 2.2. Máquinas de RP económicas.</w:t>
      </w:r>
    </w:p>
    <w:tbl>
      <w:tblPr>
        <w:tblW w:w="0" w:type="auto"/>
        <w:jc w:val="left"/>
        <w:tblInd w:w="222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252"/>
        <w:gridCol w:w="2901"/>
      </w:tblGrid>
      <w:tr>
        <w:trPr>
          <w:trHeight w:val="321" w:hRule="exact"/>
        </w:trPr>
        <w:tc>
          <w:tcPr>
            <w:tcW w:w="2252" w:type="dxa"/>
          </w:tcPr>
          <w:p>
            <w:pPr>
              <w:pStyle w:val="TableParagraph"/>
              <w:spacing w:line="203" w:lineRule="exact"/>
              <w:ind w:left="429" w:right="431"/>
              <w:jc w:val="center"/>
              <w:rPr>
                <w:sz w:val="18"/>
              </w:rPr>
            </w:pPr>
            <w:r>
              <w:rPr>
                <w:sz w:val="18"/>
              </w:rPr>
              <w:t>Máquina</w:t>
            </w:r>
          </w:p>
        </w:tc>
        <w:tc>
          <w:tcPr>
            <w:tcW w:w="2901" w:type="dxa"/>
          </w:tcPr>
          <w:p>
            <w:pPr>
              <w:pStyle w:val="TableParagraph"/>
              <w:spacing w:line="203" w:lineRule="exact"/>
              <w:ind w:left="424" w:right="413"/>
              <w:jc w:val="center"/>
              <w:rPr>
                <w:sz w:val="18"/>
              </w:rPr>
            </w:pPr>
            <w:r>
              <w:rPr>
                <w:sz w:val="18"/>
              </w:rPr>
              <w:t>Referencia web</w:t>
            </w:r>
          </w:p>
        </w:tc>
      </w:tr>
      <w:tr>
        <w:trPr>
          <w:trHeight w:val="320" w:hRule="exact"/>
        </w:trPr>
        <w:tc>
          <w:tcPr>
            <w:tcW w:w="2252" w:type="dxa"/>
          </w:tcPr>
          <w:p>
            <w:pPr>
              <w:pStyle w:val="TableParagraph"/>
              <w:spacing w:line="202" w:lineRule="exact"/>
              <w:ind w:left="431" w:right="431"/>
              <w:jc w:val="center"/>
              <w:rPr>
                <w:sz w:val="18"/>
              </w:rPr>
            </w:pPr>
            <w:r>
              <w:rPr>
                <w:sz w:val="18"/>
              </w:rPr>
              <w:t>A1 Technologies</w:t>
            </w:r>
          </w:p>
        </w:tc>
        <w:tc>
          <w:tcPr>
            <w:tcW w:w="2901" w:type="dxa"/>
          </w:tcPr>
          <w:p>
            <w:pPr>
              <w:pStyle w:val="TableParagraph"/>
              <w:spacing w:line="202" w:lineRule="exact"/>
              <w:ind w:left="421" w:right="417"/>
              <w:jc w:val="center"/>
              <w:rPr>
                <w:sz w:val="18"/>
              </w:rPr>
            </w:pPr>
            <w:hyperlink r:id="rId21">
              <w:r>
                <w:rPr>
                  <w:sz w:val="18"/>
                </w:rPr>
                <w:t>www.a1-tech.com.uk</w:t>
              </w:r>
            </w:hyperlink>
          </w:p>
        </w:tc>
      </w:tr>
      <w:tr>
        <w:trPr>
          <w:trHeight w:val="320" w:hRule="exact"/>
        </w:trPr>
        <w:tc>
          <w:tcPr>
            <w:tcW w:w="2252" w:type="dxa"/>
          </w:tcPr>
          <w:p>
            <w:pPr>
              <w:pStyle w:val="TableParagraph"/>
              <w:spacing w:line="202" w:lineRule="exact"/>
              <w:ind w:left="430" w:right="431"/>
              <w:jc w:val="center"/>
              <w:rPr>
                <w:sz w:val="18"/>
              </w:rPr>
            </w:pPr>
            <w:r>
              <w:rPr>
                <w:sz w:val="18"/>
              </w:rPr>
              <w:t>Bits from Bytes</w:t>
            </w:r>
          </w:p>
        </w:tc>
        <w:tc>
          <w:tcPr>
            <w:tcW w:w="2901" w:type="dxa"/>
          </w:tcPr>
          <w:p>
            <w:pPr>
              <w:pStyle w:val="TableParagraph"/>
              <w:spacing w:line="202" w:lineRule="exact"/>
              <w:ind w:left="423" w:right="417"/>
              <w:jc w:val="center"/>
              <w:rPr>
                <w:sz w:val="18"/>
              </w:rPr>
            </w:pPr>
            <w:hyperlink r:id="rId22">
              <w:r>
                <w:rPr>
                  <w:sz w:val="18"/>
                </w:rPr>
                <w:t>www.bitsfrombytes.com</w:t>
              </w:r>
            </w:hyperlink>
          </w:p>
        </w:tc>
      </w:tr>
      <w:tr>
        <w:trPr>
          <w:trHeight w:val="320" w:hRule="exact"/>
        </w:trPr>
        <w:tc>
          <w:tcPr>
            <w:tcW w:w="2252" w:type="dxa"/>
          </w:tcPr>
          <w:p>
            <w:pPr>
              <w:pStyle w:val="TableParagraph"/>
              <w:spacing w:line="206" w:lineRule="exact"/>
              <w:ind w:left="431" w:right="431"/>
              <w:jc w:val="center"/>
              <w:rPr>
                <w:sz w:val="18"/>
              </w:rPr>
            </w:pPr>
            <w:r>
              <w:rPr>
                <w:sz w:val="18"/>
              </w:rPr>
              <w:t>Cubify</w:t>
            </w:r>
          </w:p>
        </w:tc>
        <w:tc>
          <w:tcPr>
            <w:tcW w:w="2901" w:type="dxa"/>
          </w:tcPr>
          <w:p>
            <w:pPr>
              <w:pStyle w:val="TableParagraph"/>
              <w:spacing w:line="206" w:lineRule="exact"/>
              <w:ind w:left="421" w:right="417"/>
              <w:jc w:val="center"/>
              <w:rPr>
                <w:sz w:val="18"/>
              </w:rPr>
            </w:pPr>
            <w:hyperlink r:id="rId23">
              <w:r>
                <w:rPr>
                  <w:sz w:val="18"/>
                </w:rPr>
                <w:t>http://cubify.com</w:t>
              </w:r>
            </w:hyperlink>
          </w:p>
        </w:tc>
      </w:tr>
      <w:tr>
        <w:trPr>
          <w:trHeight w:val="320" w:hRule="exact"/>
        </w:trPr>
        <w:tc>
          <w:tcPr>
            <w:tcW w:w="2252" w:type="dxa"/>
          </w:tcPr>
          <w:p>
            <w:pPr>
              <w:pStyle w:val="TableParagraph"/>
              <w:spacing w:line="206" w:lineRule="exact"/>
              <w:ind w:left="430" w:right="431"/>
              <w:jc w:val="center"/>
              <w:rPr>
                <w:sz w:val="18"/>
              </w:rPr>
            </w:pPr>
            <w:r>
              <w:rPr>
                <w:sz w:val="18"/>
              </w:rPr>
              <w:t>Desktop Factory</w:t>
            </w:r>
          </w:p>
        </w:tc>
        <w:tc>
          <w:tcPr>
            <w:tcW w:w="2901" w:type="dxa"/>
          </w:tcPr>
          <w:p>
            <w:pPr>
              <w:pStyle w:val="TableParagraph"/>
              <w:spacing w:line="206" w:lineRule="exact"/>
              <w:ind w:left="424" w:right="417"/>
              <w:jc w:val="center"/>
              <w:rPr>
                <w:sz w:val="18"/>
              </w:rPr>
            </w:pPr>
            <w:hyperlink r:id="rId24">
              <w:r>
                <w:rPr>
                  <w:sz w:val="18"/>
                </w:rPr>
                <w:t>http://desktopfactory.com</w:t>
              </w:r>
            </w:hyperlink>
          </w:p>
        </w:tc>
      </w:tr>
      <w:tr>
        <w:trPr>
          <w:trHeight w:val="320" w:hRule="exact"/>
        </w:trPr>
        <w:tc>
          <w:tcPr>
            <w:tcW w:w="2252" w:type="dxa"/>
          </w:tcPr>
          <w:p>
            <w:pPr>
              <w:pStyle w:val="TableParagraph"/>
              <w:spacing w:line="206" w:lineRule="exact"/>
              <w:ind w:left="429" w:right="431"/>
              <w:jc w:val="center"/>
              <w:rPr>
                <w:sz w:val="18"/>
              </w:rPr>
            </w:pPr>
            <w:r>
              <w:rPr>
                <w:sz w:val="18"/>
              </w:rPr>
              <w:t>Fabbster</w:t>
            </w:r>
          </w:p>
        </w:tc>
        <w:tc>
          <w:tcPr>
            <w:tcW w:w="2901" w:type="dxa"/>
          </w:tcPr>
          <w:p>
            <w:pPr>
              <w:pStyle w:val="TableParagraph"/>
              <w:spacing w:line="206" w:lineRule="exact"/>
              <w:ind w:left="420" w:right="417"/>
              <w:jc w:val="center"/>
              <w:rPr>
                <w:sz w:val="18"/>
              </w:rPr>
            </w:pPr>
            <w:hyperlink r:id="rId25">
              <w:r>
                <w:rPr>
                  <w:sz w:val="18"/>
                </w:rPr>
                <w:t>www.fabbster.com</w:t>
              </w:r>
            </w:hyperlink>
          </w:p>
        </w:tc>
      </w:tr>
      <w:tr>
        <w:trPr>
          <w:trHeight w:val="325" w:hRule="exact"/>
        </w:trPr>
        <w:tc>
          <w:tcPr>
            <w:tcW w:w="2252" w:type="dxa"/>
          </w:tcPr>
          <w:p>
            <w:pPr>
              <w:pStyle w:val="TableParagraph"/>
              <w:spacing w:line="206" w:lineRule="exact"/>
              <w:ind w:left="427" w:right="431"/>
              <w:jc w:val="center"/>
              <w:rPr>
                <w:sz w:val="18"/>
              </w:rPr>
            </w:pPr>
            <w:r>
              <w:rPr>
                <w:sz w:val="18"/>
              </w:rPr>
              <w:t>MakerBot</w:t>
            </w:r>
          </w:p>
        </w:tc>
        <w:tc>
          <w:tcPr>
            <w:tcW w:w="2901" w:type="dxa"/>
          </w:tcPr>
          <w:p>
            <w:pPr>
              <w:pStyle w:val="TableParagraph"/>
              <w:spacing w:line="206" w:lineRule="exact"/>
              <w:ind w:left="424" w:right="417"/>
              <w:jc w:val="center"/>
              <w:rPr>
                <w:sz w:val="18"/>
              </w:rPr>
            </w:pPr>
            <w:hyperlink r:id="rId26">
              <w:r>
                <w:rPr>
                  <w:sz w:val="18"/>
                </w:rPr>
                <w:t>www.makerbot.com</w:t>
              </w:r>
            </w:hyperlink>
          </w:p>
        </w:tc>
      </w:tr>
      <w:tr>
        <w:trPr>
          <w:trHeight w:val="316" w:hRule="exact"/>
        </w:trPr>
        <w:tc>
          <w:tcPr>
            <w:tcW w:w="2252" w:type="dxa"/>
          </w:tcPr>
          <w:p>
            <w:pPr>
              <w:pStyle w:val="TableParagraph"/>
              <w:spacing w:line="202" w:lineRule="exact"/>
              <w:ind w:left="425" w:right="431"/>
              <w:jc w:val="center"/>
              <w:rPr>
                <w:sz w:val="18"/>
              </w:rPr>
            </w:pPr>
            <w:r>
              <w:rPr>
                <w:sz w:val="18"/>
              </w:rPr>
              <w:t>PP3DP</w:t>
            </w:r>
          </w:p>
        </w:tc>
        <w:tc>
          <w:tcPr>
            <w:tcW w:w="2901" w:type="dxa"/>
          </w:tcPr>
          <w:p>
            <w:pPr>
              <w:pStyle w:val="TableParagraph"/>
              <w:spacing w:line="202" w:lineRule="exact"/>
              <w:ind w:left="424" w:right="417"/>
              <w:jc w:val="center"/>
              <w:rPr>
                <w:sz w:val="18"/>
              </w:rPr>
            </w:pPr>
            <w:hyperlink r:id="rId27">
              <w:r>
                <w:rPr>
                  <w:sz w:val="18"/>
                </w:rPr>
                <w:t>http://pp3dp.com</w:t>
              </w:r>
            </w:hyperlink>
          </w:p>
        </w:tc>
      </w:tr>
    </w:tbl>
    <w:p>
      <w:pPr>
        <w:spacing w:line="206" w:lineRule="exact" w:before="0"/>
        <w:ind w:left="1089" w:right="1089" w:firstLine="0"/>
        <w:jc w:val="center"/>
        <w:rPr>
          <w:sz w:val="18"/>
        </w:rPr>
      </w:pPr>
      <w:r>
        <w:rPr>
          <w:sz w:val="18"/>
        </w:rPr>
        <w:t>(Fuente: Bryden, 2014: 171).</w:t>
      </w:r>
    </w:p>
    <w:p>
      <w:pPr>
        <w:pStyle w:val="BodyText"/>
        <w:rPr>
          <w:sz w:val="18"/>
        </w:rPr>
      </w:pPr>
    </w:p>
    <w:p>
      <w:pPr>
        <w:pStyle w:val="BodyText"/>
        <w:rPr>
          <w:sz w:val="18"/>
        </w:rPr>
      </w:pPr>
    </w:p>
    <w:p>
      <w:pPr>
        <w:pStyle w:val="BodyText"/>
        <w:spacing w:line="362" w:lineRule="auto" w:before="107"/>
        <w:ind w:left="100" w:right="105"/>
        <w:jc w:val="both"/>
      </w:pPr>
      <w:r>
        <w:rPr/>
        <w:t>Es importante mencionar las máquinas de código abierto como RepRap y Fab@Home son consideradas de bajo costo para Bryden.</w:t>
      </w:r>
    </w:p>
    <w:p>
      <w:pPr>
        <w:pStyle w:val="Heading2"/>
        <w:numPr>
          <w:ilvl w:val="2"/>
          <w:numId w:val="8"/>
        </w:numPr>
        <w:tabs>
          <w:tab w:pos="897" w:val="left" w:leader="none"/>
        </w:tabs>
        <w:spacing w:line="240" w:lineRule="auto" w:before="194" w:after="0"/>
        <w:ind w:left="897" w:right="0" w:hanging="797"/>
        <w:jc w:val="both"/>
      </w:pPr>
      <w:bookmarkStart w:name="2.3.1.  Tecnología RP para modelado 3D" w:id="52"/>
      <w:bookmarkEnd w:id="52"/>
      <w:r>
        <w:rPr/>
      </w:r>
      <w:bookmarkStart w:name="_bookmark29" w:id="53"/>
      <w:bookmarkEnd w:id="53"/>
      <w:r>
        <w:rPr/>
        <w:t>T</w:t>
      </w:r>
      <w:r>
        <w:rPr/>
        <w:t>ecnología RP para modelado</w:t>
      </w:r>
      <w:r>
        <w:rPr>
          <w:spacing w:val="-9"/>
        </w:rPr>
        <w:t> </w:t>
      </w:r>
      <w:r>
        <w:rPr/>
        <w:t>3D</w:t>
      </w:r>
    </w:p>
    <w:p>
      <w:pPr>
        <w:pStyle w:val="BodyText"/>
        <w:rPr>
          <w:sz w:val="28"/>
        </w:rPr>
      </w:pPr>
    </w:p>
    <w:p>
      <w:pPr>
        <w:pStyle w:val="BodyText"/>
        <w:spacing w:before="4"/>
        <w:rPr>
          <w:sz w:val="22"/>
        </w:rPr>
      </w:pPr>
    </w:p>
    <w:p>
      <w:pPr>
        <w:pStyle w:val="BodyText"/>
        <w:spacing w:line="362" w:lineRule="auto"/>
        <w:ind w:left="100" w:right="100"/>
        <w:jc w:val="both"/>
      </w:pPr>
      <w:r>
        <w:rPr/>
        <w:t>Noorani menciona los principios de procesos automatizados que se utilizan en las tecnologías de RP.</w:t>
      </w:r>
    </w:p>
    <w:p>
      <w:pPr>
        <w:pStyle w:val="BodyText"/>
      </w:pPr>
    </w:p>
    <w:p>
      <w:pPr>
        <w:pStyle w:val="BodyText"/>
        <w:spacing w:line="360" w:lineRule="auto" w:before="139"/>
        <w:ind w:left="100" w:right="99"/>
        <w:jc w:val="both"/>
      </w:pPr>
      <w:r>
        <w:rPr/>
        <w:t>RP es esencialmente una parte de la fabricación automatizada, una tecnología  que nos permite hacer palmaditas en tres dimensiones a partir de diseños  digitales, afirma Noorani, (2006). También dice que hay varias ventajas de fabricación automatizada </w:t>
      </w:r>
      <w:r>
        <w:rPr>
          <w:spacing w:val="-2"/>
        </w:rPr>
        <w:t>más </w:t>
      </w:r>
      <w:r>
        <w:rPr/>
        <w:t>de los procesos de fabricación y de moldeo manual. Algunas de estas ventajas son el diseño asistido por ordenador, los cambios de diseño rápidos y dimensiones precisas. Los procesos de fabricación, manual o automatizada, se pueden clasificar como sustractivo, aditivo, o formativa que el autor describe de manera detallada a continuación y ver </w:t>
      </w:r>
      <w:hyperlink w:history="true" w:anchor="_bookmark30">
        <w:r>
          <w:rPr/>
          <w:t>Figura</w:t>
        </w:r>
        <w:r>
          <w:rPr>
            <w:spacing w:val="-28"/>
          </w:rPr>
          <w:t> </w:t>
        </w:r>
        <w:r>
          <w:rPr/>
          <w:t>2.6</w:t>
        </w:r>
      </w:hyperlink>
      <w:r>
        <w:rPr/>
        <w:t>.</w:t>
      </w:r>
    </w:p>
    <w:p>
      <w:pPr>
        <w:spacing w:after="0" w:line="360" w:lineRule="auto"/>
        <w:jc w:val="both"/>
        <w:sectPr>
          <w:pgSz w:w="12240" w:h="15840"/>
          <w:pgMar w:header="0" w:footer="1031" w:top="1360" w:bottom="1220" w:left="1600" w:right="1600"/>
        </w:sectPr>
      </w:pPr>
    </w:p>
    <w:p>
      <w:pPr>
        <w:pStyle w:val="BodyText"/>
        <w:ind w:left="1653"/>
        <w:rPr>
          <w:sz w:val="20"/>
        </w:rPr>
      </w:pPr>
      <w:r>
        <w:rPr>
          <w:sz w:val="20"/>
        </w:rPr>
        <w:drawing>
          <wp:inline distT="0" distB="0" distL="0" distR="0">
            <wp:extent cx="3465079" cy="1969770"/>
            <wp:effectExtent l="0" t="0" r="0" b="0"/>
            <wp:docPr id="23" name="image12.jpeg" descr=""/>
            <wp:cNvGraphicFramePr>
              <a:graphicFrameLocks noChangeAspect="1"/>
            </wp:cNvGraphicFramePr>
            <a:graphic>
              <a:graphicData uri="http://schemas.openxmlformats.org/drawingml/2006/picture">
                <pic:pic>
                  <pic:nvPicPr>
                    <pic:cNvPr id="24" name="image12.jpeg"/>
                    <pic:cNvPicPr/>
                  </pic:nvPicPr>
                  <pic:blipFill>
                    <a:blip r:embed="rId28" cstate="print"/>
                    <a:stretch>
                      <a:fillRect/>
                    </a:stretch>
                  </pic:blipFill>
                  <pic:spPr>
                    <a:xfrm>
                      <a:off x="0" y="0"/>
                      <a:ext cx="3465079" cy="1969770"/>
                    </a:xfrm>
                    <a:prstGeom prst="rect">
                      <a:avLst/>
                    </a:prstGeom>
                  </pic:spPr>
                </pic:pic>
              </a:graphicData>
            </a:graphic>
          </wp:inline>
        </w:drawing>
      </w:r>
      <w:r>
        <w:rPr>
          <w:sz w:val="20"/>
        </w:rPr>
      </w:r>
    </w:p>
    <w:p>
      <w:pPr>
        <w:spacing w:before="118"/>
        <w:ind w:left="1668" w:right="104" w:firstLine="0"/>
        <w:jc w:val="left"/>
        <w:rPr>
          <w:sz w:val="18"/>
        </w:rPr>
      </w:pPr>
      <w:bookmarkStart w:name="_bookmark30" w:id="54"/>
      <w:bookmarkEnd w:id="54"/>
      <w:r>
        <w:rPr/>
      </w:r>
      <w:r>
        <w:rPr>
          <w:sz w:val="18"/>
        </w:rPr>
        <w:t>Figura 2.6. Proceso aditivo capa por capa. (Fuente: Noorani, 2006: 35).</w:t>
      </w:r>
    </w:p>
    <w:p>
      <w:pPr>
        <w:pStyle w:val="BodyText"/>
        <w:rPr>
          <w:sz w:val="18"/>
        </w:rPr>
      </w:pPr>
    </w:p>
    <w:p>
      <w:pPr>
        <w:pStyle w:val="BodyText"/>
        <w:spacing w:before="10"/>
        <w:rPr>
          <w:sz w:val="17"/>
        </w:rPr>
      </w:pPr>
    </w:p>
    <w:p>
      <w:pPr>
        <w:pStyle w:val="ListParagraph"/>
        <w:numPr>
          <w:ilvl w:val="3"/>
          <w:numId w:val="8"/>
        </w:numPr>
        <w:tabs>
          <w:tab w:pos="701" w:val="left" w:leader="none"/>
        </w:tabs>
        <w:spacing w:line="360" w:lineRule="auto" w:before="1" w:after="0"/>
        <w:ind w:left="701" w:right="120" w:hanging="361"/>
        <w:jc w:val="both"/>
        <w:rPr>
          <w:sz w:val="24"/>
        </w:rPr>
      </w:pPr>
      <w:r>
        <w:rPr>
          <w:i/>
          <w:sz w:val="24"/>
        </w:rPr>
        <w:t>Proceso sustractivo</w:t>
      </w:r>
      <w:r>
        <w:rPr>
          <w:sz w:val="24"/>
        </w:rPr>
        <w:t>. Para Noorani en este proceso, se comienza con un bloque sólido de material mayor que el tamaño final del objeto acabado, y después el material se retira lentamente hasta que se alcanza la forma deseada. Proceso sustractivo incluyen la mayoría de las formas de mecanizado de CNC o de otra manera. Los ejemplos </w:t>
      </w:r>
      <w:r>
        <w:rPr>
          <w:spacing w:val="-2"/>
          <w:sz w:val="24"/>
        </w:rPr>
        <w:t>más </w:t>
      </w:r>
      <w:r>
        <w:rPr>
          <w:sz w:val="24"/>
        </w:rPr>
        <w:t>ampliamente utilizados incluyen fresado, torneado, taladrado, la planificación, el  aserrado, el esmerilado, Mecanizado por descarga eléctrica o electroerosión (</w:t>
      </w:r>
      <w:r>
        <w:rPr>
          <w:i/>
          <w:sz w:val="24"/>
        </w:rPr>
        <w:t>Electrical Discharge Machining, </w:t>
      </w:r>
      <w:r>
        <w:rPr>
          <w:sz w:val="24"/>
        </w:rPr>
        <w:t>EDM), corte por láser, corte por chorro de agua, y muchos otros</w:t>
      </w:r>
      <w:r>
        <w:rPr>
          <w:spacing w:val="-21"/>
          <w:sz w:val="24"/>
        </w:rPr>
        <w:t> </w:t>
      </w:r>
      <w:r>
        <w:rPr>
          <w:sz w:val="24"/>
        </w:rPr>
        <w:t>métodos.</w:t>
      </w:r>
    </w:p>
    <w:p>
      <w:pPr>
        <w:pStyle w:val="BodyText"/>
      </w:pPr>
    </w:p>
    <w:p>
      <w:pPr>
        <w:pStyle w:val="ListParagraph"/>
        <w:numPr>
          <w:ilvl w:val="3"/>
          <w:numId w:val="8"/>
        </w:numPr>
        <w:tabs>
          <w:tab w:pos="701" w:val="left" w:leader="none"/>
        </w:tabs>
        <w:spacing w:line="360" w:lineRule="auto" w:before="138" w:after="0"/>
        <w:ind w:left="701" w:right="114" w:hanging="361"/>
        <w:jc w:val="both"/>
        <w:rPr>
          <w:sz w:val="24"/>
        </w:rPr>
      </w:pPr>
      <w:r>
        <w:rPr>
          <w:i/>
          <w:sz w:val="24"/>
        </w:rPr>
        <w:t>Proceso aditivo. </w:t>
      </w:r>
      <w:r>
        <w:rPr>
          <w:sz w:val="24"/>
        </w:rPr>
        <w:t>Noorani afirma que a diferencia del proceso de sustracción, este proceso implica la manipulación de material, de manera que las piezas sucesivas de que se combinan en la forma correcta para producir el objeto deseado. El proceso de PR (fabricación por capas) entra en la categoría de fabricación aditiva. Muestra la capa de aditivo por proceso de capa de prototipado rápido. Ejemplos de procesos de PR incluyen Estereolitografía (</w:t>
      </w:r>
      <w:r>
        <w:rPr>
          <w:i/>
          <w:sz w:val="24"/>
        </w:rPr>
        <w:t>Stereolithography, </w:t>
      </w:r>
      <w:r>
        <w:rPr>
          <w:sz w:val="24"/>
        </w:rPr>
        <w:t>SLA o SL), FDM, Fabricación de Objetos Laminados (</w:t>
      </w:r>
      <w:r>
        <w:rPr>
          <w:i/>
          <w:sz w:val="24"/>
        </w:rPr>
        <w:t>Laminated Object Manufacturing, </w:t>
      </w:r>
      <w:r>
        <w:rPr>
          <w:sz w:val="24"/>
        </w:rPr>
        <w:t>LOM), Sinterización Selectiva por Láser (</w:t>
      </w:r>
      <w:r>
        <w:rPr>
          <w:i/>
          <w:sz w:val="24"/>
        </w:rPr>
        <w:t>Selective Laser Sintering, </w:t>
      </w:r>
      <w:r>
        <w:rPr>
          <w:sz w:val="24"/>
        </w:rPr>
        <w:t>SLS), Fotopolimerización por luz Ultravioleta (</w:t>
      </w:r>
      <w:r>
        <w:rPr>
          <w:i/>
          <w:sz w:val="24"/>
        </w:rPr>
        <w:t>Solid Ground Curing, </w:t>
      </w:r>
      <w:r>
        <w:rPr>
          <w:sz w:val="24"/>
        </w:rPr>
        <w:t>SGC), Proyección Aglutinante (</w:t>
      </w:r>
      <w:r>
        <w:rPr>
          <w:i/>
          <w:sz w:val="24"/>
        </w:rPr>
        <w:t>Direct  Shell </w:t>
      </w:r>
      <w:r>
        <w:rPr>
          <w:i/>
          <w:sz w:val="24"/>
        </w:rPr>
        <w:t>Production </w:t>
      </w:r>
      <w:r>
        <w:rPr>
          <w:sz w:val="24"/>
        </w:rPr>
        <w:t>Casting, DSPC) e Impresión tridimensional</w:t>
      </w:r>
      <w:r>
        <w:rPr>
          <w:spacing w:val="-25"/>
          <w:sz w:val="24"/>
        </w:rPr>
        <w:t> </w:t>
      </w:r>
      <w:r>
        <w:rPr>
          <w:sz w:val="24"/>
        </w:rPr>
        <w:t>(3DP).</w:t>
      </w:r>
    </w:p>
    <w:p>
      <w:pPr>
        <w:spacing w:after="0" w:line="360" w:lineRule="auto"/>
        <w:jc w:val="both"/>
        <w:rPr>
          <w:sz w:val="24"/>
        </w:rPr>
        <w:sectPr>
          <w:pgSz w:w="12240" w:h="15840"/>
          <w:pgMar w:header="0" w:footer="1031" w:top="1420" w:bottom="1220" w:left="1720" w:right="1580"/>
        </w:sectPr>
      </w:pPr>
    </w:p>
    <w:p>
      <w:pPr>
        <w:pStyle w:val="ListParagraph"/>
        <w:numPr>
          <w:ilvl w:val="4"/>
          <w:numId w:val="8"/>
        </w:numPr>
        <w:tabs>
          <w:tab w:pos="821" w:val="left" w:leader="none"/>
        </w:tabs>
        <w:spacing w:line="362" w:lineRule="auto" w:before="51" w:after="0"/>
        <w:ind w:left="821" w:right="102" w:hanging="361"/>
        <w:jc w:val="both"/>
        <w:rPr>
          <w:sz w:val="24"/>
        </w:rPr>
      </w:pPr>
      <w:r>
        <w:rPr>
          <w:i/>
          <w:sz w:val="24"/>
        </w:rPr>
        <w:t>Proceso Formativo</w:t>
      </w:r>
      <w:r>
        <w:rPr>
          <w:sz w:val="24"/>
        </w:rPr>
        <w:t>. En este proceso, las fuerzas mecánicas se aplican al material a fin de formar la forma deseada. Ejemplos del proceso de fabricación formativa incluyen flexión, forja, conformado electromagnético, y el moldeo por inyección de plástico, así define</w:t>
      </w:r>
      <w:r>
        <w:rPr>
          <w:spacing w:val="-31"/>
          <w:sz w:val="24"/>
        </w:rPr>
        <w:t> </w:t>
      </w:r>
      <w:r>
        <w:rPr>
          <w:sz w:val="24"/>
        </w:rPr>
        <w:t>Noorani.</w:t>
      </w:r>
    </w:p>
    <w:p>
      <w:pPr>
        <w:pStyle w:val="BodyText"/>
      </w:pPr>
    </w:p>
    <w:p>
      <w:pPr>
        <w:pStyle w:val="BodyText"/>
        <w:spacing w:line="360" w:lineRule="auto" w:before="140"/>
        <w:ind w:left="100" w:right="100"/>
        <w:jc w:val="both"/>
      </w:pPr>
      <w:r>
        <w:rPr/>
        <w:t>Noorani también considera combinar estos procesos para formar un proceso híbrido. Se espera que los procesos híbridos para contribuir significativamente a la producción de bienes en el futuro. Para él, el trabajo de estampado por prensa, es un ejemplo de las máquinas híbridas que combinan dos o </w:t>
      </w:r>
      <w:r>
        <w:rPr>
          <w:spacing w:val="-2"/>
        </w:rPr>
        <w:t>más </w:t>
      </w:r>
      <w:r>
        <w:rPr/>
        <w:t>procesos de fabricación. En el estampado por prensa trabaja un híbrido de extracción (como en la supresión y puñetazos) y formativo (como en la flexión y la formación) es  usado.</w:t>
      </w:r>
    </w:p>
    <w:p>
      <w:pPr>
        <w:pStyle w:val="BodyText"/>
      </w:pPr>
    </w:p>
    <w:p>
      <w:pPr>
        <w:pStyle w:val="BodyText"/>
        <w:spacing w:before="142"/>
        <w:ind w:left="100"/>
        <w:jc w:val="both"/>
      </w:pPr>
      <w:r>
        <w:rPr/>
        <w:t>Para Bryden (2014) algunos ejemplos de procesos de PR sustractivo son:</w:t>
      </w:r>
    </w:p>
    <w:p>
      <w:pPr>
        <w:pStyle w:val="BodyText"/>
        <w:spacing w:before="136"/>
        <w:ind w:left="100"/>
        <w:jc w:val="both"/>
      </w:pPr>
      <w:r>
        <w:rPr/>
        <w:t>-Corte láser</w:t>
      </w:r>
    </w:p>
    <w:p>
      <w:pPr>
        <w:pStyle w:val="BodyText"/>
        <w:spacing w:before="140"/>
        <w:ind w:left="100"/>
        <w:jc w:val="both"/>
      </w:pPr>
      <w:r>
        <w:rPr/>
        <w:t>-Corte con chorro de agua</w:t>
      </w:r>
    </w:p>
    <w:p>
      <w:pPr>
        <w:pStyle w:val="ListParagraph"/>
        <w:numPr>
          <w:ilvl w:val="0"/>
          <w:numId w:val="9"/>
        </w:numPr>
        <w:tabs>
          <w:tab w:pos="249" w:val="left" w:leader="none"/>
        </w:tabs>
        <w:spacing w:line="240" w:lineRule="auto" w:before="136" w:after="0"/>
        <w:ind w:left="100" w:right="0" w:firstLine="0"/>
        <w:jc w:val="both"/>
        <w:rPr>
          <w:sz w:val="24"/>
        </w:rPr>
      </w:pPr>
      <w:r>
        <w:rPr>
          <w:sz w:val="24"/>
        </w:rPr>
        <w:t>Corte con</w:t>
      </w:r>
      <w:r>
        <w:rPr>
          <w:spacing w:val="-10"/>
          <w:sz w:val="24"/>
        </w:rPr>
        <w:t> </w:t>
      </w:r>
      <w:r>
        <w:rPr>
          <w:sz w:val="24"/>
        </w:rPr>
        <w:t>plasma</w:t>
      </w:r>
    </w:p>
    <w:p>
      <w:pPr>
        <w:pStyle w:val="BodyText"/>
        <w:spacing w:before="140"/>
        <w:ind w:left="100"/>
        <w:jc w:val="both"/>
      </w:pPr>
      <w:r>
        <w:rPr/>
        <w:t>-Fresado</w:t>
      </w:r>
    </w:p>
    <w:p>
      <w:pPr>
        <w:pStyle w:val="BodyText"/>
        <w:spacing w:before="136"/>
        <w:ind w:left="100"/>
        <w:jc w:val="both"/>
      </w:pPr>
      <w:r>
        <w:rPr/>
        <w:t>-Enrutamiento</w:t>
      </w:r>
    </w:p>
    <w:p>
      <w:pPr>
        <w:pStyle w:val="BodyText"/>
        <w:spacing w:before="140"/>
        <w:ind w:left="100"/>
        <w:jc w:val="both"/>
      </w:pPr>
      <w:r>
        <w:rPr/>
        <w:t>-Corte con hilo caliente</w:t>
      </w:r>
    </w:p>
    <w:p>
      <w:pPr>
        <w:tabs>
          <w:tab w:pos="1715" w:val="left" w:leader="none"/>
          <w:tab w:pos="2303" w:val="left" w:leader="none"/>
          <w:tab w:pos="3533" w:val="left" w:leader="none"/>
          <w:tab w:pos="4672" w:val="left" w:leader="none"/>
          <w:tab w:pos="5300" w:val="left" w:leader="none"/>
          <w:tab w:pos="5915" w:val="left" w:leader="none"/>
          <w:tab w:pos="7058" w:val="left" w:leader="none"/>
          <w:tab w:pos="8593" w:val="left" w:leader="none"/>
        </w:tabs>
        <w:spacing w:line="357" w:lineRule="auto" w:before="136"/>
        <w:ind w:left="100" w:right="100" w:firstLine="0"/>
        <w:jc w:val="left"/>
        <w:rPr>
          <w:sz w:val="24"/>
        </w:rPr>
      </w:pPr>
      <w:r>
        <w:rPr>
          <w:sz w:val="24"/>
        </w:rPr>
        <w:t>-Mecanizado</w:t>
        <w:tab/>
        <w:t>por</w:t>
        <w:tab/>
        <w:t>descarga</w:t>
        <w:tab/>
        <w:t>eléctrica</w:t>
        <w:tab/>
        <w:t>con</w:t>
        <w:tab/>
        <w:t>hilo</w:t>
        <w:tab/>
        <w:t>metálico</w:t>
        <w:tab/>
        <w:t>Mecanizado</w:t>
        <w:tab/>
      </w:r>
      <w:r>
        <w:rPr>
          <w:spacing w:val="-1"/>
          <w:sz w:val="24"/>
        </w:rPr>
        <w:t>por </w:t>
      </w:r>
      <w:r>
        <w:rPr>
          <w:sz w:val="24"/>
        </w:rPr>
        <w:t>electroerosión o descarga eléctrica (</w:t>
      </w:r>
      <w:r>
        <w:rPr>
          <w:i/>
          <w:sz w:val="24"/>
        </w:rPr>
        <w:t>Electrical Discharge Machining</w:t>
      </w:r>
      <w:r>
        <w:rPr>
          <w:sz w:val="24"/>
        </w:rPr>
        <w:t>,</w:t>
      </w:r>
      <w:r>
        <w:rPr>
          <w:spacing w:val="-31"/>
          <w:sz w:val="24"/>
        </w:rPr>
        <w:t> </w:t>
      </w:r>
      <w:r>
        <w:rPr>
          <w:sz w:val="24"/>
        </w:rPr>
        <w:t>EDM).</w:t>
      </w:r>
    </w:p>
    <w:p>
      <w:pPr>
        <w:pStyle w:val="BodyText"/>
      </w:pPr>
    </w:p>
    <w:p>
      <w:pPr>
        <w:pStyle w:val="BodyText"/>
        <w:spacing w:before="10"/>
        <w:rPr>
          <w:sz w:val="29"/>
        </w:rPr>
      </w:pPr>
    </w:p>
    <w:p>
      <w:pPr>
        <w:pStyle w:val="Heading2"/>
        <w:numPr>
          <w:ilvl w:val="2"/>
          <w:numId w:val="8"/>
        </w:numPr>
        <w:tabs>
          <w:tab w:pos="897" w:val="left" w:leader="none"/>
        </w:tabs>
        <w:spacing w:line="240" w:lineRule="auto" w:before="0" w:after="0"/>
        <w:ind w:left="897" w:right="0" w:hanging="797"/>
        <w:jc w:val="both"/>
      </w:pPr>
      <w:bookmarkStart w:name="2.3.2.  Breve historia de tecnologías RP" w:id="55"/>
      <w:bookmarkEnd w:id="55"/>
      <w:r>
        <w:rPr/>
      </w:r>
      <w:bookmarkStart w:name="_bookmark31" w:id="56"/>
      <w:bookmarkEnd w:id="56"/>
      <w:r>
        <w:rPr/>
        <w:t>B</w:t>
      </w:r>
      <w:r>
        <w:rPr/>
        <w:t>reve historia de tecnologías</w:t>
      </w:r>
      <w:r>
        <w:rPr>
          <w:spacing w:val="-7"/>
        </w:rPr>
        <w:t> </w:t>
      </w:r>
      <w:r>
        <w:rPr/>
        <w:t>RP</w:t>
      </w:r>
    </w:p>
    <w:p>
      <w:pPr>
        <w:pStyle w:val="BodyText"/>
        <w:rPr>
          <w:sz w:val="28"/>
        </w:rPr>
      </w:pPr>
    </w:p>
    <w:p>
      <w:pPr>
        <w:pStyle w:val="BodyText"/>
        <w:spacing w:before="4"/>
        <w:rPr>
          <w:sz w:val="22"/>
        </w:rPr>
      </w:pPr>
    </w:p>
    <w:p>
      <w:pPr>
        <w:pStyle w:val="BodyText"/>
        <w:spacing w:line="360" w:lineRule="auto"/>
        <w:ind w:left="100" w:right="99"/>
        <w:jc w:val="both"/>
      </w:pPr>
      <w:r>
        <w:rPr/>
        <w:t>Para Noorani, 2006, RP no es una tecnología en sí misma, sino que se basa en  las otras tecnologías como CAD, CAM, y CNC. En la </w:t>
      </w:r>
      <w:hyperlink w:history="true" w:anchor="_bookmark32">
        <w:r>
          <w:rPr/>
          <w:t>Figura 2.7</w:t>
        </w:r>
      </w:hyperlink>
      <w:r>
        <w:rPr/>
        <w:t> se muestra la  traza la evolución histórica de las diversas tecnologías de la fecha estimada de inicio.</w:t>
      </w:r>
    </w:p>
    <w:p>
      <w:pPr>
        <w:spacing w:after="0" w:line="360" w:lineRule="auto"/>
        <w:jc w:val="both"/>
        <w:sectPr>
          <w:pgSz w:w="12240" w:h="15840"/>
          <w:pgMar w:header="0" w:footer="1031" w:top="1360" w:bottom="1220" w:left="1600" w:right="1600"/>
        </w:sectPr>
      </w:pPr>
    </w:p>
    <w:p>
      <w:pPr>
        <w:pStyle w:val="BodyText"/>
        <w:ind w:left="1047"/>
        <w:rPr>
          <w:sz w:val="20"/>
        </w:rPr>
      </w:pPr>
      <w:r>
        <w:rPr>
          <w:sz w:val="20"/>
        </w:rPr>
        <w:drawing>
          <wp:inline distT="0" distB="0" distL="0" distR="0">
            <wp:extent cx="4387745" cy="2553557"/>
            <wp:effectExtent l="0" t="0" r="0" b="0"/>
            <wp:docPr id="25" name="image13.jpeg" descr=""/>
            <wp:cNvGraphicFramePr>
              <a:graphicFrameLocks noChangeAspect="1"/>
            </wp:cNvGraphicFramePr>
            <a:graphic>
              <a:graphicData uri="http://schemas.openxmlformats.org/drawingml/2006/picture">
                <pic:pic>
                  <pic:nvPicPr>
                    <pic:cNvPr id="26" name="image13.jpeg"/>
                    <pic:cNvPicPr/>
                  </pic:nvPicPr>
                  <pic:blipFill>
                    <a:blip r:embed="rId29" cstate="print"/>
                    <a:stretch>
                      <a:fillRect/>
                    </a:stretch>
                  </pic:blipFill>
                  <pic:spPr>
                    <a:xfrm>
                      <a:off x="0" y="0"/>
                      <a:ext cx="4387745" cy="2553557"/>
                    </a:xfrm>
                    <a:prstGeom prst="rect">
                      <a:avLst/>
                    </a:prstGeom>
                  </pic:spPr>
                </pic:pic>
              </a:graphicData>
            </a:graphic>
          </wp:inline>
        </w:drawing>
      </w:r>
      <w:r>
        <w:rPr>
          <w:sz w:val="20"/>
        </w:rPr>
      </w:r>
    </w:p>
    <w:p>
      <w:pPr>
        <w:spacing w:before="126"/>
        <w:ind w:left="1637" w:right="235" w:firstLine="0"/>
        <w:jc w:val="left"/>
        <w:rPr>
          <w:sz w:val="18"/>
        </w:rPr>
      </w:pPr>
      <w:bookmarkStart w:name="_bookmark32" w:id="57"/>
      <w:bookmarkEnd w:id="57"/>
      <w:r>
        <w:rPr/>
      </w:r>
      <w:r>
        <w:rPr>
          <w:sz w:val="18"/>
        </w:rPr>
        <w:t>Figura 2.7. Evolución histórica de la tecnología. (Fuente: Noorani, 2006: 9).</w:t>
      </w:r>
    </w:p>
    <w:p>
      <w:pPr>
        <w:pStyle w:val="BodyText"/>
        <w:rPr>
          <w:sz w:val="18"/>
        </w:rPr>
      </w:pPr>
    </w:p>
    <w:p>
      <w:pPr>
        <w:pStyle w:val="BodyText"/>
        <w:spacing w:before="2"/>
        <w:rPr>
          <w:sz w:val="18"/>
        </w:rPr>
      </w:pPr>
    </w:p>
    <w:p>
      <w:pPr>
        <w:pStyle w:val="BodyText"/>
        <w:spacing w:line="360" w:lineRule="auto"/>
        <w:ind w:left="100" w:right="119"/>
        <w:jc w:val="both"/>
      </w:pPr>
      <w:r>
        <w:rPr/>
        <w:t>La característica única de RP es que hace prototipos una capa a la vez o capa por capa. Otro grupo de términos que hace hincapié en esta característica incluye fabricación por capas, la fabricación de depósitos de material y fabricación, además de materiales, comenta Noorani.</w:t>
      </w:r>
    </w:p>
    <w:p>
      <w:pPr>
        <w:pStyle w:val="BodyText"/>
      </w:pPr>
    </w:p>
    <w:p>
      <w:pPr>
        <w:pStyle w:val="BodyText"/>
        <w:spacing w:line="360" w:lineRule="auto" w:before="142"/>
        <w:ind w:left="100" w:right="120"/>
        <w:jc w:val="both"/>
      </w:pPr>
      <w:r>
        <w:rPr/>
        <w:t>Dicho proceso en su historia temprana fue llamado de fabricación por capas. El concepto de construcción de capa por capa, algo se remonta a por lo menos dos áreas técnicas, la topografía y fotoescultura según Noorani:</w:t>
      </w:r>
    </w:p>
    <w:p>
      <w:pPr>
        <w:pStyle w:val="BodyText"/>
        <w:spacing w:before="11"/>
        <w:rPr>
          <w:sz w:val="35"/>
        </w:rPr>
      </w:pPr>
    </w:p>
    <w:p>
      <w:pPr>
        <w:pStyle w:val="ListParagraph"/>
        <w:numPr>
          <w:ilvl w:val="3"/>
          <w:numId w:val="8"/>
        </w:numPr>
        <w:tabs>
          <w:tab w:pos="821" w:val="left" w:leader="none"/>
        </w:tabs>
        <w:spacing w:line="360" w:lineRule="auto" w:before="0" w:after="0"/>
        <w:ind w:left="821" w:right="117" w:hanging="361"/>
        <w:jc w:val="both"/>
        <w:rPr>
          <w:sz w:val="24"/>
        </w:rPr>
      </w:pPr>
      <w:r>
        <w:rPr>
          <w:i/>
          <w:sz w:val="24"/>
        </w:rPr>
        <w:t>Topografía</w:t>
      </w:r>
      <w:r>
        <w:rPr>
          <w:sz w:val="24"/>
        </w:rPr>
        <w:t>. Se había informado que en 1980 Blanther sugirió un método de capas para hacer un molde para mapas topográficos. El método consiste en impresionar líneas de contorno topográficos en una serie de placas de cera, el corte de las placas de cera en las líneas de contorno, y luego apilar y alisar la sección de cera. Este método se utiliza para producir superficies tridimensionales tanto positivas como negativas correspondientes al terreno indicado por las líneas de contorno. Después de realizar copias adecuadamente estas superficies, un mapa de papel impreso fue luego presionado entre las formas positivas y negativas para crear un mapa en relieve</w:t>
      </w:r>
      <w:r>
        <w:rPr>
          <w:spacing w:val="-12"/>
          <w:sz w:val="24"/>
        </w:rPr>
        <w:t> </w:t>
      </w:r>
      <w:r>
        <w:rPr>
          <w:sz w:val="24"/>
        </w:rPr>
        <w:t>elevado.</w:t>
      </w:r>
    </w:p>
    <w:p>
      <w:pPr>
        <w:spacing w:after="0" w:line="360" w:lineRule="auto"/>
        <w:jc w:val="both"/>
        <w:rPr>
          <w:sz w:val="24"/>
        </w:rPr>
        <w:sectPr>
          <w:pgSz w:w="12240" w:h="15840"/>
          <w:pgMar w:header="0" w:footer="1031" w:top="1420" w:bottom="1220" w:left="1600" w:right="1580"/>
        </w:sectPr>
      </w:pPr>
    </w:p>
    <w:p>
      <w:pPr>
        <w:pStyle w:val="ListParagraph"/>
        <w:numPr>
          <w:ilvl w:val="3"/>
          <w:numId w:val="8"/>
        </w:numPr>
        <w:tabs>
          <w:tab w:pos="821" w:val="left" w:leader="none"/>
        </w:tabs>
        <w:spacing w:line="360" w:lineRule="auto" w:before="51" w:after="0"/>
        <w:ind w:left="821" w:right="117" w:hanging="361"/>
        <w:jc w:val="both"/>
        <w:rPr>
          <w:sz w:val="24"/>
        </w:rPr>
      </w:pPr>
      <w:r>
        <w:rPr>
          <w:i/>
          <w:sz w:val="24"/>
        </w:rPr>
        <w:t>Foto-escultura</w:t>
      </w:r>
      <w:r>
        <w:rPr>
          <w:sz w:val="24"/>
        </w:rPr>
        <w:t>. La idea de la escultura de la foto se produjo en el siglo XIX, en un intento de crear réplicas exactas tridimensionales de objetos, incluyendo las formas humanas. En 1860, el francés Francois Willeme diseñó con éxito un método para promover esta tecnología. En este  método, el objeto al ser duplicado se colocó en una habitación circular y simultáneamente fotografiada por 24 cámaras colocadas igualmente alrededor de la circunferencia de la habitación. Un artesano entonces utilizó la silueta en el estudio de Willeme labrarse 1/24 ª de una parte cilíndrica de la figura. En un esfuerzo por simplificar el proceso de tallado mano de obra intensiva del proceso de foto escultura de Willeme, Baese describe un método que utiliza la luz graduada para exponer gelatina fotosensible, que se expande en proporción a la exposición cuando se trata con agua. Anillos anulares están fijos a un soporte para hacer un duplicado del objeto; concluye</w:t>
      </w:r>
      <w:r>
        <w:rPr>
          <w:spacing w:val="-10"/>
          <w:sz w:val="24"/>
        </w:rPr>
        <w:t> </w:t>
      </w:r>
      <w:r>
        <w:rPr>
          <w:sz w:val="24"/>
        </w:rPr>
        <w:t>Noorani.</w:t>
      </w:r>
    </w:p>
    <w:p>
      <w:pPr>
        <w:pStyle w:val="BodyText"/>
      </w:pPr>
    </w:p>
    <w:p>
      <w:pPr>
        <w:pStyle w:val="BodyText"/>
        <w:spacing w:line="360" w:lineRule="auto" w:before="142"/>
        <w:ind w:left="100" w:right="120"/>
        <w:jc w:val="both"/>
      </w:pPr>
      <w:r>
        <w:rPr/>
        <w:t>Actualmente los fabricantes y desarolladores de máquinas de RP y Fabricación aditiva según Bryden (2014) serían: Agilista, Arcam, Asiga, Aspect, Blue Printer, Carima, CMET, Concept Laser, DM3D Technology, DWS, Envision TEC, EOS, Evonik, ExOne, Fabrisonic, HP, InssTek, Irepa Laser, Lithoz, Luxexcel, Mcor Technologies, Microfabrica, Optomec, Phenix Systems, Realizer, Renishaw, Sciaky, Shaanxi Hengtong Intelligent Machine, Co. Ltd., Sintermask, SLM Solutions, Solidscape, Stratasys, 3D Systems, 3Geometry, Trumpsystem Precision Machinery.</w:t>
      </w:r>
    </w:p>
    <w:p>
      <w:pPr>
        <w:pStyle w:val="BodyText"/>
      </w:pPr>
    </w:p>
    <w:p>
      <w:pPr>
        <w:pStyle w:val="BodyText"/>
        <w:spacing w:line="362" w:lineRule="auto" w:before="142"/>
        <w:ind w:left="100" w:right="235"/>
      </w:pPr>
      <w:r>
        <w:rPr/>
        <w:t>Bryden (2014) recomienda sitios web que están actualizados en materia de prototipado rápido:</w:t>
      </w:r>
    </w:p>
    <w:p>
      <w:pPr>
        <w:pStyle w:val="BodyText"/>
        <w:spacing w:line="360" w:lineRule="auto"/>
        <w:ind w:left="100" w:right="3377"/>
      </w:pPr>
      <w:hyperlink r:id="rId30">
        <w:r>
          <w:rPr/>
          <w:t>http://www.econolyst.co.uk/</w:t>
        </w:r>
      </w:hyperlink>
      <w:r>
        <w:rPr/>
        <w:t> </w:t>
      </w:r>
      <w:hyperlink r:id="rId31">
        <w:r>
          <w:rPr/>
          <w:t>http://www.fabbaloo.com/</w:t>
        </w:r>
      </w:hyperlink>
      <w:r>
        <w:rPr/>
        <w:t> </w:t>
      </w:r>
      <w:hyperlink r:id="rId32">
        <w:r>
          <w:rPr/>
          <w:t>http://www.thingiverse.com/</w:t>
        </w:r>
      </w:hyperlink>
      <w:r>
        <w:rPr/>
        <w:t> </w:t>
      </w:r>
      <w:hyperlink r:id="rId33">
        <w:r>
          <w:rPr/>
          <w:t>http://www.additive3d.com/</w:t>
        </w:r>
      </w:hyperlink>
      <w:r>
        <w:rPr/>
        <w:t> </w:t>
      </w:r>
      <w:hyperlink r:id="rId34">
        <w:r>
          <w:rPr/>
          <w:t>http://www.rapidtoday.com/</w:t>
        </w:r>
      </w:hyperlink>
    </w:p>
    <w:p>
      <w:pPr>
        <w:spacing w:after="0" w:line="360" w:lineRule="auto"/>
        <w:sectPr>
          <w:pgSz w:w="12240" w:h="15840"/>
          <w:pgMar w:header="0" w:footer="1031" w:top="1360" w:bottom="1220" w:left="1600" w:right="1580"/>
        </w:sectPr>
      </w:pPr>
    </w:p>
    <w:p>
      <w:pPr>
        <w:pStyle w:val="BodyText"/>
        <w:spacing w:line="360" w:lineRule="auto" w:before="55"/>
        <w:ind w:left="100" w:right="2639"/>
      </w:pPr>
      <w:hyperlink r:id="rId35">
        <w:r>
          <w:rPr/>
          <w:t>http://www.theengineer.co.uk/</w:t>
        </w:r>
      </w:hyperlink>
      <w:r>
        <w:rPr/>
        <w:t> </w:t>
      </w:r>
      <w:hyperlink r:id="rId36">
        <w:r>
          <w:rPr/>
          <w:t>http://www.manufacturingthefuture.co.uk/</w:t>
        </w:r>
      </w:hyperlink>
      <w:r>
        <w:rPr/>
        <w:t> </w:t>
      </w:r>
      <w:hyperlink r:id="rId37">
        <w:r>
          <w:rPr/>
          <w:t>http://candyfab.org/</w:t>
        </w:r>
      </w:hyperlink>
      <w:r>
        <w:rPr/>
        <w:t> </w:t>
      </w:r>
      <w:hyperlink r:id="rId38">
        <w:r>
          <w:rPr/>
          <w:t>http://www.paramountind.com/selective-laser-sintering.thml</w:t>
        </w:r>
      </w:hyperlink>
      <w:r>
        <w:rPr/>
        <w:t> </w:t>
      </w:r>
      <w:hyperlink r:id="rId39">
        <w:r>
          <w:rPr/>
          <w:t>http://wohlersassociates.com/</w:t>
        </w:r>
      </w:hyperlink>
    </w:p>
    <w:p>
      <w:pPr>
        <w:pStyle w:val="BodyText"/>
      </w:pPr>
    </w:p>
    <w:p>
      <w:pPr>
        <w:pStyle w:val="BodyText"/>
        <w:spacing w:before="3"/>
        <w:rPr>
          <w:sz w:val="29"/>
        </w:rPr>
      </w:pPr>
    </w:p>
    <w:p>
      <w:pPr>
        <w:pStyle w:val="Heading2"/>
        <w:numPr>
          <w:ilvl w:val="2"/>
          <w:numId w:val="8"/>
        </w:numPr>
        <w:tabs>
          <w:tab w:pos="897" w:val="left" w:leader="none"/>
        </w:tabs>
        <w:spacing w:line="240" w:lineRule="auto" w:before="0" w:after="0"/>
        <w:ind w:left="897" w:right="0" w:hanging="797"/>
        <w:jc w:val="both"/>
      </w:pPr>
      <w:bookmarkStart w:name="2.3.3.  Procesos básicos" w:id="58"/>
      <w:bookmarkEnd w:id="58"/>
      <w:r>
        <w:rPr/>
      </w:r>
      <w:bookmarkStart w:name="_bookmark33" w:id="59"/>
      <w:bookmarkEnd w:id="59"/>
      <w:r>
        <w:rPr/>
        <w:t>P</w:t>
      </w:r>
      <w:r>
        <w:rPr/>
        <w:t>rocesos</w:t>
      </w:r>
      <w:r>
        <w:rPr>
          <w:spacing w:val="-3"/>
        </w:rPr>
        <w:t> </w:t>
      </w:r>
      <w:r>
        <w:rPr/>
        <w:t>básicos</w:t>
      </w:r>
    </w:p>
    <w:p>
      <w:pPr>
        <w:pStyle w:val="BodyText"/>
        <w:rPr>
          <w:sz w:val="28"/>
        </w:rPr>
      </w:pPr>
    </w:p>
    <w:p>
      <w:pPr>
        <w:pStyle w:val="BodyText"/>
        <w:spacing w:before="9"/>
        <w:rPr>
          <w:sz w:val="22"/>
        </w:rPr>
      </w:pPr>
    </w:p>
    <w:p>
      <w:pPr>
        <w:pStyle w:val="BodyText"/>
        <w:spacing w:line="360" w:lineRule="auto"/>
        <w:ind w:left="100" w:right="119"/>
        <w:jc w:val="both"/>
      </w:pPr>
      <w:r>
        <w:rPr/>
        <w:t>Para Noorani muchos procesos diferentes están disponibles hoy en día, usando una variedad de materiales, tales como cera, plástico, metales y con una variedad de procesos, tales como la SL y el modelado por deposición fundida (Fused Deposition Modeling, FDM). Sin embargo, casi todos los procesos operan mediante la formación de objetos sólidos, el uso de materiales ya sea líquidos o en polvo a base. El proceso básico del RP consta de los siguientes</w:t>
      </w:r>
      <w:r>
        <w:rPr>
          <w:spacing w:val="-29"/>
        </w:rPr>
        <w:t> </w:t>
      </w:r>
      <w:r>
        <w:rPr/>
        <w:t>pasos:</w:t>
      </w:r>
    </w:p>
    <w:p>
      <w:pPr>
        <w:pStyle w:val="BodyText"/>
      </w:pPr>
    </w:p>
    <w:p>
      <w:pPr>
        <w:pStyle w:val="ListParagraph"/>
        <w:numPr>
          <w:ilvl w:val="0"/>
          <w:numId w:val="10"/>
        </w:numPr>
        <w:tabs>
          <w:tab w:pos="1089" w:val="left" w:leader="none"/>
        </w:tabs>
        <w:spacing w:line="240" w:lineRule="auto" w:before="142" w:after="0"/>
        <w:ind w:left="821" w:right="0" w:firstLine="0"/>
        <w:jc w:val="left"/>
        <w:rPr>
          <w:sz w:val="24"/>
        </w:rPr>
      </w:pPr>
      <w:r>
        <w:rPr>
          <w:sz w:val="24"/>
        </w:rPr>
        <w:t>Crear un modelo CAD del</w:t>
      </w:r>
      <w:r>
        <w:rPr>
          <w:spacing w:val="-20"/>
          <w:sz w:val="24"/>
        </w:rPr>
        <w:t> </w:t>
      </w:r>
      <w:r>
        <w:rPr>
          <w:sz w:val="24"/>
        </w:rPr>
        <w:t>diseño.</w:t>
      </w:r>
    </w:p>
    <w:p>
      <w:pPr>
        <w:pStyle w:val="ListParagraph"/>
        <w:numPr>
          <w:ilvl w:val="0"/>
          <w:numId w:val="10"/>
        </w:numPr>
        <w:tabs>
          <w:tab w:pos="1089" w:val="left" w:leader="none"/>
        </w:tabs>
        <w:spacing w:line="240" w:lineRule="auto" w:before="140" w:after="0"/>
        <w:ind w:left="1088" w:right="0" w:hanging="267"/>
        <w:jc w:val="left"/>
        <w:rPr>
          <w:sz w:val="24"/>
        </w:rPr>
      </w:pPr>
      <w:r>
        <w:rPr>
          <w:sz w:val="24"/>
        </w:rPr>
        <w:t>Convertir el modelo CAD a</w:t>
      </w:r>
      <w:r>
        <w:rPr>
          <w:spacing w:val="-26"/>
          <w:sz w:val="24"/>
        </w:rPr>
        <w:t> </w:t>
      </w:r>
      <w:r>
        <w:rPr>
          <w:sz w:val="24"/>
        </w:rPr>
        <w:t>estéreo-litografía.</w:t>
      </w:r>
    </w:p>
    <w:p>
      <w:pPr>
        <w:pStyle w:val="ListParagraph"/>
        <w:numPr>
          <w:ilvl w:val="0"/>
          <w:numId w:val="10"/>
        </w:numPr>
        <w:tabs>
          <w:tab w:pos="1153" w:val="left" w:leader="none"/>
        </w:tabs>
        <w:spacing w:line="362" w:lineRule="auto" w:before="136" w:after="0"/>
        <w:ind w:left="821" w:right="125" w:firstLine="0"/>
        <w:jc w:val="left"/>
        <w:rPr>
          <w:sz w:val="24"/>
        </w:rPr>
      </w:pPr>
      <w:r>
        <w:rPr>
          <w:sz w:val="24"/>
        </w:rPr>
        <w:t>Cortar el archivo STL (2D) en capas de sección transversal de dos dimensiones.</w:t>
      </w:r>
    </w:p>
    <w:p>
      <w:pPr>
        <w:pStyle w:val="ListParagraph"/>
        <w:numPr>
          <w:ilvl w:val="0"/>
          <w:numId w:val="10"/>
        </w:numPr>
        <w:tabs>
          <w:tab w:pos="1089" w:val="left" w:leader="none"/>
        </w:tabs>
        <w:spacing w:line="275" w:lineRule="exact" w:before="0" w:after="0"/>
        <w:ind w:left="1088" w:right="0" w:hanging="267"/>
        <w:jc w:val="left"/>
        <w:rPr>
          <w:sz w:val="24"/>
        </w:rPr>
      </w:pPr>
      <w:r>
        <w:rPr>
          <w:sz w:val="24"/>
        </w:rPr>
        <w:t>Crecer el</w:t>
      </w:r>
      <w:r>
        <w:rPr>
          <w:spacing w:val="-16"/>
          <w:sz w:val="24"/>
        </w:rPr>
        <w:t> </w:t>
      </w:r>
      <w:r>
        <w:rPr>
          <w:sz w:val="24"/>
        </w:rPr>
        <w:t>prototipo.</w:t>
      </w:r>
    </w:p>
    <w:p>
      <w:pPr>
        <w:pStyle w:val="ListParagraph"/>
        <w:numPr>
          <w:ilvl w:val="0"/>
          <w:numId w:val="10"/>
        </w:numPr>
        <w:tabs>
          <w:tab w:pos="1089" w:val="left" w:leader="none"/>
        </w:tabs>
        <w:spacing w:line="240" w:lineRule="auto" w:before="140" w:after="0"/>
        <w:ind w:left="1088" w:right="0" w:hanging="267"/>
        <w:jc w:val="left"/>
        <w:rPr>
          <w:sz w:val="24"/>
        </w:rPr>
      </w:pPr>
      <w:r>
        <w:rPr>
          <w:sz w:val="24"/>
        </w:rPr>
        <w:t>Limpiar y terminar el</w:t>
      </w:r>
      <w:r>
        <w:rPr>
          <w:spacing w:val="-18"/>
          <w:sz w:val="24"/>
        </w:rPr>
        <w:t> </w:t>
      </w:r>
      <w:r>
        <w:rPr>
          <w:sz w:val="24"/>
        </w:rPr>
        <w:t>modelo.</w:t>
      </w:r>
    </w:p>
    <w:p>
      <w:pPr>
        <w:pStyle w:val="BodyText"/>
      </w:pPr>
    </w:p>
    <w:p>
      <w:pPr>
        <w:pStyle w:val="BodyText"/>
      </w:pPr>
    </w:p>
    <w:p>
      <w:pPr>
        <w:pStyle w:val="BodyText"/>
        <w:spacing w:line="357" w:lineRule="auto"/>
        <w:ind w:left="100" w:right="125"/>
        <w:jc w:val="both"/>
      </w:pPr>
      <w:r>
        <w:rPr/>
        <w:t>Para describir este proceso básico, el autor lo describe detallado en los siguientes párrafos:</w:t>
      </w:r>
    </w:p>
    <w:p>
      <w:pPr>
        <w:pStyle w:val="BodyText"/>
      </w:pPr>
    </w:p>
    <w:p>
      <w:pPr>
        <w:pStyle w:val="BodyText"/>
        <w:spacing w:line="360" w:lineRule="auto" w:before="144"/>
        <w:ind w:left="100" w:right="115"/>
        <w:jc w:val="both"/>
      </w:pPr>
      <w:r>
        <w:rPr/>
        <w:t>El primer paso para crear el modelo sólido electrónico utilizando los paquetes de software de dibujo estándar, tales como Auto CAD, Pro / Engineer, o Solid Works, por nombrar algunos.</w:t>
      </w:r>
    </w:p>
    <w:p>
      <w:pPr>
        <w:pStyle w:val="BodyText"/>
      </w:pPr>
    </w:p>
    <w:p>
      <w:pPr>
        <w:pStyle w:val="BodyText"/>
        <w:spacing w:line="355" w:lineRule="auto" w:before="142"/>
        <w:ind w:left="100" w:right="115"/>
        <w:jc w:val="both"/>
      </w:pPr>
      <w:r>
        <w:rPr/>
        <w:t>El segundo paso consiste en la conversión del archivo de dibujo del modelo CAD en  un  formato  STL  o  Estereolitografía  (</w:t>
      </w:r>
      <w:r>
        <w:rPr>
          <w:i/>
        </w:rPr>
        <w:t>Stereolithography,  </w:t>
      </w:r>
      <w:r>
        <w:rPr/>
        <w:t>SLA).  Desde varios</w:t>
      </w:r>
    </w:p>
    <w:p>
      <w:pPr>
        <w:spacing w:after="0" w:line="355" w:lineRule="auto"/>
        <w:jc w:val="both"/>
        <w:sectPr>
          <w:pgSz w:w="12240" w:h="15840"/>
          <w:pgMar w:header="0" w:footer="1031" w:top="1360" w:bottom="1220" w:left="1600" w:right="1580"/>
        </w:sectPr>
      </w:pPr>
    </w:p>
    <w:p>
      <w:pPr>
        <w:pStyle w:val="BodyText"/>
        <w:spacing w:line="360" w:lineRule="auto" w:before="55"/>
        <w:ind w:left="100" w:right="113"/>
        <w:jc w:val="both"/>
      </w:pPr>
      <w:r>
        <w:rPr/>
        <w:t>paquetes de software CAD utilizan diferentes algoritmos para representar objetos sólidos, formato de archivo STL ha sido seleccionado como el estándar de facto  en la industria de creación rápida de prototipos. El archivo STL representa una superficie tridimensional de un ensamblado como triángulos planas. El archivo contiene las coordenadas de los vértices y la dirección de la normal exterior de cada triángulo. El formato de archivo STL es el mejor formato de archivo para representar superficies, en preparación para los algoritmos de</w:t>
      </w:r>
      <w:r>
        <w:rPr>
          <w:spacing w:val="-37"/>
        </w:rPr>
        <w:t> </w:t>
      </w:r>
      <w:r>
        <w:rPr/>
        <w:t>"rebanar".</w:t>
      </w:r>
    </w:p>
    <w:p>
      <w:pPr>
        <w:pStyle w:val="BodyText"/>
      </w:pPr>
    </w:p>
    <w:p>
      <w:pPr>
        <w:pStyle w:val="BodyText"/>
        <w:spacing w:line="360" w:lineRule="auto" w:before="142"/>
        <w:ind w:left="100" w:right="118"/>
        <w:jc w:val="both"/>
      </w:pPr>
      <w:r>
        <w:rPr/>
        <w:t>El tercer paso consiste en rebanar el archivo STL utilizando un programa de software apropiado, proporcionado por el fabricante de la máquina RP en el que el modelo se va a producir. El software de procesamiento previo importa el archivo STL y permite al usuario orientar la pieza y ajustar el tamaño y grosor del corte del modelo. El grosor de rebanado puede variar desde 1,10 hasta 0,7 mm, dependiendo de las capacidades de la máquina RP. Espesor inferior rebanado aumenta la precisión del prototipo, pero también aumenta el tiempo para construir el modelo. El software de procesamiento previo también puede generar una estructura para apoyar partes del modelo durante su acumulación. Apoyos son necesarios para la creación de características tales como salientes, cavidades internas, y secciones de paredes delgadas. El software de procesamiento de RP también proporciona información sobre la cantidad de tiempo y de material se requiere para hacer el prototipo.</w:t>
      </w:r>
    </w:p>
    <w:p>
      <w:pPr>
        <w:pStyle w:val="BodyText"/>
      </w:pPr>
    </w:p>
    <w:p>
      <w:pPr>
        <w:pStyle w:val="BodyText"/>
        <w:spacing w:line="360" w:lineRule="auto" w:before="142"/>
        <w:ind w:left="100" w:right="118"/>
        <w:jc w:val="both"/>
      </w:pPr>
      <w:r>
        <w:rPr/>
        <w:t>El cuarto paso consiste en la fabricación real de la prototipo. Una vez que el archivo STL se procesa y se guarda, se envía a la máquina de RP. En este momento, la máquina PR actúa como una impresora. La construcción de la capa de prototipo a la vez. La mayoría de las máquinas de RP modernos pueden funcionar sin vigilancia una vez que se haya completado la configuración inicial.</w:t>
      </w:r>
    </w:p>
    <w:p>
      <w:pPr>
        <w:pStyle w:val="BodyText"/>
      </w:pPr>
    </w:p>
    <w:p>
      <w:pPr>
        <w:pStyle w:val="BodyText"/>
        <w:spacing w:line="360" w:lineRule="auto" w:before="142"/>
        <w:ind w:left="100" w:right="118"/>
        <w:jc w:val="both"/>
      </w:pPr>
      <w:r>
        <w:rPr/>
        <w:t>El paso final en la creación de prototipos es la eliminación de la parte de la máquina y la limpieza antes de su uso. Este paso también se conoce como post- procesamiento. También implica el post-curado de los  materiales     fotosensibles,</w:t>
      </w:r>
    </w:p>
    <w:p>
      <w:pPr>
        <w:spacing w:after="0" w:line="360" w:lineRule="auto"/>
        <w:jc w:val="both"/>
        <w:sectPr>
          <w:pgSz w:w="12240" w:h="15840"/>
          <w:pgMar w:header="0" w:footer="1031" w:top="1360" w:bottom="1220" w:left="1600" w:right="1580"/>
        </w:sectPr>
      </w:pPr>
    </w:p>
    <w:p>
      <w:pPr>
        <w:pStyle w:val="BodyText"/>
        <w:spacing w:line="360" w:lineRule="auto" w:before="55"/>
        <w:ind w:left="100" w:right="100"/>
        <w:jc w:val="both"/>
      </w:pPr>
      <w:r>
        <w:rPr/>
        <w:t>sinterización de materiales en polvo, y la eliminación de los materiales de apoyo. Algunos prototipos también son sometidos a un tratamiento superficial, como el lijado, sellado, o pintar para mejorar su apariencia y durabilidad; concluye Naoorani.</w:t>
      </w:r>
    </w:p>
    <w:p>
      <w:pPr>
        <w:pStyle w:val="BodyText"/>
      </w:pPr>
    </w:p>
    <w:p>
      <w:pPr>
        <w:pStyle w:val="BodyText"/>
        <w:spacing w:line="360" w:lineRule="auto" w:before="142"/>
        <w:ind w:left="100" w:right="102"/>
        <w:jc w:val="both"/>
      </w:pPr>
      <w:r>
        <w:rPr/>
        <w:t>Ahora bien, cabe mencionar que el CAD y el RP ya han reducido mucho los costes desarrollo y el tiempo de salida al mercado gracias a su gran precisión, su mejor comunicación y el desarrollo más rápido del producto. La FA no requiere utillaje, lo cual reduce en gran medida el coste de los anticipos, además de recudir el tiempo de comercialización, Bryden (2014).</w:t>
      </w:r>
    </w:p>
    <w:p>
      <w:pPr>
        <w:pStyle w:val="BodyText"/>
      </w:pPr>
    </w:p>
    <w:p>
      <w:pPr>
        <w:pStyle w:val="BodyText"/>
        <w:spacing w:before="3"/>
        <w:rPr>
          <w:sz w:val="29"/>
        </w:rPr>
      </w:pPr>
    </w:p>
    <w:p>
      <w:pPr>
        <w:pStyle w:val="Heading2"/>
        <w:numPr>
          <w:ilvl w:val="2"/>
          <w:numId w:val="8"/>
        </w:numPr>
        <w:tabs>
          <w:tab w:pos="897" w:val="left" w:leader="none"/>
        </w:tabs>
        <w:spacing w:line="240" w:lineRule="auto" w:before="0" w:after="0"/>
        <w:ind w:left="897" w:right="0" w:hanging="797"/>
        <w:jc w:val="both"/>
      </w:pPr>
      <w:bookmarkStart w:name="2.3.4.  Aplicaciones" w:id="60"/>
      <w:bookmarkEnd w:id="60"/>
      <w:r>
        <w:rPr/>
      </w:r>
      <w:bookmarkStart w:name="_bookmark34" w:id="61"/>
      <w:bookmarkEnd w:id="61"/>
      <w:r>
        <w:rPr/>
        <w:t>A</w:t>
      </w:r>
      <w:r>
        <w:rPr/>
        <w:t>plicaciones</w:t>
      </w:r>
    </w:p>
    <w:p>
      <w:pPr>
        <w:pStyle w:val="BodyText"/>
        <w:rPr>
          <w:sz w:val="28"/>
        </w:rPr>
      </w:pPr>
    </w:p>
    <w:p>
      <w:pPr>
        <w:pStyle w:val="BodyText"/>
        <w:spacing w:before="5"/>
        <w:rPr>
          <w:sz w:val="22"/>
        </w:rPr>
      </w:pPr>
    </w:p>
    <w:p>
      <w:pPr>
        <w:pStyle w:val="BodyText"/>
        <w:ind w:left="100"/>
        <w:jc w:val="both"/>
      </w:pPr>
      <w:r>
        <w:rPr/>
        <w:t>Para Noorani, algunas de las aplicaciones específicas de seguimiento RP:</w:t>
      </w:r>
    </w:p>
    <w:p>
      <w:pPr>
        <w:pStyle w:val="BodyText"/>
      </w:pPr>
    </w:p>
    <w:p>
      <w:pPr>
        <w:pStyle w:val="BodyText"/>
      </w:pPr>
    </w:p>
    <w:p>
      <w:pPr>
        <w:pStyle w:val="ListParagraph"/>
        <w:numPr>
          <w:ilvl w:val="0"/>
          <w:numId w:val="11"/>
        </w:numPr>
        <w:tabs>
          <w:tab w:pos="969" w:val="left" w:leader="none"/>
        </w:tabs>
        <w:spacing w:line="240" w:lineRule="auto" w:before="0" w:after="0"/>
        <w:ind w:left="821" w:right="0" w:firstLine="0"/>
        <w:jc w:val="left"/>
        <w:rPr>
          <w:sz w:val="24"/>
        </w:rPr>
      </w:pPr>
      <w:r>
        <w:rPr>
          <w:sz w:val="24"/>
        </w:rPr>
        <w:t>Comunicación de las características del</w:t>
      </w:r>
      <w:r>
        <w:rPr>
          <w:spacing w:val="-26"/>
          <w:sz w:val="24"/>
        </w:rPr>
        <w:t> </w:t>
      </w:r>
      <w:r>
        <w:rPr>
          <w:sz w:val="24"/>
        </w:rPr>
        <w:t>producto</w:t>
      </w:r>
    </w:p>
    <w:p>
      <w:pPr>
        <w:pStyle w:val="ListParagraph"/>
        <w:numPr>
          <w:ilvl w:val="0"/>
          <w:numId w:val="11"/>
        </w:numPr>
        <w:tabs>
          <w:tab w:pos="969" w:val="left" w:leader="none"/>
        </w:tabs>
        <w:spacing w:line="240" w:lineRule="auto" w:before="140" w:after="0"/>
        <w:ind w:left="969" w:right="0" w:hanging="148"/>
        <w:jc w:val="left"/>
        <w:rPr>
          <w:sz w:val="24"/>
        </w:rPr>
      </w:pPr>
      <w:r>
        <w:rPr>
          <w:sz w:val="24"/>
        </w:rPr>
        <w:t>Definición del concepto de la</w:t>
      </w:r>
      <w:r>
        <w:rPr>
          <w:spacing w:val="-21"/>
          <w:sz w:val="24"/>
        </w:rPr>
        <w:t> </w:t>
      </w:r>
      <w:r>
        <w:rPr>
          <w:sz w:val="24"/>
        </w:rPr>
        <w:t>ingeniería</w:t>
      </w:r>
    </w:p>
    <w:p>
      <w:pPr>
        <w:pStyle w:val="ListParagraph"/>
        <w:numPr>
          <w:ilvl w:val="0"/>
          <w:numId w:val="11"/>
        </w:numPr>
        <w:tabs>
          <w:tab w:pos="969" w:val="left" w:leader="none"/>
        </w:tabs>
        <w:spacing w:line="240" w:lineRule="auto" w:before="136" w:after="0"/>
        <w:ind w:left="969" w:right="0" w:hanging="148"/>
        <w:jc w:val="left"/>
        <w:rPr>
          <w:sz w:val="24"/>
        </w:rPr>
      </w:pPr>
      <w:r>
        <w:rPr>
          <w:sz w:val="24"/>
        </w:rPr>
        <w:t>Forma, ajuste y pruebas de</w:t>
      </w:r>
      <w:r>
        <w:rPr>
          <w:spacing w:val="-22"/>
          <w:sz w:val="24"/>
        </w:rPr>
        <w:t> </w:t>
      </w:r>
      <w:r>
        <w:rPr>
          <w:sz w:val="24"/>
        </w:rPr>
        <w:t>función</w:t>
      </w:r>
    </w:p>
    <w:p>
      <w:pPr>
        <w:pStyle w:val="ListParagraph"/>
        <w:numPr>
          <w:ilvl w:val="0"/>
          <w:numId w:val="11"/>
        </w:numPr>
        <w:tabs>
          <w:tab w:pos="969" w:val="left" w:leader="none"/>
        </w:tabs>
        <w:spacing w:line="240" w:lineRule="auto" w:before="140" w:after="0"/>
        <w:ind w:left="969" w:right="0" w:hanging="148"/>
        <w:jc w:val="left"/>
        <w:rPr>
          <w:sz w:val="24"/>
        </w:rPr>
      </w:pPr>
      <w:r>
        <w:rPr>
          <w:sz w:val="24"/>
        </w:rPr>
        <w:t>Cambios de ingeniería</w:t>
      </w:r>
      <w:r>
        <w:rPr>
          <w:spacing w:val="-19"/>
          <w:sz w:val="24"/>
        </w:rPr>
        <w:t> </w:t>
      </w:r>
      <w:r>
        <w:rPr>
          <w:sz w:val="24"/>
        </w:rPr>
        <w:t>aclaración</w:t>
      </w:r>
    </w:p>
    <w:p>
      <w:pPr>
        <w:pStyle w:val="ListParagraph"/>
        <w:numPr>
          <w:ilvl w:val="0"/>
          <w:numId w:val="11"/>
        </w:numPr>
        <w:tabs>
          <w:tab w:pos="969" w:val="left" w:leader="none"/>
        </w:tabs>
        <w:spacing w:line="240" w:lineRule="auto" w:before="136" w:after="0"/>
        <w:ind w:left="969" w:right="0" w:hanging="148"/>
        <w:jc w:val="left"/>
        <w:rPr>
          <w:sz w:val="24"/>
        </w:rPr>
      </w:pPr>
      <w:r>
        <w:rPr>
          <w:sz w:val="24"/>
        </w:rPr>
        <w:t>Presentaciones de clientes y las evaluaciones de los</w:t>
      </w:r>
      <w:r>
        <w:rPr>
          <w:spacing w:val="-35"/>
          <w:sz w:val="24"/>
        </w:rPr>
        <w:t> </w:t>
      </w:r>
      <w:r>
        <w:rPr>
          <w:sz w:val="24"/>
        </w:rPr>
        <w:t>consumidores</w:t>
      </w:r>
    </w:p>
    <w:p>
      <w:pPr>
        <w:pStyle w:val="ListParagraph"/>
        <w:numPr>
          <w:ilvl w:val="0"/>
          <w:numId w:val="11"/>
        </w:numPr>
        <w:tabs>
          <w:tab w:pos="969" w:val="left" w:leader="none"/>
        </w:tabs>
        <w:spacing w:line="240" w:lineRule="auto" w:before="140" w:after="0"/>
        <w:ind w:left="969" w:right="0" w:hanging="148"/>
        <w:jc w:val="left"/>
        <w:rPr>
          <w:sz w:val="24"/>
        </w:rPr>
      </w:pPr>
      <w:r>
        <w:rPr>
          <w:sz w:val="24"/>
        </w:rPr>
        <w:t>Propuestas de la Oferta y la certificación de</w:t>
      </w:r>
      <w:r>
        <w:rPr>
          <w:spacing w:val="-31"/>
          <w:sz w:val="24"/>
        </w:rPr>
        <w:t> </w:t>
      </w:r>
      <w:r>
        <w:rPr>
          <w:sz w:val="24"/>
        </w:rPr>
        <w:t>regulación</w:t>
      </w:r>
    </w:p>
    <w:p>
      <w:pPr>
        <w:pStyle w:val="ListParagraph"/>
        <w:numPr>
          <w:ilvl w:val="0"/>
          <w:numId w:val="11"/>
        </w:numPr>
        <w:tabs>
          <w:tab w:pos="969" w:val="left" w:leader="none"/>
        </w:tabs>
        <w:spacing w:line="240" w:lineRule="auto" w:before="136" w:after="0"/>
        <w:ind w:left="969" w:right="0" w:hanging="148"/>
        <w:jc w:val="left"/>
        <w:rPr>
          <w:sz w:val="24"/>
        </w:rPr>
      </w:pPr>
      <w:r>
        <w:rPr>
          <w:sz w:val="24"/>
        </w:rPr>
        <w:t>Modelado, estudios</w:t>
      </w:r>
      <w:r>
        <w:rPr>
          <w:spacing w:val="-21"/>
          <w:sz w:val="24"/>
        </w:rPr>
        <w:t> </w:t>
      </w:r>
      <w:r>
        <w:rPr>
          <w:sz w:val="24"/>
        </w:rPr>
        <w:t>ergonómicos</w:t>
      </w:r>
    </w:p>
    <w:p>
      <w:pPr>
        <w:pStyle w:val="ListParagraph"/>
        <w:numPr>
          <w:ilvl w:val="0"/>
          <w:numId w:val="11"/>
        </w:numPr>
        <w:tabs>
          <w:tab w:pos="969" w:val="left" w:leader="none"/>
        </w:tabs>
        <w:spacing w:line="240" w:lineRule="auto" w:before="140" w:after="0"/>
        <w:ind w:left="969" w:right="0" w:hanging="148"/>
        <w:jc w:val="left"/>
        <w:rPr>
          <w:sz w:val="24"/>
        </w:rPr>
      </w:pPr>
      <w:r>
        <w:rPr>
          <w:sz w:val="24"/>
        </w:rPr>
        <w:t>Facilitar el cumplimiento de horario y hacer</w:t>
      </w:r>
      <w:r>
        <w:rPr>
          <w:spacing w:val="-26"/>
          <w:sz w:val="24"/>
        </w:rPr>
        <w:t> </w:t>
      </w:r>
      <w:r>
        <w:rPr>
          <w:sz w:val="24"/>
        </w:rPr>
        <w:t>hitos</w:t>
      </w:r>
    </w:p>
    <w:p>
      <w:pPr>
        <w:pStyle w:val="ListParagraph"/>
        <w:numPr>
          <w:ilvl w:val="0"/>
          <w:numId w:val="11"/>
        </w:numPr>
        <w:tabs>
          <w:tab w:pos="969" w:val="left" w:leader="none"/>
        </w:tabs>
        <w:spacing w:line="240" w:lineRule="auto" w:before="136" w:after="0"/>
        <w:ind w:left="969" w:right="0" w:hanging="148"/>
        <w:jc w:val="left"/>
        <w:rPr>
          <w:sz w:val="24"/>
        </w:rPr>
      </w:pPr>
      <w:r>
        <w:rPr>
          <w:sz w:val="24"/>
        </w:rPr>
        <w:t>Maestros de herramientas de goma de silicona</w:t>
      </w:r>
      <w:r>
        <w:rPr>
          <w:spacing w:val="-26"/>
          <w:sz w:val="24"/>
        </w:rPr>
        <w:t> </w:t>
      </w:r>
      <w:r>
        <w:rPr>
          <w:sz w:val="24"/>
        </w:rPr>
        <w:t>(procesos)</w:t>
      </w:r>
    </w:p>
    <w:p>
      <w:pPr>
        <w:pStyle w:val="ListParagraph"/>
        <w:numPr>
          <w:ilvl w:val="0"/>
          <w:numId w:val="11"/>
        </w:numPr>
        <w:tabs>
          <w:tab w:pos="1029" w:val="left" w:leader="none"/>
        </w:tabs>
        <w:spacing w:line="357" w:lineRule="auto" w:before="140" w:after="0"/>
        <w:ind w:left="821" w:right="107" w:firstLine="0"/>
        <w:jc w:val="left"/>
        <w:rPr>
          <w:sz w:val="24"/>
        </w:rPr>
      </w:pPr>
      <w:r>
        <w:rPr>
          <w:sz w:val="24"/>
        </w:rPr>
        <w:t>Maestros de herramientas epoxi que se utilizarán para el moldeo por inyección</w:t>
      </w:r>
    </w:p>
    <w:p>
      <w:pPr>
        <w:pStyle w:val="ListParagraph"/>
        <w:numPr>
          <w:ilvl w:val="0"/>
          <w:numId w:val="11"/>
        </w:numPr>
        <w:tabs>
          <w:tab w:pos="969" w:val="left" w:leader="none"/>
        </w:tabs>
        <w:spacing w:line="240" w:lineRule="auto" w:before="8" w:after="0"/>
        <w:ind w:left="969" w:right="0" w:hanging="148"/>
        <w:jc w:val="left"/>
        <w:rPr>
          <w:sz w:val="24"/>
        </w:rPr>
      </w:pPr>
      <w:r>
        <w:rPr>
          <w:sz w:val="24"/>
        </w:rPr>
        <w:t>Maestro / patrón de bastidor de</w:t>
      </w:r>
      <w:r>
        <w:rPr>
          <w:spacing w:val="-26"/>
          <w:sz w:val="24"/>
        </w:rPr>
        <w:t> </w:t>
      </w:r>
      <w:r>
        <w:rPr>
          <w:sz w:val="24"/>
        </w:rPr>
        <w:t>inversión</w:t>
      </w:r>
    </w:p>
    <w:p>
      <w:pPr>
        <w:pStyle w:val="ListParagraph"/>
        <w:numPr>
          <w:ilvl w:val="0"/>
          <w:numId w:val="11"/>
        </w:numPr>
        <w:tabs>
          <w:tab w:pos="969" w:val="left" w:leader="none"/>
        </w:tabs>
        <w:spacing w:line="240" w:lineRule="auto" w:before="136" w:after="0"/>
        <w:ind w:left="969" w:right="0" w:hanging="148"/>
        <w:jc w:val="left"/>
        <w:rPr>
          <w:sz w:val="24"/>
        </w:rPr>
      </w:pPr>
      <w:r>
        <w:rPr>
          <w:sz w:val="24"/>
        </w:rPr>
        <w:t>Herramientas para moldeo por</w:t>
      </w:r>
      <w:r>
        <w:rPr>
          <w:spacing w:val="-21"/>
          <w:sz w:val="24"/>
        </w:rPr>
        <w:t> </w:t>
      </w:r>
      <w:r>
        <w:rPr>
          <w:sz w:val="24"/>
        </w:rPr>
        <w:t>inyección</w:t>
      </w:r>
    </w:p>
    <w:p>
      <w:pPr>
        <w:spacing w:after="0" w:line="240" w:lineRule="auto"/>
        <w:jc w:val="left"/>
        <w:rPr>
          <w:sz w:val="24"/>
        </w:rPr>
        <w:sectPr>
          <w:pgSz w:w="12240" w:h="15840"/>
          <w:pgMar w:header="0" w:footer="1031" w:top="1360" w:bottom="1220" w:left="1600" w:right="1600"/>
        </w:sectPr>
      </w:pPr>
    </w:p>
    <w:p>
      <w:pPr>
        <w:pStyle w:val="Heading2"/>
        <w:numPr>
          <w:ilvl w:val="2"/>
          <w:numId w:val="8"/>
        </w:numPr>
        <w:tabs>
          <w:tab w:pos="1017" w:val="left" w:leader="none"/>
        </w:tabs>
        <w:spacing w:line="240" w:lineRule="auto" w:before="49" w:after="0"/>
        <w:ind w:left="1017" w:right="0" w:hanging="797"/>
        <w:jc w:val="left"/>
      </w:pPr>
      <w:bookmarkStart w:name="2.3.5.  Tecnologías más difundidas" w:id="62"/>
      <w:bookmarkEnd w:id="62"/>
      <w:r>
        <w:rPr/>
      </w:r>
      <w:bookmarkStart w:name="_bookmark35" w:id="63"/>
      <w:bookmarkEnd w:id="63"/>
      <w:r>
        <w:rPr/>
        <w:t>T</w:t>
      </w:r>
      <w:r>
        <w:rPr/>
        <w:t>ecnologías más</w:t>
      </w:r>
      <w:r>
        <w:rPr>
          <w:spacing w:val="-4"/>
        </w:rPr>
        <w:t> </w:t>
      </w:r>
      <w:r>
        <w:rPr/>
        <w:t>difundidas</w:t>
      </w:r>
    </w:p>
    <w:p>
      <w:pPr>
        <w:pStyle w:val="BodyText"/>
        <w:rPr>
          <w:sz w:val="28"/>
        </w:rPr>
      </w:pPr>
    </w:p>
    <w:p>
      <w:pPr>
        <w:pStyle w:val="BodyText"/>
        <w:spacing w:before="8"/>
        <w:rPr>
          <w:sz w:val="22"/>
        </w:rPr>
      </w:pPr>
    </w:p>
    <w:p>
      <w:pPr>
        <w:pStyle w:val="BodyText"/>
        <w:spacing w:line="357" w:lineRule="auto"/>
        <w:ind w:left="220" w:right="69"/>
      </w:pPr>
      <w:r>
        <w:rPr/>
        <w:t>Como vimos anteriormente en la Figura 2.6. El RP tiene procesos básicos CNC y los procesos aditivos como lo muestra la siguiente </w:t>
      </w:r>
      <w:hyperlink w:history="true" w:anchor="_bookmark36">
        <w:r>
          <w:rPr/>
          <w:t>Tabla 2.3</w:t>
        </w:r>
      </w:hyperlink>
      <w:r>
        <w:rPr/>
        <w:t>.</w:t>
      </w:r>
    </w:p>
    <w:p>
      <w:pPr>
        <w:pStyle w:val="BodyText"/>
      </w:pPr>
    </w:p>
    <w:p>
      <w:pPr>
        <w:spacing w:before="141" w:after="6"/>
        <w:ind w:left="2941" w:right="69" w:firstLine="0"/>
        <w:jc w:val="left"/>
        <w:rPr>
          <w:sz w:val="18"/>
        </w:rPr>
      </w:pPr>
      <w:bookmarkStart w:name="_bookmark36" w:id="64"/>
      <w:bookmarkEnd w:id="64"/>
      <w:r>
        <w:rPr/>
      </w:r>
      <w:r>
        <w:rPr>
          <w:sz w:val="18"/>
        </w:rPr>
        <w:t>Tabla 2.3. Tecnologías de fabricación aditiva.</w:t>
      </w: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952"/>
        <w:gridCol w:w="2837"/>
        <w:gridCol w:w="1132"/>
        <w:gridCol w:w="3061"/>
      </w:tblGrid>
      <w:tr>
        <w:trPr>
          <w:trHeight w:val="320" w:hRule="exact"/>
        </w:trPr>
        <w:tc>
          <w:tcPr>
            <w:tcW w:w="1952" w:type="dxa"/>
          </w:tcPr>
          <w:p>
            <w:pPr>
              <w:pStyle w:val="TableParagraph"/>
              <w:spacing w:line="202" w:lineRule="exact"/>
              <w:ind w:left="231" w:right="231"/>
              <w:jc w:val="center"/>
              <w:rPr>
                <w:sz w:val="18"/>
              </w:rPr>
            </w:pPr>
            <w:r>
              <w:rPr>
                <w:sz w:val="18"/>
              </w:rPr>
              <w:t>Tipo</w:t>
            </w:r>
          </w:p>
        </w:tc>
        <w:tc>
          <w:tcPr>
            <w:tcW w:w="2837" w:type="dxa"/>
          </w:tcPr>
          <w:p>
            <w:pPr>
              <w:pStyle w:val="TableParagraph"/>
              <w:spacing w:line="202" w:lineRule="exact"/>
              <w:ind w:left="173" w:right="172"/>
              <w:jc w:val="center"/>
              <w:rPr>
                <w:sz w:val="18"/>
              </w:rPr>
            </w:pPr>
            <w:r>
              <w:rPr>
                <w:sz w:val="18"/>
              </w:rPr>
              <w:t>Tecnologías</w:t>
            </w:r>
          </w:p>
        </w:tc>
        <w:tc>
          <w:tcPr>
            <w:tcW w:w="1132" w:type="dxa"/>
          </w:tcPr>
          <w:p>
            <w:pPr>
              <w:pStyle w:val="TableParagraph"/>
              <w:spacing w:line="202" w:lineRule="exact"/>
              <w:ind w:left="315"/>
              <w:rPr>
                <w:sz w:val="18"/>
              </w:rPr>
            </w:pPr>
            <w:r>
              <w:rPr>
                <w:sz w:val="18"/>
              </w:rPr>
              <w:t>Siglas</w:t>
            </w:r>
          </w:p>
        </w:tc>
        <w:tc>
          <w:tcPr>
            <w:tcW w:w="3061" w:type="dxa"/>
          </w:tcPr>
          <w:p>
            <w:pPr>
              <w:pStyle w:val="TableParagraph"/>
              <w:spacing w:line="202" w:lineRule="exact"/>
              <w:ind w:left="618" w:right="620"/>
              <w:jc w:val="center"/>
              <w:rPr>
                <w:sz w:val="18"/>
              </w:rPr>
            </w:pPr>
            <w:r>
              <w:rPr>
                <w:sz w:val="18"/>
              </w:rPr>
              <w:t>Material</w:t>
            </w:r>
          </w:p>
        </w:tc>
      </w:tr>
      <w:tr>
        <w:trPr>
          <w:trHeight w:val="1253" w:hRule="exact"/>
        </w:trPr>
        <w:tc>
          <w:tcPr>
            <w:tcW w:w="1952" w:type="dxa"/>
          </w:tcPr>
          <w:p>
            <w:pPr>
              <w:pStyle w:val="TableParagraph"/>
              <w:rPr>
                <w:sz w:val="18"/>
              </w:rPr>
            </w:pPr>
          </w:p>
          <w:p>
            <w:pPr>
              <w:pStyle w:val="TableParagraph"/>
              <w:rPr>
                <w:sz w:val="18"/>
              </w:rPr>
            </w:pPr>
          </w:p>
          <w:p>
            <w:pPr>
              <w:pStyle w:val="TableParagraph"/>
              <w:spacing w:before="9"/>
              <w:rPr>
                <w:sz w:val="17"/>
              </w:rPr>
            </w:pPr>
          </w:p>
          <w:p>
            <w:pPr>
              <w:pStyle w:val="TableParagraph"/>
              <w:ind w:left="231" w:right="231"/>
              <w:jc w:val="center"/>
              <w:rPr>
                <w:sz w:val="18"/>
              </w:rPr>
            </w:pPr>
            <w:r>
              <w:rPr>
                <w:sz w:val="18"/>
              </w:rPr>
              <w:t>Extrusión</w:t>
            </w:r>
          </w:p>
        </w:tc>
        <w:tc>
          <w:tcPr>
            <w:tcW w:w="2837" w:type="dxa"/>
          </w:tcPr>
          <w:p>
            <w:pPr>
              <w:pStyle w:val="TableParagraph"/>
              <w:spacing w:before="8"/>
              <w:rPr>
                <w:sz w:val="26"/>
              </w:rPr>
            </w:pPr>
          </w:p>
          <w:p>
            <w:pPr>
              <w:pStyle w:val="TableParagraph"/>
              <w:spacing w:line="362" w:lineRule="auto"/>
              <w:ind w:left="664" w:right="643" w:firstLine="200"/>
              <w:rPr>
                <w:sz w:val="18"/>
              </w:rPr>
            </w:pPr>
            <w:r>
              <w:rPr>
                <w:sz w:val="18"/>
              </w:rPr>
              <w:t>Modelado por deposición fundida</w:t>
            </w:r>
          </w:p>
        </w:tc>
        <w:tc>
          <w:tcPr>
            <w:tcW w:w="1132" w:type="dxa"/>
          </w:tcPr>
          <w:p>
            <w:pPr>
              <w:pStyle w:val="TableParagraph"/>
              <w:rPr>
                <w:sz w:val="18"/>
              </w:rPr>
            </w:pPr>
          </w:p>
          <w:p>
            <w:pPr>
              <w:pStyle w:val="TableParagraph"/>
              <w:rPr>
                <w:sz w:val="18"/>
              </w:rPr>
            </w:pPr>
          </w:p>
          <w:p>
            <w:pPr>
              <w:pStyle w:val="TableParagraph"/>
              <w:spacing w:before="9"/>
              <w:rPr>
                <w:sz w:val="17"/>
              </w:rPr>
            </w:pPr>
          </w:p>
          <w:p>
            <w:pPr>
              <w:pStyle w:val="TableParagraph"/>
              <w:ind w:left="367"/>
              <w:rPr>
                <w:sz w:val="18"/>
              </w:rPr>
            </w:pPr>
            <w:r>
              <w:rPr>
                <w:sz w:val="18"/>
              </w:rPr>
              <w:t>FDM</w:t>
            </w:r>
          </w:p>
        </w:tc>
        <w:tc>
          <w:tcPr>
            <w:tcW w:w="3061" w:type="dxa"/>
          </w:tcPr>
          <w:p>
            <w:pPr>
              <w:pStyle w:val="TableParagraph"/>
              <w:spacing w:line="206" w:lineRule="exact"/>
              <w:ind w:left="620" w:right="620"/>
              <w:jc w:val="center"/>
              <w:rPr>
                <w:sz w:val="18"/>
              </w:rPr>
            </w:pPr>
            <w:r>
              <w:rPr>
                <w:sz w:val="18"/>
              </w:rPr>
              <w:t>- Termoplásticos</w:t>
            </w:r>
          </w:p>
          <w:p>
            <w:pPr>
              <w:pStyle w:val="TableParagraph"/>
              <w:numPr>
                <w:ilvl w:val="0"/>
                <w:numId w:val="12"/>
              </w:numPr>
              <w:tabs>
                <w:tab w:pos="712" w:val="left" w:leader="none"/>
              </w:tabs>
              <w:spacing w:line="362" w:lineRule="auto" w:before="101" w:after="0"/>
              <w:ind w:left="600" w:right="598" w:firstLine="0"/>
              <w:jc w:val="center"/>
              <w:rPr>
                <w:sz w:val="18"/>
              </w:rPr>
            </w:pPr>
            <w:r>
              <w:rPr>
                <w:sz w:val="18"/>
              </w:rPr>
              <w:t>Aleaciones</w:t>
            </w:r>
            <w:r>
              <w:rPr>
                <w:spacing w:val="-5"/>
                <w:sz w:val="18"/>
              </w:rPr>
              <w:t> </w:t>
            </w:r>
            <w:r>
              <w:rPr>
                <w:sz w:val="18"/>
              </w:rPr>
              <w:t>eutécticas de</w:t>
            </w:r>
            <w:r>
              <w:rPr>
                <w:spacing w:val="-3"/>
                <w:sz w:val="18"/>
              </w:rPr>
              <w:t> </w:t>
            </w:r>
            <w:r>
              <w:rPr>
                <w:sz w:val="18"/>
              </w:rPr>
              <w:t>metales</w:t>
            </w:r>
          </w:p>
          <w:p>
            <w:pPr>
              <w:pStyle w:val="TableParagraph"/>
              <w:numPr>
                <w:ilvl w:val="0"/>
                <w:numId w:val="12"/>
              </w:numPr>
              <w:tabs>
                <w:tab w:pos="677" w:val="left" w:leader="none"/>
              </w:tabs>
              <w:spacing w:line="206" w:lineRule="exact" w:before="0" w:after="0"/>
              <w:ind w:left="676" w:right="2" w:hanging="112"/>
              <w:jc w:val="center"/>
              <w:rPr>
                <w:sz w:val="18"/>
              </w:rPr>
            </w:pPr>
            <w:r>
              <w:rPr>
                <w:sz w:val="18"/>
              </w:rPr>
              <w:t>Productos</w:t>
            </w:r>
            <w:r>
              <w:rPr>
                <w:spacing w:val="-11"/>
                <w:sz w:val="18"/>
              </w:rPr>
              <w:t> </w:t>
            </w:r>
            <w:r>
              <w:rPr>
                <w:sz w:val="18"/>
              </w:rPr>
              <w:t>comestibles</w:t>
            </w:r>
          </w:p>
        </w:tc>
      </w:tr>
      <w:tr>
        <w:trPr>
          <w:trHeight w:val="632" w:hRule="exact"/>
        </w:trPr>
        <w:tc>
          <w:tcPr>
            <w:tcW w:w="1952" w:type="dxa"/>
            <w:vMerge w:val="restart"/>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10"/>
              <w:rPr>
                <w:sz w:val="26"/>
              </w:rPr>
            </w:pPr>
          </w:p>
          <w:p>
            <w:pPr>
              <w:pStyle w:val="TableParagraph"/>
              <w:ind w:left="619"/>
              <w:rPr>
                <w:sz w:val="18"/>
              </w:rPr>
            </w:pPr>
            <w:r>
              <w:rPr>
                <w:sz w:val="18"/>
              </w:rPr>
              <w:t>Granular</w:t>
            </w:r>
          </w:p>
        </w:tc>
        <w:tc>
          <w:tcPr>
            <w:tcW w:w="2837" w:type="dxa"/>
          </w:tcPr>
          <w:p>
            <w:pPr>
              <w:pStyle w:val="TableParagraph"/>
              <w:spacing w:line="357" w:lineRule="auto"/>
              <w:ind w:left="772" w:right="724" w:hanging="28"/>
              <w:rPr>
                <w:sz w:val="18"/>
              </w:rPr>
            </w:pPr>
            <w:r>
              <w:rPr>
                <w:sz w:val="18"/>
              </w:rPr>
              <w:t>Sinterizado láser directo de metal</w:t>
            </w:r>
          </w:p>
        </w:tc>
        <w:tc>
          <w:tcPr>
            <w:tcW w:w="1132" w:type="dxa"/>
          </w:tcPr>
          <w:p>
            <w:pPr>
              <w:pStyle w:val="TableParagraph"/>
              <w:spacing w:line="206" w:lineRule="exact"/>
              <w:ind w:left="371"/>
              <w:rPr>
                <w:sz w:val="18"/>
              </w:rPr>
            </w:pPr>
            <w:r>
              <w:rPr>
                <w:sz w:val="18"/>
              </w:rPr>
              <w:t>LMD</w:t>
            </w:r>
          </w:p>
        </w:tc>
        <w:tc>
          <w:tcPr>
            <w:tcW w:w="3061" w:type="dxa"/>
          </w:tcPr>
          <w:p>
            <w:pPr>
              <w:pStyle w:val="TableParagraph"/>
              <w:spacing w:line="357" w:lineRule="auto"/>
              <w:ind w:left="724" w:right="708" w:firstLine="172"/>
              <w:rPr>
                <w:sz w:val="18"/>
              </w:rPr>
            </w:pPr>
            <w:r>
              <w:rPr>
                <w:sz w:val="18"/>
              </w:rPr>
              <w:t>- La mayoría de aleaciones de metal</w:t>
            </w:r>
          </w:p>
        </w:tc>
      </w:tr>
      <w:tr>
        <w:trPr>
          <w:trHeight w:val="632" w:hRule="exact"/>
        </w:trPr>
        <w:tc>
          <w:tcPr>
            <w:tcW w:w="1952" w:type="dxa"/>
            <w:vMerge/>
          </w:tcPr>
          <w:p>
            <w:pPr/>
          </w:p>
        </w:tc>
        <w:tc>
          <w:tcPr>
            <w:tcW w:w="2837" w:type="dxa"/>
          </w:tcPr>
          <w:p>
            <w:pPr>
              <w:pStyle w:val="TableParagraph"/>
              <w:spacing w:line="362" w:lineRule="auto"/>
              <w:ind w:left="1064" w:right="504" w:hanging="540"/>
              <w:rPr>
                <w:sz w:val="18"/>
              </w:rPr>
            </w:pPr>
            <w:r>
              <w:rPr>
                <w:sz w:val="18"/>
              </w:rPr>
              <w:t>Sinterización selectiva por calor</w:t>
            </w:r>
          </w:p>
        </w:tc>
        <w:tc>
          <w:tcPr>
            <w:tcW w:w="1132" w:type="dxa"/>
          </w:tcPr>
          <w:p>
            <w:pPr>
              <w:pStyle w:val="TableParagraph"/>
              <w:spacing w:line="202" w:lineRule="exact"/>
              <w:ind w:left="375"/>
              <w:rPr>
                <w:sz w:val="18"/>
              </w:rPr>
            </w:pPr>
            <w:r>
              <w:rPr>
                <w:sz w:val="18"/>
              </w:rPr>
              <w:t>SHS</w:t>
            </w:r>
          </w:p>
        </w:tc>
        <w:tc>
          <w:tcPr>
            <w:tcW w:w="3061" w:type="dxa"/>
          </w:tcPr>
          <w:p>
            <w:pPr>
              <w:pStyle w:val="TableParagraph"/>
              <w:spacing w:line="362" w:lineRule="auto"/>
              <w:ind w:left="1308" w:right="763" w:hanging="529"/>
              <w:rPr>
                <w:sz w:val="18"/>
              </w:rPr>
            </w:pPr>
            <w:r>
              <w:rPr>
                <w:sz w:val="18"/>
              </w:rPr>
              <w:t>- Termoplástico en polvo</w:t>
            </w:r>
          </w:p>
        </w:tc>
      </w:tr>
      <w:tr>
        <w:trPr>
          <w:trHeight w:val="940" w:hRule="exact"/>
        </w:trPr>
        <w:tc>
          <w:tcPr>
            <w:tcW w:w="1952" w:type="dxa"/>
            <w:vMerge/>
          </w:tcPr>
          <w:p>
            <w:pPr/>
          </w:p>
        </w:tc>
        <w:tc>
          <w:tcPr>
            <w:tcW w:w="2837" w:type="dxa"/>
          </w:tcPr>
          <w:p>
            <w:pPr>
              <w:pStyle w:val="TableParagraph"/>
              <w:spacing w:line="362" w:lineRule="auto"/>
              <w:ind w:left="1064" w:right="504" w:hanging="540"/>
              <w:rPr>
                <w:sz w:val="18"/>
              </w:rPr>
            </w:pPr>
            <w:r>
              <w:rPr>
                <w:sz w:val="18"/>
              </w:rPr>
              <w:t>Sinterización selectiva por láser</w:t>
            </w:r>
          </w:p>
        </w:tc>
        <w:tc>
          <w:tcPr>
            <w:tcW w:w="1132" w:type="dxa"/>
          </w:tcPr>
          <w:p>
            <w:pPr>
              <w:pStyle w:val="TableParagraph"/>
              <w:spacing w:before="8"/>
              <w:rPr>
                <w:sz w:val="26"/>
              </w:rPr>
            </w:pPr>
          </w:p>
          <w:p>
            <w:pPr>
              <w:pStyle w:val="TableParagraph"/>
              <w:ind w:left="391"/>
              <w:rPr>
                <w:sz w:val="18"/>
              </w:rPr>
            </w:pPr>
            <w:r>
              <w:rPr>
                <w:sz w:val="18"/>
              </w:rPr>
              <w:t>SLS</w:t>
            </w:r>
          </w:p>
        </w:tc>
        <w:tc>
          <w:tcPr>
            <w:tcW w:w="3061" w:type="dxa"/>
          </w:tcPr>
          <w:p>
            <w:pPr>
              <w:pStyle w:val="TableParagraph"/>
              <w:numPr>
                <w:ilvl w:val="0"/>
                <w:numId w:val="13"/>
              </w:numPr>
              <w:tabs>
                <w:tab w:pos="973" w:val="left" w:leader="none"/>
              </w:tabs>
              <w:spacing w:line="202" w:lineRule="exact" w:before="0" w:after="0"/>
              <w:ind w:left="972" w:right="0" w:hanging="112"/>
              <w:jc w:val="left"/>
              <w:rPr>
                <w:sz w:val="18"/>
              </w:rPr>
            </w:pPr>
            <w:r>
              <w:rPr>
                <w:sz w:val="18"/>
              </w:rPr>
              <w:t>Termoplásticos</w:t>
            </w:r>
          </w:p>
          <w:p>
            <w:pPr>
              <w:pStyle w:val="TableParagraph"/>
              <w:numPr>
                <w:ilvl w:val="0"/>
                <w:numId w:val="13"/>
              </w:numPr>
              <w:tabs>
                <w:tab w:pos="901" w:val="left" w:leader="none"/>
              </w:tabs>
              <w:spacing w:line="240" w:lineRule="auto" w:before="105" w:after="0"/>
              <w:ind w:left="900" w:right="0" w:hanging="112"/>
              <w:jc w:val="left"/>
              <w:rPr>
                <w:sz w:val="18"/>
              </w:rPr>
            </w:pPr>
            <w:r>
              <w:rPr>
                <w:sz w:val="18"/>
              </w:rPr>
              <w:t>Metales en</w:t>
            </w:r>
            <w:r>
              <w:rPr>
                <w:spacing w:val="-1"/>
                <w:sz w:val="18"/>
              </w:rPr>
              <w:t> </w:t>
            </w:r>
            <w:r>
              <w:rPr>
                <w:sz w:val="18"/>
              </w:rPr>
              <w:t>polvo</w:t>
            </w:r>
          </w:p>
          <w:p>
            <w:pPr>
              <w:pStyle w:val="TableParagraph"/>
              <w:numPr>
                <w:ilvl w:val="0"/>
                <w:numId w:val="13"/>
              </w:numPr>
              <w:tabs>
                <w:tab w:pos="877" w:val="left" w:leader="none"/>
              </w:tabs>
              <w:spacing w:line="240" w:lineRule="auto" w:before="101" w:after="0"/>
              <w:ind w:left="876" w:right="0" w:hanging="112"/>
              <w:jc w:val="left"/>
              <w:rPr>
                <w:sz w:val="18"/>
              </w:rPr>
            </w:pPr>
            <w:r>
              <w:rPr>
                <w:sz w:val="18"/>
              </w:rPr>
              <w:t>Polvos</w:t>
            </w:r>
            <w:r>
              <w:rPr>
                <w:spacing w:val="-8"/>
                <w:sz w:val="18"/>
              </w:rPr>
              <w:t> </w:t>
            </w:r>
            <w:r>
              <w:rPr>
                <w:sz w:val="18"/>
              </w:rPr>
              <w:t>cerámicos</w:t>
            </w:r>
          </w:p>
        </w:tc>
      </w:tr>
      <w:tr>
        <w:trPr>
          <w:trHeight w:val="632" w:hRule="exact"/>
        </w:trPr>
        <w:tc>
          <w:tcPr>
            <w:tcW w:w="1952" w:type="dxa"/>
            <w:vMerge/>
          </w:tcPr>
          <w:p>
            <w:pPr/>
          </w:p>
        </w:tc>
        <w:tc>
          <w:tcPr>
            <w:tcW w:w="2837" w:type="dxa"/>
          </w:tcPr>
          <w:p>
            <w:pPr>
              <w:pStyle w:val="TableParagraph"/>
              <w:spacing w:line="362" w:lineRule="auto"/>
              <w:ind w:left="996" w:right="676" w:hanging="304"/>
              <w:rPr>
                <w:sz w:val="18"/>
              </w:rPr>
            </w:pPr>
            <w:r>
              <w:rPr>
                <w:sz w:val="18"/>
              </w:rPr>
              <w:t>Fusión por haz de electrones</w:t>
            </w:r>
          </w:p>
        </w:tc>
        <w:tc>
          <w:tcPr>
            <w:tcW w:w="1132" w:type="dxa"/>
          </w:tcPr>
          <w:p>
            <w:pPr>
              <w:pStyle w:val="TableParagraph"/>
              <w:spacing w:line="202" w:lineRule="exact"/>
              <w:ind w:left="363"/>
              <w:rPr>
                <w:sz w:val="18"/>
              </w:rPr>
            </w:pPr>
            <w:r>
              <w:rPr>
                <w:sz w:val="18"/>
              </w:rPr>
              <w:t>EBM</w:t>
            </w:r>
          </w:p>
        </w:tc>
        <w:tc>
          <w:tcPr>
            <w:tcW w:w="3061" w:type="dxa"/>
          </w:tcPr>
          <w:p>
            <w:pPr>
              <w:pStyle w:val="TableParagraph"/>
              <w:spacing w:line="202" w:lineRule="exact"/>
              <w:ind w:left="622" w:right="620"/>
              <w:jc w:val="center"/>
              <w:rPr>
                <w:sz w:val="18"/>
              </w:rPr>
            </w:pPr>
            <w:r>
              <w:rPr>
                <w:sz w:val="18"/>
              </w:rPr>
              <w:t>- Aleaciones de titanio</w:t>
            </w:r>
          </w:p>
        </w:tc>
      </w:tr>
      <w:tr>
        <w:trPr>
          <w:trHeight w:val="628" w:hRule="exact"/>
        </w:trPr>
        <w:tc>
          <w:tcPr>
            <w:tcW w:w="1952" w:type="dxa"/>
            <w:vMerge/>
          </w:tcPr>
          <w:p>
            <w:pPr/>
          </w:p>
        </w:tc>
        <w:tc>
          <w:tcPr>
            <w:tcW w:w="2837" w:type="dxa"/>
          </w:tcPr>
          <w:p>
            <w:pPr>
              <w:pStyle w:val="TableParagraph"/>
              <w:spacing w:line="362" w:lineRule="auto"/>
              <w:ind w:left="1216" w:right="596" w:hanging="604"/>
              <w:rPr>
                <w:sz w:val="18"/>
              </w:rPr>
            </w:pPr>
            <w:r>
              <w:rPr>
                <w:sz w:val="18"/>
              </w:rPr>
              <w:t>Fusión selectiva por láser</w:t>
            </w:r>
          </w:p>
        </w:tc>
        <w:tc>
          <w:tcPr>
            <w:tcW w:w="1132" w:type="dxa"/>
          </w:tcPr>
          <w:p>
            <w:pPr>
              <w:pStyle w:val="TableParagraph"/>
              <w:spacing w:line="202" w:lineRule="exact"/>
              <w:ind w:left="375"/>
              <w:rPr>
                <w:sz w:val="18"/>
              </w:rPr>
            </w:pPr>
            <w:r>
              <w:rPr>
                <w:sz w:val="18"/>
              </w:rPr>
              <w:t>SLM</w:t>
            </w:r>
          </w:p>
        </w:tc>
        <w:tc>
          <w:tcPr>
            <w:tcW w:w="3061" w:type="dxa"/>
          </w:tcPr>
          <w:p>
            <w:pPr>
              <w:pStyle w:val="TableParagraph"/>
              <w:spacing w:line="202" w:lineRule="exact"/>
              <w:ind w:left="621" w:right="620"/>
              <w:jc w:val="center"/>
              <w:rPr>
                <w:sz w:val="18"/>
              </w:rPr>
            </w:pPr>
            <w:r>
              <w:rPr>
                <w:sz w:val="18"/>
              </w:rPr>
              <w:t>- Metales</w:t>
            </w:r>
          </w:p>
        </w:tc>
      </w:tr>
      <w:tr>
        <w:trPr>
          <w:trHeight w:val="320" w:hRule="exact"/>
        </w:trPr>
        <w:tc>
          <w:tcPr>
            <w:tcW w:w="1952" w:type="dxa"/>
            <w:vMerge/>
          </w:tcPr>
          <w:p>
            <w:pPr/>
          </w:p>
        </w:tc>
        <w:tc>
          <w:tcPr>
            <w:tcW w:w="2837" w:type="dxa"/>
          </w:tcPr>
          <w:p>
            <w:pPr>
              <w:pStyle w:val="TableParagraph"/>
              <w:spacing w:line="207" w:lineRule="exact"/>
              <w:ind w:left="173" w:right="170"/>
              <w:jc w:val="center"/>
              <w:rPr>
                <w:sz w:val="18"/>
              </w:rPr>
            </w:pPr>
            <w:r>
              <w:rPr>
                <w:sz w:val="18"/>
              </w:rPr>
              <w:t>Proyección aglutinante</w:t>
            </w:r>
          </w:p>
        </w:tc>
        <w:tc>
          <w:tcPr>
            <w:tcW w:w="1132" w:type="dxa"/>
          </w:tcPr>
          <w:p>
            <w:pPr>
              <w:pStyle w:val="TableParagraph"/>
              <w:spacing w:line="207" w:lineRule="exact"/>
              <w:ind w:left="311"/>
              <w:rPr>
                <w:sz w:val="18"/>
              </w:rPr>
            </w:pPr>
            <w:r>
              <w:rPr>
                <w:sz w:val="18"/>
              </w:rPr>
              <w:t>DSPC</w:t>
            </w:r>
          </w:p>
        </w:tc>
        <w:tc>
          <w:tcPr>
            <w:tcW w:w="3061" w:type="dxa"/>
          </w:tcPr>
          <w:p>
            <w:pPr>
              <w:pStyle w:val="TableParagraph"/>
              <w:spacing w:line="207" w:lineRule="exact"/>
              <w:ind w:left="620" w:right="620"/>
              <w:jc w:val="center"/>
              <w:rPr>
                <w:sz w:val="18"/>
              </w:rPr>
            </w:pPr>
            <w:r>
              <w:rPr>
                <w:sz w:val="18"/>
              </w:rPr>
              <w:t>- Yeso</w:t>
            </w:r>
          </w:p>
        </w:tc>
      </w:tr>
      <w:tr>
        <w:trPr>
          <w:trHeight w:val="632" w:hRule="exact"/>
        </w:trPr>
        <w:tc>
          <w:tcPr>
            <w:tcW w:w="1952" w:type="dxa"/>
          </w:tcPr>
          <w:p>
            <w:pPr>
              <w:pStyle w:val="TableParagraph"/>
              <w:spacing w:line="206" w:lineRule="exact"/>
              <w:ind w:left="230" w:right="231"/>
              <w:jc w:val="center"/>
              <w:rPr>
                <w:sz w:val="18"/>
              </w:rPr>
            </w:pPr>
            <w:r>
              <w:rPr>
                <w:sz w:val="18"/>
              </w:rPr>
              <w:t>Hilado</w:t>
            </w:r>
          </w:p>
        </w:tc>
        <w:tc>
          <w:tcPr>
            <w:tcW w:w="2837" w:type="dxa"/>
          </w:tcPr>
          <w:p>
            <w:pPr>
              <w:pStyle w:val="TableParagraph"/>
              <w:spacing w:line="362" w:lineRule="auto"/>
              <w:ind w:left="996" w:right="481" w:hanging="500"/>
              <w:rPr>
                <w:sz w:val="18"/>
              </w:rPr>
            </w:pPr>
            <w:r>
              <w:rPr>
                <w:sz w:val="18"/>
              </w:rPr>
              <w:t>Fabricación por haz de electrones</w:t>
            </w:r>
          </w:p>
        </w:tc>
        <w:tc>
          <w:tcPr>
            <w:tcW w:w="1132" w:type="dxa"/>
          </w:tcPr>
          <w:p>
            <w:pPr>
              <w:pStyle w:val="TableParagraph"/>
              <w:spacing w:line="206" w:lineRule="exact"/>
              <w:ind w:left="335"/>
              <w:rPr>
                <w:sz w:val="18"/>
              </w:rPr>
            </w:pPr>
            <w:r>
              <w:rPr>
                <w:sz w:val="18"/>
              </w:rPr>
              <w:t>EBF3</w:t>
            </w:r>
          </w:p>
        </w:tc>
        <w:tc>
          <w:tcPr>
            <w:tcW w:w="3061" w:type="dxa"/>
          </w:tcPr>
          <w:p>
            <w:pPr>
              <w:pStyle w:val="TableParagraph"/>
              <w:spacing w:line="362" w:lineRule="auto"/>
              <w:ind w:left="724" w:right="708" w:firstLine="172"/>
              <w:rPr>
                <w:sz w:val="18"/>
              </w:rPr>
            </w:pPr>
            <w:r>
              <w:rPr>
                <w:sz w:val="18"/>
              </w:rPr>
              <w:t>- La mayoría de aleaciones de metal</w:t>
            </w:r>
          </w:p>
        </w:tc>
      </w:tr>
      <w:tr>
        <w:trPr>
          <w:trHeight w:val="944" w:hRule="exact"/>
        </w:trPr>
        <w:tc>
          <w:tcPr>
            <w:tcW w:w="1952" w:type="dxa"/>
          </w:tcPr>
          <w:p>
            <w:pPr>
              <w:pStyle w:val="TableParagraph"/>
              <w:spacing w:before="8"/>
              <w:rPr>
                <w:sz w:val="26"/>
              </w:rPr>
            </w:pPr>
          </w:p>
          <w:p>
            <w:pPr>
              <w:pStyle w:val="TableParagraph"/>
              <w:ind w:left="231" w:right="231"/>
              <w:jc w:val="center"/>
              <w:rPr>
                <w:sz w:val="18"/>
              </w:rPr>
            </w:pPr>
            <w:r>
              <w:rPr>
                <w:sz w:val="18"/>
              </w:rPr>
              <w:t>Laminado</w:t>
            </w:r>
          </w:p>
        </w:tc>
        <w:tc>
          <w:tcPr>
            <w:tcW w:w="2837" w:type="dxa"/>
          </w:tcPr>
          <w:p>
            <w:pPr>
              <w:pStyle w:val="TableParagraph"/>
              <w:spacing w:before="8"/>
              <w:rPr>
                <w:sz w:val="26"/>
              </w:rPr>
            </w:pPr>
          </w:p>
          <w:p>
            <w:pPr>
              <w:pStyle w:val="TableParagraph"/>
              <w:ind w:left="173" w:right="172"/>
              <w:jc w:val="center"/>
              <w:rPr>
                <w:sz w:val="18"/>
              </w:rPr>
            </w:pPr>
            <w:r>
              <w:rPr>
                <w:sz w:val="18"/>
              </w:rPr>
              <w:t>Laminado de capas</w:t>
            </w:r>
          </w:p>
        </w:tc>
        <w:tc>
          <w:tcPr>
            <w:tcW w:w="1132" w:type="dxa"/>
          </w:tcPr>
          <w:p>
            <w:pPr>
              <w:pStyle w:val="TableParagraph"/>
              <w:spacing w:before="8"/>
              <w:rPr>
                <w:sz w:val="26"/>
              </w:rPr>
            </w:pPr>
          </w:p>
          <w:p>
            <w:pPr>
              <w:pStyle w:val="TableParagraph"/>
              <w:ind w:left="363"/>
              <w:rPr>
                <w:sz w:val="18"/>
              </w:rPr>
            </w:pPr>
            <w:r>
              <w:rPr>
                <w:sz w:val="18"/>
              </w:rPr>
              <w:t>LOM</w:t>
            </w:r>
          </w:p>
        </w:tc>
        <w:tc>
          <w:tcPr>
            <w:tcW w:w="3061" w:type="dxa"/>
          </w:tcPr>
          <w:p>
            <w:pPr>
              <w:pStyle w:val="TableParagraph"/>
              <w:spacing w:line="206" w:lineRule="exact"/>
              <w:ind w:left="620" w:right="620"/>
              <w:jc w:val="center"/>
              <w:rPr>
                <w:sz w:val="18"/>
              </w:rPr>
            </w:pPr>
            <w:r>
              <w:rPr>
                <w:sz w:val="18"/>
              </w:rPr>
              <w:t>- Papel</w:t>
            </w:r>
          </w:p>
          <w:p>
            <w:pPr>
              <w:pStyle w:val="TableParagraph"/>
              <w:spacing w:before="101"/>
              <w:ind w:left="620" w:right="620"/>
              <w:jc w:val="center"/>
              <w:rPr>
                <w:sz w:val="18"/>
              </w:rPr>
            </w:pPr>
            <w:r>
              <w:rPr>
                <w:sz w:val="18"/>
              </w:rPr>
              <w:t>- Hoja metálica</w:t>
            </w:r>
          </w:p>
          <w:p>
            <w:pPr>
              <w:pStyle w:val="TableParagraph"/>
              <w:spacing w:before="105"/>
              <w:ind w:left="621" w:right="620"/>
              <w:jc w:val="center"/>
              <w:rPr>
                <w:sz w:val="18"/>
              </w:rPr>
            </w:pPr>
            <w:r>
              <w:rPr>
                <w:sz w:val="18"/>
              </w:rPr>
              <w:t>- Película de plástico</w:t>
            </w:r>
          </w:p>
        </w:tc>
      </w:tr>
      <w:tr>
        <w:trPr>
          <w:trHeight w:val="1560" w:hRule="exact"/>
        </w:trPr>
        <w:tc>
          <w:tcPr>
            <w:tcW w:w="1952" w:type="dxa"/>
          </w:tcPr>
          <w:p>
            <w:pPr>
              <w:pStyle w:val="TableParagraph"/>
              <w:rPr>
                <w:sz w:val="18"/>
              </w:rPr>
            </w:pPr>
          </w:p>
          <w:p>
            <w:pPr>
              <w:pStyle w:val="TableParagraph"/>
              <w:rPr>
                <w:sz w:val="18"/>
              </w:rPr>
            </w:pPr>
          </w:p>
          <w:p>
            <w:pPr>
              <w:pStyle w:val="TableParagraph"/>
              <w:spacing w:before="6"/>
              <w:rPr>
                <w:sz w:val="17"/>
              </w:rPr>
            </w:pPr>
          </w:p>
          <w:p>
            <w:pPr>
              <w:pStyle w:val="TableParagraph"/>
              <w:ind w:left="231" w:right="231"/>
              <w:jc w:val="center"/>
              <w:rPr>
                <w:sz w:val="18"/>
              </w:rPr>
            </w:pPr>
            <w:r>
              <w:rPr>
                <w:sz w:val="18"/>
              </w:rPr>
              <w:t>Foto-polimerizado</w:t>
            </w:r>
          </w:p>
        </w:tc>
        <w:tc>
          <w:tcPr>
            <w:tcW w:w="2837" w:type="dxa"/>
          </w:tcPr>
          <w:p>
            <w:pPr>
              <w:pStyle w:val="TableParagraph"/>
              <w:spacing w:line="360" w:lineRule="auto"/>
              <w:ind w:left="504" w:right="500" w:hanging="5"/>
              <w:jc w:val="center"/>
              <w:rPr>
                <w:sz w:val="18"/>
              </w:rPr>
            </w:pPr>
            <w:r>
              <w:rPr>
                <w:sz w:val="18"/>
              </w:rPr>
              <w:t>Estereolitografía Fotopolimerización por luz ultravioleta Procesamiento digital de luz</w:t>
            </w:r>
          </w:p>
        </w:tc>
        <w:tc>
          <w:tcPr>
            <w:tcW w:w="1132" w:type="dxa"/>
          </w:tcPr>
          <w:p>
            <w:pPr>
              <w:pStyle w:val="TableParagraph"/>
              <w:spacing w:line="362" w:lineRule="auto"/>
              <w:ind w:left="363" w:right="368" w:firstLine="6"/>
              <w:jc w:val="center"/>
              <w:rPr>
                <w:sz w:val="18"/>
              </w:rPr>
            </w:pPr>
            <w:r>
              <w:rPr>
                <w:sz w:val="18"/>
              </w:rPr>
              <w:t>SLA SGC</w:t>
            </w:r>
          </w:p>
          <w:p>
            <w:pPr>
              <w:pStyle w:val="TableParagraph"/>
              <w:spacing w:before="11"/>
              <w:rPr>
                <w:sz w:val="26"/>
              </w:rPr>
            </w:pPr>
          </w:p>
          <w:p>
            <w:pPr>
              <w:pStyle w:val="TableParagraph"/>
              <w:ind w:left="364" w:right="370"/>
              <w:jc w:val="center"/>
              <w:rPr>
                <w:sz w:val="18"/>
              </w:rPr>
            </w:pPr>
            <w:r>
              <w:rPr>
                <w:sz w:val="18"/>
              </w:rPr>
              <w:t>DLP</w:t>
            </w:r>
          </w:p>
        </w:tc>
        <w:tc>
          <w:tcPr>
            <w:tcW w:w="3061" w:type="dxa"/>
          </w:tcPr>
          <w:p>
            <w:pPr>
              <w:pStyle w:val="TableParagraph"/>
              <w:numPr>
                <w:ilvl w:val="0"/>
                <w:numId w:val="14"/>
              </w:numPr>
              <w:tabs>
                <w:tab w:pos="1053" w:val="left" w:leader="none"/>
              </w:tabs>
              <w:spacing w:line="202" w:lineRule="exact" w:before="0" w:after="0"/>
              <w:ind w:left="1052" w:right="0" w:hanging="112"/>
              <w:jc w:val="left"/>
              <w:rPr>
                <w:sz w:val="18"/>
              </w:rPr>
            </w:pPr>
            <w:r>
              <w:rPr>
                <w:sz w:val="18"/>
              </w:rPr>
              <w:t>Fotopolímero</w:t>
            </w:r>
          </w:p>
          <w:p>
            <w:pPr>
              <w:pStyle w:val="TableParagraph"/>
              <w:numPr>
                <w:ilvl w:val="0"/>
                <w:numId w:val="14"/>
              </w:numPr>
              <w:tabs>
                <w:tab w:pos="1053" w:val="left" w:leader="none"/>
              </w:tabs>
              <w:spacing w:line="240" w:lineRule="auto" w:before="105" w:after="0"/>
              <w:ind w:left="1052" w:right="0" w:hanging="112"/>
              <w:jc w:val="left"/>
              <w:rPr>
                <w:sz w:val="18"/>
              </w:rPr>
            </w:pPr>
            <w:r>
              <w:rPr>
                <w:sz w:val="18"/>
              </w:rPr>
              <w:t>Fotopolímero</w:t>
            </w:r>
          </w:p>
          <w:p>
            <w:pPr>
              <w:pStyle w:val="TableParagraph"/>
              <w:rPr>
                <w:sz w:val="18"/>
              </w:rPr>
            </w:pPr>
          </w:p>
          <w:p>
            <w:pPr>
              <w:pStyle w:val="TableParagraph"/>
              <w:spacing w:before="10"/>
              <w:rPr>
                <w:sz w:val="17"/>
              </w:rPr>
            </w:pPr>
          </w:p>
          <w:p>
            <w:pPr>
              <w:pStyle w:val="TableParagraph"/>
              <w:numPr>
                <w:ilvl w:val="0"/>
                <w:numId w:val="14"/>
              </w:numPr>
              <w:tabs>
                <w:tab w:pos="1013" w:val="left" w:leader="none"/>
              </w:tabs>
              <w:spacing w:line="240" w:lineRule="auto" w:before="0" w:after="0"/>
              <w:ind w:left="1012" w:right="0" w:hanging="112"/>
              <w:jc w:val="left"/>
              <w:rPr>
                <w:sz w:val="18"/>
              </w:rPr>
            </w:pPr>
            <w:r>
              <w:rPr>
                <w:sz w:val="18"/>
              </w:rPr>
              <w:t>Resina líquida</w:t>
            </w:r>
          </w:p>
        </w:tc>
      </w:tr>
    </w:tbl>
    <w:p>
      <w:pPr>
        <w:spacing w:line="206" w:lineRule="exact" w:before="0"/>
        <w:ind w:left="1281" w:right="1227" w:firstLine="0"/>
        <w:jc w:val="center"/>
        <w:rPr>
          <w:sz w:val="18"/>
        </w:rPr>
      </w:pPr>
      <w:r>
        <w:rPr>
          <w:sz w:val="18"/>
        </w:rPr>
        <w:t>(Fuente: De la Peña, 2014: 16).</w:t>
      </w:r>
    </w:p>
    <w:p>
      <w:pPr>
        <w:pStyle w:val="BodyText"/>
        <w:rPr>
          <w:sz w:val="18"/>
        </w:rPr>
      </w:pPr>
    </w:p>
    <w:p>
      <w:pPr>
        <w:pStyle w:val="BodyText"/>
        <w:rPr>
          <w:sz w:val="18"/>
        </w:rPr>
      </w:pPr>
    </w:p>
    <w:p>
      <w:pPr>
        <w:pStyle w:val="BodyText"/>
        <w:spacing w:line="357" w:lineRule="auto" w:before="107"/>
        <w:ind w:left="220" w:right="69"/>
      </w:pPr>
      <w:r>
        <w:rPr/>
        <w:t>Pero a continuación como menciona Tello (2008) las principales tecnologías RP serían las siguientes:</w:t>
      </w:r>
    </w:p>
    <w:p>
      <w:pPr>
        <w:spacing w:after="0" w:line="357" w:lineRule="auto"/>
        <w:sectPr>
          <w:pgSz w:w="12240" w:h="15840"/>
          <w:pgMar w:header="0" w:footer="1031" w:top="1360" w:bottom="1220" w:left="1480" w:right="1540"/>
        </w:sectPr>
      </w:pPr>
    </w:p>
    <w:p>
      <w:pPr>
        <w:pStyle w:val="ListParagraph"/>
        <w:numPr>
          <w:ilvl w:val="0"/>
          <w:numId w:val="15"/>
        </w:numPr>
        <w:tabs>
          <w:tab w:pos="821" w:val="left" w:leader="none"/>
        </w:tabs>
        <w:spacing w:line="364" w:lineRule="auto" w:before="49" w:after="0"/>
        <w:ind w:left="821" w:right="123" w:hanging="361"/>
        <w:jc w:val="left"/>
        <w:rPr>
          <w:sz w:val="24"/>
        </w:rPr>
      </w:pPr>
      <w:r>
        <w:rPr>
          <w:sz w:val="28"/>
        </w:rPr>
        <w:t>SLA, </w:t>
      </w:r>
      <w:r>
        <w:rPr>
          <w:sz w:val="24"/>
        </w:rPr>
        <w:t>emplea un láser UV que se proyecta sobre un baño de resina fotosensible líquida para</w:t>
      </w:r>
      <w:r>
        <w:rPr>
          <w:spacing w:val="-22"/>
          <w:sz w:val="24"/>
        </w:rPr>
        <w:t> </w:t>
      </w:r>
      <w:r>
        <w:rPr>
          <w:sz w:val="24"/>
        </w:rPr>
        <w:t>polimerizarla.</w:t>
      </w:r>
    </w:p>
    <w:p>
      <w:pPr>
        <w:pStyle w:val="BodyText"/>
        <w:spacing w:before="10"/>
        <w:rPr>
          <w:sz w:val="35"/>
        </w:rPr>
      </w:pPr>
    </w:p>
    <w:p>
      <w:pPr>
        <w:pStyle w:val="BodyText"/>
        <w:spacing w:line="360" w:lineRule="auto"/>
        <w:ind w:left="100" w:right="117"/>
        <w:jc w:val="both"/>
      </w:pPr>
      <w:r>
        <w:rPr/>
        <w:t>Para Tello esta técnica se basa en la posibilidad de solidificar una resina en  estado líquido mediante la proyección de un haz láser de una frecuencia y potencia muy concretas. El proceso empieza con el elevador situado a una distancia de la superficie del líquido igual al grosor de la primera sección a imprimir. El láser sigue la superficie de la sección y su contorno. El líquido es un fotopolímero que cuando está expuesto a radiación ultra-violeta solidifica. Una vez solidificada esta sección, el elevador baja su posición para situarse a la altura de  la siguiente lámina. Se repite dicha operación hasta conseguir la pieza</w:t>
      </w:r>
      <w:r>
        <w:rPr>
          <w:spacing w:val="-44"/>
        </w:rPr>
        <w:t> </w:t>
      </w:r>
      <w:r>
        <w:rPr/>
        <w:t>final.</w:t>
      </w:r>
    </w:p>
    <w:p>
      <w:pPr>
        <w:pStyle w:val="BodyText"/>
      </w:pPr>
    </w:p>
    <w:p>
      <w:pPr>
        <w:pStyle w:val="BodyText"/>
        <w:spacing w:line="360" w:lineRule="auto" w:before="142"/>
        <w:ind w:left="100" w:right="118"/>
        <w:jc w:val="both"/>
      </w:pPr>
      <w:r>
        <w:rPr/>
        <w:t>El mismo autor explica que como consecuencia, la creación de los prototipos se inicia en su parte inferior y finaliza en la superior. El hecho de que la resina inicialmente se encuentre en estado líquido, conlleva la necesidad de generar, no sólo la geometría correspondiente a la pieza a crear, sino además, una serie de columnas que permitan soportar la pieza a medida que ésta se va generando. De no ser así las distintas capas o voladizos que son necesarios, caerían al no ser autosoportados por la resina líquida no solidificada. Para obtener unas características mecánicas óptimas de las piezas generadas, los prototipos son sometidos a un post-curado en un horno especial de rayos UVA (ultravioleta). Ver </w:t>
      </w:r>
      <w:hyperlink w:history="true" w:anchor="_bookmark37">
        <w:r>
          <w:rPr/>
          <w:t>Figura 2.8</w:t>
        </w:r>
      </w:hyperlink>
    </w:p>
    <w:p>
      <w:pPr>
        <w:spacing w:after="0" w:line="360" w:lineRule="auto"/>
        <w:jc w:val="both"/>
        <w:sectPr>
          <w:pgSz w:w="12240" w:h="15840"/>
          <w:pgMar w:header="0" w:footer="1031" w:top="1360" w:bottom="1220" w:left="1600" w:right="1580"/>
        </w:sectPr>
      </w:pPr>
    </w:p>
    <w:p>
      <w:pPr>
        <w:pStyle w:val="BodyText"/>
        <w:ind w:left="960"/>
        <w:rPr>
          <w:sz w:val="20"/>
        </w:rPr>
      </w:pPr>
      <w:r>
        <w:rPr>
          <w:sz w:val="20"/>
        </w:rPr>
        <w:drawing>
          <wp:inline distT="0" distB="0" distL="0" distR="0">
            <wp:extent cx="4526322" cy="3394710"/>
            <wp:effectExtent l="0" t="0" r="0" b="0"/>
            <wp:docPr id="27" name="image14.jpeg" descr=""/>
            <wp:cNvGraphicFramePr>
              <a:graphicFrameLocks noChangeAspect="1"/>
            </wp:cNvGraphicFramePr>
            <a:graphic>
              <a:graphicData uri="http://schemas.openxmlformats.org/drawingml/2006/picture">
                <pic:pic>
                  <pic:nvPicPr>
                    <pic:cNvPr id="28" name="image14.jpeg"/>
                    <pic:cNvPicPr/>
                  </pic:nvPicPr>
                  <pic:blipFill>
                    <a:blip r:embed="rId40" cstate="print"/>
                    <a:stretch>
                      <a:fillRect/>
                    </a:stretch>
                  </pic:blipFill>
                  <pic:spPr>
                    <a:xfrm>
                      <a:off x="0" y="0"/>
                      <a:ext cx="4526322" cy="3394710"/>
                    </a:xfrm>
                    <a:prstGeom prst="rect">
                      <a:avLst/>
                    </a:prstGeom>
                  </pic:spPr>
                </pic:pic>
              </a:graphicData>
            </a:graphic>
          </wp:inline>
        </w:drawing>
      </w:r>
      <w:r>
        <w:rPr>
          <w:sz w:val="20"/>
        </w:rPr>
      </w:r>
    </w:p>
    <w:p>
      <w:pPr>
        <w:spacing w:before="127"/>
        <w:ind w:left="1948" w:right="1719" w:firstLine="384"/>
        <w:jc w:val="left"/>
        <w:rPr>
          <w:sz w:val="18"/>
        </w:rPr>
      </w:pPr>
      <w:bookmarkStart w:name="_bookmark37" w:id="65"/>
      <w:bookmarkEnd w:id="65"/>
      <w:r>
        <w:rPr/>
      </w:r>
      <w:r>
        <w:rPr>
          <w:sz w:val="18"/>
        </w:rPr>
        <w:t>Figura 2.8. Proceso SLA, procesando una pieza. (Fuente: </w:t>
      </w:r>
      <w:hyperlink r:id="rId41">
        <w:r>
          <w:rPr>
            <w:sz w:val="18"/>
          </w:rPr>
          <w:t>http://www.custompartnet.com/,</w:t>
        </w:r>
      </w:hyperlink>
      <w:r>
        <w:rPr>
          <w:sz w:val="18"/>
        </w:rPr>
        <w:t> consultado el 10 de junio de 2015).</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8"/>
        <w:rPr>
          <w:sz w:val="17"/>
        </w:rPr>
      </w:pPr>
    </w:p>
    <w:p>
      <w:pPr>
        <w:pStyle w:val="ListParagraph"/>
        <w:numPr>
          <w:ilvl w:val="0"/>
          <w:numId w:val="15"/>
        </w:numPr>
        <w:tabs>
          <w:tab w:pos="821" w:val="left" w:leader="none"/>
        </w:tabs>
        <w:spacing w:line="362" w:lineRule="auto" w:before="1" w:after="0"/>
        <w:ind w:left="821" w:right="117" w:hanging="361"/>
        <w:jc w:val="both"/>
        <w:rPr>
          <w:sz w:val="24"/>
        </w:rPr>
      </w:pPr>
      <w:r>
        <w:rPr>
          <w:sz w:val="28"/>
        </w:rPr>
        <w:t>SGC. </w:t>
      </w:r>
      <w:r>
        <w:rPr>
          <w:sz w:val="24"/>
        </w:rPr>
        <w:t>Para Tello (2008) esta tecnología se basa en la solidificación de un fotopolímero o resina fotosensible, para la foto polimerización se irradia con una lámpara de UV de gran potencia todos los puntos de la sección simultáneamente. Ver </w:t>
      </w:r>
      <w:hyperlink w:history="true" w:anchor="_bookmark38">
        <w:r>
          <w:rPr>
            <w:sz w:val="24"/>
          </w:rPr>
          <w:t>Figura</w:t>
        </w:r>
        <w:r>
          <w:rPr>
            <w:spacing w:val="-18"/>
            <w:sz w:val="24"/>
          </w:rPr>
          <w:t> </w:t>
        </w:r>
        <w:r>
          <w:rPr>
            <w:sz w:val="24"/>
          </w:rPr>
          <w:t>2.9</w:t>
        </w:r>
      </w:hyperlink>
      <w:r>
        <w:rPr>
          <w:sz w:val="24"/>
        </w:rPr>
        <w:t>.</w:t>
      </w:r>
    </w:p>
    <w:p>
      <w:pPr>
        <w:spacing w:after="0" w:line="362" w:lineRule="auto"/>
        <w:jc w:val="both"/>
        <w:rPr>
          <w:sz w:val="24"/>
        </w:rPr>
        <w:sectPr>
          <w:pgSz w:w="12240" w:h="15840"/>
          <w:pgMar w:header="0" w:footer="1031" w:top="1420" w:bottom="1220" w:left="1600" w:right="1580"/>
        </w:sectPr>
      </w:pPr>
    </w:p>
    <w:p>
      <w:pPr>
        <w:pStyle w:val="BodyText"/>
        <w:ind w:left="1428"/>
        <w:rPr>
          <w:sz w:val="20"/>
        </w:rPr>
      </w:pPr>
      <w:r>
        <w:rPr>
          <w:sz w:val="20"/>
        </w:rPr>
        <w:drawing>
          <wp:inline distT="0" distB="0" distL="0" distR="0">
            <wp:extent cx="4251959" cy="3188970"/>
            <wp:effectExtent l="0" t="0" r="0" b="0"/>
            <wp:docPr id="29" name="image15.jpeg" descr=""/>
            <wp:cNvGraphicFramePr>
              <a:graphicFrameLocks noChangeAspect="1"/>
            </wp:cNvGraphicFramePr>
            <a:graphic>
              <a:graphicData uri="http://schemas.openxmlformats.org/drawingml/2006/picture">
                <pic:pic>
                  <pic:nvPicPr>
                    <pic:cNvPr id="30" name="image15.jpeg"/>
                    <pic:cNvPicPr/>
                  </pic:nvPicPr>
                  <pic:blipFill>
                    <a:blip r:embed="rId42" cstate="print"/>
                    <a:stretch>
                      <a:fillRect/>
                    </a:stretch>
                  </pic:blipFill>
                  <pic:spPr>
                    <a:xfrm>
                      <a:off x="0" y="0"/>
                      <a:ext cx="4251959" cy="3188970"/>
                    </a:xfrm>
                    <a:prstGeom prst="rect">
                      <a:avLst/>
                    </a:prstGeom>
                  </pic:spPr>
                </pic:pic>
              </a:graphicData>
            </a:graphic>
          </wp:inline>
        </w:drawing>
      </w:r>
      <w:r>
        <w:rPr>
          <w:sz w:val="20"/>
        </w:rPr>
      </w:r>
    </w:p>
    <w:p>
      <w:pPr>
        <w:spacing w:before="118"/>
        <w:ind w:left="3113" w:right="1165" w:hanging="1821"/>
        <w:jc w:val="left"/>
        <w:rPr>
          <w:sz w:val="18"/>
        </w:rPr>
      </w:pPr>
      <w:bookmarkStart w:name="_bookmark38" w:id="66"/>
      <w:bookmarkEnd w:id="66"/>
      <w:r>
        <w:rPr/>
      </w:r>
      <w:r>
        <w:rPr>
          <w:sz w:val="18"/>
        </w:rPr>
        <w:t>Figura 2.9. Sistema de estereolitografía (Fuente: </w:t>
      </w:r>
      <w:hyperlink r:id="rId41">
        <w:r>
          <w:rPr>
            <w:sz w:val="18"/>
          </w:rPr>
          <w:t>http://www.custompartnet.com/,</w:t>
        </w:r>
      </w:hyperlink>
      <w:r>
        <w:rPr>
          <w:sz w:val="18"/>
        </w:rPr>
        <w:t> consultado el 10 de junio de 2015).</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9"/>
        <w:rPr>
          <w:sz w:val="17"/>
        </w:rPr>
      </w:pPr>
    </w:p>
    <w:p>
      <w:pPr>
        <w:pStyle w:val="ListParagraph"/>
        <w:numPr>
          <w:ilvl w:val="0"/>
          <w:numId w:val="16"/>
        </w:numPr>
        <w:tabs>
          <w:tab w:pos="701" w:val="left" w:leader="none"/>
        </w:tabs>
        <w:spacing w:line="362" w:lineRule="auto" w:before="0" w:after="0"/>
        <w:ind w:left="701" w:right="101" w:hanging="361"/>
        <w:jc w:val="both"/>
        <w:rPr>
          <w:sz w:val="24"/>
        </w:rPr>
      </w:pPr>
      <w:r>
        <w:rPr>
          <w:sz w:val="28"/>
        </w:rPr>
        <w:t>SLS. </w:t>
      </w:r>
      <w:r>
        <w:rPr>
          <w:sz w:val="24"/>
        </w:rPr>
        <w:t>Aquí se deposita una capa de polvo, de unas décimas de mm., en una cuba que se ha calentado a una temperatura ligeramente inferior al punto de fusión del polvo. Seguidamente un láser CO2 sinteriza el polvo en los puntos seleccionados. Ver </w:t>
      </w:r>
      <w:hyperlink w:history="true" w:anchor="_bookmark39">
        <w:r>
          <w:rPr>
            <w:sz w:val="24"/>
          </w:rPr>
          <w:t>Figura</w:t>
        </w:r>
        <w:r>
          <w:rPr>
            <w:spacing w:val="-17"/>
            <w:sz w:val="24"/>
          </w:rPr>
          <w:t> </w:t>
        </w:r>
        <w:r>
          <w:rPr>
            <w:sz w:val="24"/>
          </w:rPr>
          <w:t>2.10</w:t>
        </w:r>
      </w:hyperlink>
      <w:r>
        <w:rPr>
          <w:sz w:val="24"/>
        </w:rPr>
        <w:t>.</w:t>
      </w:r>
    </w:p>
    <w:p>
      <w:pPr>
        <w:spacing w:after="0" w:line="362" w:lineRule="auto"/>
        <w:jc w:val="both"/>
        <w:rPr>
          <w:sz w:val="24"/>
        </w:rPr>
        <w:sectPr>
          <w:pgSz w:w="12240" w:h="15840"/>
          <w:pgMar w:header="0" w:footer="1031" w:top="1420" w:bottom="1220" w:left="1720" w:right="1600"/>
        </w:sectPr>
      </w:pPr>
    </w:p>
    <w:p>
      <w:pPr>
        <w:pStyle w:val="BodyText"/>
        <w:ind w:left="843"/>
        <w:rPr>
          <w:sz w:val="20"/>
        </w:rPr>
      </w:pPr>
      <w:r>
        <w:rPr>
          <w:sz w:val="20"/>
        </w:rPr>
        <w:drawing>
          <wp:inline distT="0" distB="0" distL="0" distR="0">
            <wp:extent cx="5120555" cy="3840479"/>
            <wp:effectExtent l="0" t="0" r="0" b="0"/>
            <wp:docPr id="31" name="image16.jpeg" descr=""/>
            <wp:cNvGraphicFramePr>
              <a:graphicFrameLocks noChangeAspect="1"/>
            </wp:cNvGraphicFramePr>
            <a:graphic>
              <a:graphicData uri="http://schemas.openxmlformats.org/drawingml/2006/picture">
                <pic:pic>
                  <pic:nvPicPr>
                    <pic:cNvPr id="32" name="image16.jpeg"/>
                    <pic:cNvPicPr/>
                  </pic:nvPicPr>
                  <pic:blipFill>
                    <a:blip r:embed="rId43" cstate="print"/>
                    <a:stretch>
                      <a:fillRect/>
                    </a:stretch>
                  </pic:blipFill>
                  <pic:spPr>
                    <a:xfrm>
                      <a:off x="0" y="0"/>
                      <a:ext cx="5120555" cy="3840479"/>
                    </a:xfrm>
                    <a:prstGeom prst="rect">
                      <a:avLst/>
                    </a:prstGeom>
                  </pic:spPr>
                </pic:pic>
              </a:graphicData>
            </a:graphic>
          </wp:inline>
        </w:drawing>
      </w:r>
      <w:r>
        <w:rPr>
          <w:sz w:val="20"/>
        </w:rPr>
      </w:r>
    </w:p>
    <w:p>
      <w:pPr>
        <w:spacing w:before="145"/>
        <w:ind w:left="3914" w:right="1021" w:hanging="2657"/>
        <w:jc w:val="left"/>
        <w:rPr>
          <w:sz w:val="18"/>
        </w:rPr>
      </w:pPr>
      <w:bookmarkStart w:name="_bookmark39" w:id="67"/>
      <w:bookmarkEnd w:id="67"/>
      <w:r>
        <w:rPr/>
      </w:r>
      <w:r>
        <w:rPr>
          <w:sz w:val="18"/>
        </w:rPr>
        <w:t>Figura 2.10. Sistema SLS (Fuente: </w:t>
      </w:r>
      <w:hyperlink r:id="rId41">
        <w:r>
          <w:rPr>
            <w:sz w:val="18"/>
          </w:rPr>
          <w:t>http://www.custompartnet.com/,</w:t>
        </w:r>
      </w:hyperlink>
      <w:r>
        <w:rPr>
          <w:sz w:val="18"/>
        </w:rPr>
        <w:t> consultado el 10 de junio de 2015).</w:t>
      </w:r>
    </w:p>
    <w:p>
      <w:pPr>
        <w:pStyle w:val="BodyText"/>
        <w:rPr>
          <w:sz w:val="18"/>
        </w:rPr>
      </w:pPr>
    </w:p>
    <w:p>
      <w:pPr>
        <w:pStyle w:val="BodyText"/>
        <w:rPr>
          <w:sz w:val="18"/>
        </w:rPr>
      </w:pPr>
    </w:p>
    <w:p>
      <w:pPr>
        <w:pStyle w:val="BodyText"/>
        <w:rPr>
          <w:sz w:val="18"/>
        </w:rPr>
      </w:pPr>
    </w:p>
    <w:p>
      <w:pPr>
        <w:pStyle w:val="BodyText"/>
        <w:spacing w:before="7"/>
        <w:rPr>
          <w:sz w:val="17"/>
        </w:rPr>
      </w:pPr>
    </w:p>
    <w:p>
      <w:pPr>
        <w:pStyle w:val="ListParagraph"/>
        <w:numPr>
          <w:ilvl w:val="1"/>
          <w:numId w:val="16"/>
        </w:numPr>
        <w:tabs>
          <w:tab w:pos="821" w:val="left" w:leader="none"/>
        </w:tabs>
        <w:spacing w:line="362" w:lineRule="auto" w:before="0" w:after="0"/>
        <w:ind w:left="821" w:right="103" w:hanging="361"/>
        <w:jc w:val="both"/>
        <w:rPr>
          <w:sz w:val="24"/>
        </w:rPr>
      </w:pPr>
      <w:r>
        <w:rPr>
          <w:sz w:val="28"/>
        </w:rPr>
        <w:t>LOM. </w:t>
      </w:r>
      <w:r>
        <w:rPr>
          <w:sz w:val="24"/>
        </w:rPr>
        <w:t>En este proceso Tello (2008) explica que una hoja de papel en colados exposición a automáticamente sobre una plataforma y se prensa con un rodillo caliente que la adhiere a la hoja precedente. Ver</w:t>
      </w:r>
      <w:r>
        <w:rPr>
          <w:spacing w:val="-32"/>
          <w:sz w:val="24"/>
        </w:rPr>
        <w:t> </w:t>
      </w:r>
      <w:r>
        <w:rPr>
          <w:sz w:val="24"/>
        </w:rPr>
        <w:t>2.11.</w:t>
      </w:r>
    </w:p>
    <w:p>
      <w:pPr>
        <w:spacing w:after="0" w:line="362" w:lineRule="auto"/>
        <w:jc w:val="both"/>
        <w:rPr>
          <w:sz w:val="24"/>
        </w:rPr>
        <w:sectPr>
          <w:pgSz w:w="12240" w:h="15840"/>
          <w:pgMar w:header="0" w:footer="1031" w:top="1420" w:bottom="1220" w:left="1600" w:right="1600"/>
        </w:sectPr>
      </w:pPr>
    </w:p>
    <w:p>
      <w:pPr>
        <w:pStyle w:val="BodyText"/>
        <w:ind w:left="701"/>
        <w:rPr>
          <w:sz w:val="20"/>
        </w:rPr>
      </w:pPr>
      <w:r>
        <w:rPr>
          <w:sz w:val="20"/>
        </w:rPr>
        <w:drawing>
          <wp:inline distT="0" distB="0" distL="0" distR="0">
            <wp:extent cx="5532120" cy="4149090"/>
            <wp:effectExtent l="0" t="0" r="0" b="0"/>
            <wp:docPr id="33" name="image17.jpeg" descr=""/>
            <wp:cNvGraphicFramePr>
              <a:graphicFrameLocks noChangeAspect="1"/>
            </wp:cNvGraphicFramePr>
            <a:graphic>
              <a:graphicData uri="http://schemas.openxmlformats.org/drawingml/2006/picture">
                <pic:pic>
                  <pic:nvPicPr>
                    <pic:cNvPr id="34" name="image17.jpeg"/>
                    <pic:cNvPicPr/>
                  </pic:nvPicPr>
                  <pic:blipFill>
                    <a:blip r:embed="rId44" cstate="print"/>
                    <a:stretch>
                      <a:fillRect/>
                    </a:stretch>
                  </pic:blipFill>
                  <pic:spPr>
                    <a:xfrm>
                      <a:off x="0" y="0"/>
                      <a:ext cx="5532120" cy="4149090"/>
                    </a:xfrm>
                    <a:prstGeom prst="rect">
                      <a:avLst/>
                    </a:prstGeom>
                  </pic:spPr>
                </pic:pic>
              </a:graphicData>
            </a:graphic>
          </wp:inline>
        </w:drawing>
      </w:r>
      <w:r>
        <w:rPr>
          <w:sz w:val="20"/>
        </w:rPr>
      </w:r>
    </w:p>
    <w:p>
      <w:pPr>
        <w:spacing w:before="139"/>
        <w:ind w:left="3794" w:right="1629" w:hanging="2657"/>
        <w:jc w:val="left"/>
        <w:rPr>
          <w:sz w:val="18"/>
        </w:rPr>
      </w:pPr>
      <w:r>
        <w:rPr>
          <w:sz w:val="18"/>
        </w:rPr>
        <w:t>Figura 2.11. Sistema LOM (Fuente: </w:t>
      </w:r>
      <w:hyperlink r:id="rId41">
        <w:r>
          <w:rPr>
            <w:sz w:val="18"/>
          </w:rPr>
          <w:t>http://www.custompartnet.com/,</w:t>
        </w:r>
      </w:hyperlink>
      <w:r>
        <w:rPr>
          <w:sz w:val="18"/>
        </w:rPr>
        <w:t> consultado el 10 de junio de 2015).</w:t>
      </w:r>
    </w:p>
    <w:p>
      <w:pPr>
        <w:pStyle w:val="BodyText"/>
        <w:rPr>
          <w:sz w:val="18"/>
        </w:rPr>
      </w:pPr>
    </w:p>
    <w:p>
      <w:pPr>
        <w:pStyle w:val="BodyText"/>
        <w:rPr>
          <w:sz w:val="18"/>
        </w:rPr>
      </w:pPr>
    </w:p>
    <w:p>
      <w:pPr>
        <w:pStyle w:val="BodyText"/>
        <w:rPr>
          <w:sz w:val="18"/>
        </w:rPr>
      </w:pPr>
    </w:p>
    <w:p>
      <w:pPr>
        <w:pStyle w:val="BodyText"/>
        <w:spacing w:before="7"/>
        <w:rPr>
          <w:sz w:val="17"/>
        </w:rPr>
      </w:pPr>
    </w:p>
    <w:p>
      <w:pPr>
        <w:pStyle w:val="ListParagraph"/>
        <w:numPr>
          <w:ilvl w:val="0"/>
          <w:numId w:val="16"/>
        </w:numPr>
        <w:tabs>
          <w:tab w:pos="701" w:val="left" w:leader="none"/>
        </w:tabs>
        <w:spacing w:line="362" w:lineRule="auto" w:before="0" w:after="0"/>
        <w:ind w:left="701" w:right="719" w:hanging="361"/>
        <w:jc w:val="both"/>
        <w:rPr>
          <w:sz w:val="24"/>
        </w:rPr>
      </w:pPr>
      <w:r>
        <w:rPr>
          <w:sz w:val="28"/>
        </w:rPr>
        <w:t>FDM. </w:t>
      </w:r>
      <w:r>
        <w:rPr>
          <w:sz w:val="24"/>
        </w:rPr>
        <w:t>La descripción de Tello (2008) dice que una boquilla que se mueve en el plano </w:t>
      </w:r>
      <w:r>
        <w:rPr>
          <w:spacing w:val="-3"/>
          <w:sz w:val="24"/>
        </w:rPr>
        <w:t>XY </w:t>
      </w:r>
      <w:r>
        <w:rPr>
          <w:sz w:val="24"/>
        </w:rPr>
        <w:t>horizontal deposita un hilo de material a 1ºC por debajo de su punto de fusión. Este hilo solidifica inmediatamente sobre la capa precedente. Ver </w:t>
      </w:r>
      <w:hyperlink w:history="true" w:anchor="_bookmark40">
        <w:r>
          <w:rPr>
            <w:sz w:val="24"/>
          </w:rPr>
          <w:t>Figura</w:t>
        </w:r>
        <w:r>
          <w:rPr>
            <w:spacing w:val="-16"/>
            <w:sz w:val="24"/>
          </w:rPr>
          <w:t> </w:t>
        </w:r>
        <w:r>
          <w:rPr>
            <w:sz w:val="24"/>
          </w:rPr>
          <w:t>2.12</w:t>
        </w:r>
      </w:hyperlink>
      <w:r>
        <w:rPr>
          <w:sz w:val="24"/>
        </w:rPr>
        <w:t>.</w:t>
      </w:r>
    </w:p>
    <w:p>
      <w:pPr>
        <w:spacing w:after="0" w:line="362" w:lineRule="auto"/>
        <w:jc w:val="both"/>
        <w:rPr>
          <w:sz w:val="24"/>
        </w:rPr>
        <w:sectPr>
          <w:pgSz w:w="12240" w:h="15840"/>
          <w:pgMar w:header="0" w:footer="1031" w:top="1420" w:bottom="1220" w:left="1720" w:right="980"/>
        </w:sectPr>
      </w:pPr>
    </w:p>
    <w:p>
      <w:pPr>
        <w:pStyle w:val="BodyText"/>
        <w:ind w:left="920"/>
        <w:rPr>
          <w:sz w:val="20"/>
        </w:rPr>
      </w:pPr>
      <w:r>
        <w:rPr>
          <w:sz w:val="20"/>
        </w:rPr>
        <w:drawing>
          <wp:inline distT="0" distB="0" distL="0" distR="0">
            <wp:extent cx="4572000" cy="3429000"/>
            <wp:effectExtent l="0" t="0" r="0" b="0"/>
            <wp:docPr id="35" name="image18.jpeg" descr=""/>
            <wp:cNvGraphicFramePr>
              <a:graphicFrameLocks noChangeAspect="1"/>
            </wp:cNvGraphicFramePr>
            <a:graphic>
              <a:graphicData uri="http://schemas.openxmlformats.org/drawingml/2006/picture">
                <pic:pic>
                  <pic:nvPicPr>
                    <pic:cNvPr id="36" name="image18.jpeg"/>
                    <pic:cNvPicPr/>
                  </pic:nvPicPr>
                  <pic:blipFill>
                    <a:blip r:embed="rId45" cstate="print"/>
                    <a:stretch>
                      <a:fillRect/>
                    </a:stretch>
                  </pic:blipFill>
                  <pic:spPr>
                    <a:xfrm>
                      <a:off x="0" y="0"/>
                      <a:ext cx="4572000" cy="3429000"/>
                    </a:xfrm>
                    <a:prstGeom prst="rect">
                      <a:avLst/>
                    </a:prstGeom>
                  </pic:spPr>
                </pic:pic>
              </a:graphicData>
            </a:graphic>
          </wp:inline>
        </w:drawing>
      </w:r>
      <w:r>
        <w:rPr>
          <w:sz w:val="20"/>
        </w:rPr>
      </w:r>
    </w:p>
    <w:p>
      <w:pPr>
        <w:spacing w:before="133"/>
        <w:ind w:left="1238" w:right="1029" w:firstLine="0"/>
        <w:jc w:val="center"/>
        <w:rPr>
          <w:sz w:val="18"/>
        </w:rPr>
      </w:pPr>
      <w:bookmarkStart w:name="_bookmark40" w:id="68"/>
      <w:bookmarkEnd w:id="68"/>
      <w:r>
        <w:rPr/>
      </w:r>
      <w:r>
        <w:rPr>
          <w:sz w:val="18"/>
        </w:rPr>
        <w:t>Figura 2.12. FDM (Fuente: </w:t>
      </w:r>
      <w:hyperlink r:id="rId41">
        <w:r>
          <w:rPr>
            <w:sz w:val="18"/>
          </w:rPr>
          <w:t>http://www.custompartnet.com/,</w:t>
        </w:r>
      </w:hyperlink>
      <w:r>
        <w:rPr>
          <w:sz w:val="18"/>
        </w:rPr>
        <w:t> consultado el 10 de junio de 2015).</w:t>
      </w:r>
    </w:p>
    <w:p>
      <w:pPr>
        <w:pStyle w:val="BodyText"/>
        <w:rPr>
          <w:sz w:val="18"/>
        </w:rPr>
      </w:pPr>
    </w:p>
    <w:p>
      <w:pPr>
        <w:pStyle w:val="BodyText"/>
        <w:spacing w:before="2"/>
        <w:rPr>
          <w:sz w:val="18"/>
        </w:rPr>
      </w:pPr>
    </w:p>
    <w:p>
      <w:pPr>
        <w:pStyle w:val="BodyText"/>
        <w:spacing w:line="360" w:lineRule="auto"/>
        <w:ind w:left="100" w:right="121"/>
        <w:jc w:val="both"/>
      </w:pPr>
      <w:r>
        <w:rPr/>
        <w:t>En el caso de FDM cuando imprime en dos materiales, uno de lo que estaría hecho el modelo y el segundo para soportar y dar estructura al mismo modelo, como lo muestra la siguiente </w:t>
      </w:r>
      <w:hyperlink w:history="true" w:anchor="_bookmark41">
        <w:r>
          <w:rPr/>
          <w:t>Figura</w:t>
        </w:r>
        <w:r>
          <w:rPr>
            <w:spacing w:val="-18"/>
          </w:rPr>
          <w:t> </w:t>
        </w:r>
        <w:r>
          <w:rPr/>
          <w:t>2.13</w:t>
        </w:r>
      </w:hyperlink>
      <w:r>
        <w:rPr/>
        <w:t>.</w:t>
      </w:r>
    </w:p>
    <w:p>
      <w:pPr>
        <w:pStyle w:val="BodyText"/>
        <w:rPr>
          <w:sz w:val="20"/>
        </w:rPr>
      </w:pPr>
    </w:p>
    <w:p>
      <w:pPr>
        <w:pStyle w:val="BodyText"/>
        <w:spacing w:before="10"/>
        <w:rPr>
          <w:sz w:val="12"/>
        </w:rPr>
      </w:pPr>
      <w:r>
        <w:rPr/>
        <w:drawing>
          <wp:anchor distT="0" distB="0" distL="0" distR="0" allowOverlap="1" layoutInCell="1" locked="0" behindDoc="0" simplePos="0" relativeHeight="1216">
            <wp:simplePos x="0" y="0"/>
            <wp:positionH relativeFrom="page">
              <wp:posOffset>2381250</wp:posOffset>
            </wp:positionH>
            <wp:positionV relativeFrom="paragraph">
              <wp:posOffset>118807</wp:posOffset>
            </wp:positionV>
            <wp:extent cx="3004242" cy="1920239"/>
            <wp:effectExtent l="0" t="0" r="0" b="0"/>
            <wp:wrapTopAndBottom/>
            <wp:docPr id="37" name="image19.png" descr=""/>
            <wp:cNvGraphicFramePr>
              <a:graphicFrameLocks noChangeAspect="1"/>
            </wp:cNvGraphicFramePr>
            <a:graphic>
              <a:graphicData uri="http://schemas.openxmlformats.org/drawingml/2006/picture">
                <pic:pic>
                  <pic:nvPicPr>
                    <pic:cNvPr id="38" name="image19.png"/>
                    <pic:cNvPicPr/>
                  </pic:nvPicPr>
                  <pic:blipFill>
                    <a:blip r:embed="rId46" cstate="print"/>
                    <a:stretch>
                      <a:fillRect/>
                    </a:stretch>
                  </pic:blipFill>
                  <pic:spPr>
                    <a:xfrm>
                      <a:off x="0" y="0"/>
                      <a:ext cx="3004242" cy="1920239"/>
                    </a:xfrm>
                    <a:prstGeom prst="rect">
                      <a:avLst/>
                    </a:prstGeom>
                  </pic:spPr>
                </pic:pic>
              </a:graphicData>
            </a:graphic>
          </wp:anchor>
        </w:drawing>
      </w:r>
    </w:p>
    <w:p>
      <w:pPr>
        <w:spacing w:before="113"/>
        <w:ind w:left="1238" w:right="1029" w:firstLine="0"/>
        <w:jc w:val="center"/>
        <w:rPr>
          <w:sz w:val="18"/>
        </w:rPr>
      </w:pPr>
      <w:bookmarkStart w:name="_bookmark41" w:id="69"/>
      <w:bookmarkEnd w:id="69"/>
      <w:r>
        <w:rPr/>
      </w:r>
      <w:r>
        <w:rPr>
          <w:sz w:val="18"/>
        </w:rPr>
        <w:t>Figura 2.13. Cabezales de FDM (Fuente: Noorani, 2006, 83).</w:t>
      </w:r>
    </w:p>
    <w:p>
      <w:pPr>
        <w:pStyle w:val="BodyText"/>
        <w:rPr>
          <w:sz w:val="18"/>
        </w:rPr>
      </w:pPr>
    </w:p>
    <w:p>
      <w:pPr>
        <w:pStyle w:val="BodyText"/>
        <w:spacing w:before="3"/>
        <w:rPr>
          <w:sz w:val="18"/>
        </w:rPr>
      </w:pPr>
    </w:p>
    <w:p>
      <w:pPr>
        <w:pStyle w:val="BodyText"/>
        <w:spacing w:line="360" w:lineRule="auto"/>
        <w:ind w:left="100" w:right="114"/>
        <w:jc w:val="both"/>
      </w:pPr>
      <w:r>
        <w:rPr/>
        <w:t>De manera general se muestra una tabla donde se puede visualizar la tecnología, si utilizar láser, el tamaño de las piezas, el material que utilizan, las ventajas y desventajas, en la </w:t>
      </w:r>
      <w:hyperlink w:history="true" w:anchor="_bookmark42">
        <w:r>
          <w:rPr/>
          <w:t>Tabla 2.4</w:t>
        </w:r>
      </w:hyperlink>
      <w:r>
        <w:rPr/>
        <w:t>.</w:t>
      </w:r>
    </w:p>
    <w:p>
      <w:pPr>
        <w:spacing w:after="0" w:line="360" w:lineRule="auto"/>
        <w:jc w:val="both"/>
        <w:sectPr>
          <w:pgSz w:w="12240" w:h="15840"/>
          <w:pgMar w:header="0" w:footer="1031" w:top="1420" w:bottom="1220" w:left="1600" w:right="1580"/>
        </w:sectPr>
      </w:pPr>
    </w:p>
    <w:p>
      <w:pPr>
        <w:pStyle w:val="BodyText"/>
        <w:spacing w:before="9"/>
        <w:rPr>
          <w:sz w:val="21"/>
        </w:rPr>
      </w:pPr>
    </w:p>
    <w:p>
      <w:pPr>
        <w:spacing w:before="77" w:after="6"/>
        <w:ind w:left="3293" w:right="0" w:firstLine="0"/>
        <w:jc w:val="left"/>
        <w:rPr>
          <w:sz w:val="18"/>
        </w:rPr>
      </w:pPr>
      <w:bookmarkStart w:name="_bookmark42" w:id="70"/>
      <w:bookmarkEnd w:id="70"/>
      <w:r>
        <w:rPr/>
      </w:r>
      <w:r>
        <w:rPr>
          <w:sz w:val="18"/>
        </w:rPr>
        <w:t>Tabla 2.4. Tabla comparativa entre tecnologías de PR.</w:t>
      </w:r>
    </w:p>
    <w:tbl>
      <w:tblPr>
        <w:tblW w:w="0" w:type="auto"/>
        <w:jc w:val="left"/>
        <w:tblInd w:w="11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537"/>
        <w:gridCol w:w="1861"/>
        <w:gridCol w:w="1776"/>
        <w:gridCol w:w="1873"/>
        <w:gridCol w:w="1576"/>
        <w:gridCol w:w="1861"/>
      </w:tblGrid>
      <w:tr>
        <w:trPr>
          <w:trHeight w:val="320" w:hRule="exact"/>
        </w:trPr>
        <w:tc>
          <w:tcPr>
            <w:tcW w:w="1537" w:type="dxa"/>
          </w:tcPr>
          <w:p>
            <w:pPr/>
          </w:p>
        </w:tc>
        <w:tc>
          <w:tcPr>
            <w:tcW w:w="1861" w:type="dxa"/>
          </w:tcPr>
          <w:p>
            <w:pPr>
              <w:pStyle w:val="TableParagraph"/>
              <w:spacing w:line="202" w:lineRule="exact"/>
              <w:ind w:left="170" w:right="163"/>
              <w:jc w:val="center"/>
              <w:rPr>
                <w:sz w:val="18"/>
              </w:rPr>
            </w:pPr>
            <w:r>
              <w:rPr>
                <w:sz w:val="18"/>
              </w:rPr>
              <w:t>SLA</w:t>
            </w:r>
          </w:p>
        </w:tc>
        <w:tc>
          <w:tcPr>
            <w:tcW w:w="1776" w:type="dxa"/>
          </w:tcPr>
          <w:p>
            <w:pPr>
              <w:pStyle w:val="TableParagraph"/>
              <w:spacing w:line="202" w:lineRule="exact"/>
              <w:ind w:left="219" w:right="219"/>
              <w:jc w:val="center"/>
              <w:rPr>
                <w:sz w:val="18"/>
              </w:rPr>
            </w:pPr>
            <w:r>
              <w:rPr>
                <w:sz w:val="18"/>
              </w:rPr>
              <w:t>SGC</w:t>
            </w:r>
          </w:p>
        </w:tc>
        <w:tc>
          <w:tcPr>
            <w:tcW w:w="1873" w:type="dxa"/>
          </w:tcPr>
          <w:p>
            <w:pPr>
              <w:pStyle w:val="TableParagraph"/>
              <w:spacing w:line="202" w:lineRule="exact"/>
              <w:ind w:left="217" w:right="219"/>
              <w:jc w:val="center"/>
              <w:rPr>
                <w:sz w:val="18"/>
              </w:rPr>
            </w:pPr>
            <w:r>
              <w:rPr>
                <w:sz w:val="18"/>
              </w:rPr>
              <w:t>SLS</w:t>
            </w:r>
          </w:p>
        </w:tc>
        <w:tc>
          <w:tcPr>
            <w:tcW w:w="1576" w:type="dxa"/>
          </w:tcPr>
          <w:p>
            <w:pPr>
              <w:pStyle w:val="TableParagraph"/>
              <w:spacing w:line="202" w:lineRule="exact"/>
              <w:ind w:left="152" w:right="153"/>
              <w:jc w:val="center"/>
              <w:rPr>
                <w:sz w:val="18"/>
              </w:rPr>
            </w:pPr>
            <w:r>
              <w:rPr>
                <w:sz w:val="18"/>
              </w:rPr>
              <w:t>LOM</w:t>
            </w:r>
          </w:p>
        </w:tc>
        <w:tc>
          <w:tcPr>
            <w:tcW w:w="1861" w:type="dxa"/>
          </w:tcPr>
          <w:p>
            <w:pPr>
              <w:pStyle w:val="TableParagraph"/>
              <w:spacing w:line="202" w:lineRule="exact"/>
              <w:ind w:left="170" w:right="171"/>
              <w:jc w:val="center"/>
              <w:rPr>
                <w:sz w:val="18"/>
              </w:rPr>
            </w:pPr>
            <w:r>
              <w:rPr>
                <w:sz w:val="18"/>
              </w:rPr>
              <w:t>FDM</w:t>
            </w:r>
          </w:p>
        </w:tc>
      </w:tr>
      <w:tr>
        <w:trPr>
          <w:trHeight w:val="320" w:hRule="exact"/>
        </w:trPr>
        <w:tc>
          <w:tcPr>
            <w:tcW w:w="1537" w:type="dxa"/>
          </w:tcPr>
          <w:p>
            <w:pPr>
              <w:pStyle w:val="TableParagraph"/>
              <w:spacing w:line="202" w:lineRule="exact"/>
              <w:ind w:right="316"/>
              <w:jc w:val="right"/>
              <w:rPr>
                <w:sz w:val="18"/>
              </w:rPr>
            </w:pPr>
            <w:r>
              <w:rPr>
                <w:sz w:val="18"/>
              </w:rPr>
              <w:t>Tecnología</w:t>
            </w:r>
          </w:p>
        </w:tc>
        <w:tc>
          <w:tcPr>
            <w:tcW w:w="1861" w:type="dxa"/>
          </w:tcPr>
          <w:p>
            <w:pPr>
              <w:pStyle w:val="TableParagraph"/>
              <w:spacing w:line="202" w:lineRule="exact"/>
              <w:ind w:left="170" w:right="163"/>
              <w:jc w:val="center"/>
              <w:rPr>
                <w:sz w:val="18"/>
              </w:rPr>
            </w:pPr>
            <w:r>
              <w:rPr>
                <w:sz w:val="18"/>
              </w:rPr>
              <w:t>Polimerización</w:t>
            </w:r>
          </w:p>
        </w:tc>
        <w:tc>
          <w:tcPr>
            <w:tcW w:w="1776" w:type="dxa"/>
          </w:tcPr>
          <w:p>
            <w:pPr>
              <w:pStyle w:val="TableParagraph"/>
              <w:spacing w:line="202" w:lineRule="exact"/>
              <w:ind w:left="217" w:right="219"/>
              <w:jc w:val="center"/>
              <w:rPr>
                <w:sz w:val="18"/>
              </w:rPr>
            </w:pPr>
            <w:r>
              <w:rPr>
                <w:sz w:val="18"/>
              </w:rPr>
              <w:t>Polimerización</w:t>
            </w:r>
          </w:p>
        </w:tc>
        <w:tc>
          <w:tcPr>
            <w:tcW w:w="1873" w:type="dxa"/>
          </w:tcPr>
          <w:p>
            <w:pPr>
              <w:pStyle w:val="TableParagraph"/>
              <w:spacing w:line="202" w:lineRule="exact"/>
              <w:ind w:left="219" w:right="219"/>
              <w:jc w:val="center"/>
              <w:rPr>
                <w:sz w:val="18"/>
              </w:rPr>
            </w:pPr>
            <w:r>
              <w:rPr>
                <w:sz w:val="18"/>
              </w:rPr>
              <w:t>Sinterización</w:t>
            </w:r>
          </w:p>
        </w:tc>
        <w:tc>
          <w:tcPr>
            <w:tcW w:w="1576" w:type="dxa"/>
          </w:tcPr>
          <w:p>
            <w:pPr>
              <w:pStyle w:val="TableParagraph"/>
              <w:spacing w:line="202" w:lineRule="exact"/>
              <w:ind w:left="153" w:right="153"/>
              <w:jc w:val="center"/>
              <w:rPr>
                <w:sz w:val="18"/>
              </w:rPr>
            </w:pPr>
            <w:r>
              <w:rPr>
                <w:sz w:val="18"/>
              </w:rPr>
              <w:t>Corte laminado</w:t>
            </w:r>
          </w:p>
        </w:tc>
        <w:tc>
          <w:tcPr>
            <w:tcW w:w="1861" w:type="dxa"/>
          </w:tcPr>
          <w:p>
            <w:pPr>
              <w:pStyle w:val="TableParagraph"/>
              <w:spacing w:line="202" w:lineRule="exact"/>
              <w:ind w:left="170" w:right="171"/>
              <w:jc w:val="center"/>
              <w:rPr>
                <w:sz w:val="18"/>
              </w:rPr>
            </w:pPr>
            <w:r>
              <w:rPr>
                <w:sz w:val="18"/>
              </w:rPr>
              <w:t>Deposición de hilo</w:t>
            </w:r>
          </w:p>
        </w:tc>
      </w:tr>
      <w:tr>
        <w:trPr>
          <w:trHeight w:val="320" w:hRule="exact"/>
        </w:trPr>
        <w:tc>
          <w:tcPr>
            <w:tcW w:w="1537" w:type="dxa"/>
          </w:tcPr>
          <w:p>
            <w:pPr>
              <w:pStyle w:val="TableParagraph"/>
              <w:spacing w:line="202" w:lineRule="exact"/>
              <w:ind w:left="518" w:right="520"/>
              <w:jc w:val="center"/>
              <w:rPr>
                <w:sz w:val="18"/>
              </w:rPr>
            </w:pPr>
            <w:r>
              <w:rPr>
                <w:sz w:val="18"/>
              </w:rPr>
              <w:t>Láser</w:t>
            </w:r>
          </w:p>
        </w:tc>
        <w:tc>
          <w:tcPr>
            <w:tcW w:w="1861" w:type="dxa"/>
          </w:tcPr>
          <w:p>
            <w:pPr>
              <w:pStyle w:val="TableParagraph"/>
              <w:spacing w:line="202" w:lineRule="exact"/>
              <w:ind w:left="170" w:right="165"/>
              <w:jc w:val="center"/>
              <w:rPr>
                <w:sz w:val="18"/>
              </w:rPr>
            </w:pPr>
            <w:r>
              <w:rPr>
                <w:sz w:val="18"/>
              </w:rPr>
              <w:t>SI</w:t>
            </w:r>
          </w:p>
        </w:tc>
        <w:tc>
          <w:tcPr>
            <w:tcW w:w="1776" w:type="dxa"/>
          </w:tcPr>
          <w:p>
            <w:pPr>
              <w:pStyle w:val="TableParagraph"/>
              <w:spacing w:line="202" w:lineRule="exact"/>
              <w:ind w:left="215" w:right="219"/>
              <w:jc w:val="center"/>
              <w:rPr>
                <w:sz w:val="18"/>
              </w:rPr>
            </w:pPr>
            <w:r>
              <w:rPr>
                <w:sz w:val="18"/>
              </w:rPr>
              <w:t>NO</w:t>
            </w:r>
          </w:p>
        </w:tc>
        <w:tc>
          <w:tcPr>
            <w:tcW w:w="1873" w:type="dxa"/>
          </w:tcPr>
          <w:p>
            <w:pPr>
              <w:pStyle w:val="TableParagraph"/>
              <w:spacing w:line="202" w:lineRule="exact"/>
              <w:ind w:left="216" w:right="219"/>
              <w:jc w:val="center"/>
              <w:rPr>
                <w:sz w:val="18"/>
              </w:rPr>
            </w:pPr>
            <w:r>
              <w:rPr>
                <w:sz w:val="18"/>
              </w:rPr>
              <w:t>SI</w:t>
            </w:r>
          </w:p>
        </w:tc>
        <w:tc>
          <w:tcPr>
            <w:tcW w:w="1576" w:type="dxa"/>
          </w:tcPr>
          <w:p>
            <w:pPr>
              <w:pStyle w:val="TableParagraph"/>
              <w:spacing w:line="202" w:lineRule="exact"/>
              <w:ind w:left="150" w:right="153"/>
              <w:jc w:val="center"/>
              <w:rPr>
                <w:sz w:val="18"/>
              </w:rPr>
            </w:pPr>
            <w:r>
              <w:rPr>
                <w:sz w:val="18"/>
              </w:rPr>
              <w:t>SI</w:t>
            </w:r>
          </w:p>
        </w:tc>
        <w:tc>
          <w:tcPr>
            <w:tcW w:w="1861" w:type="dxa"/>
          </w:tcPr>
          <w:p>
            <w:pPr>
              <w:pStyle w:val="TableParagraph"/>
              <w:spacing w:line="202" w:lineRule="exact"/>
              <w:ind w:left="164" w:right="171"/>
              <w:jc w:val="center"/>
              <w:rPr>
                <w:sz w:val="18"/>
              </w:rPr>
            </w:pPr>
            <w:r>
              <w:rPr>
                <w:sz w:val="18"/>
              </w:rPr>
              <w:t>NO</w:t>
            </w:r>
          </w:p>
        </w:tc>
      </w:tr>
      <w:tr>
        <w:trPr>
          <w:trHeight w:val="1252" w:hRule="exact"/>
        </w:trPr>
        <w:tc>
          <w:tcPr>
            <w:tcW w:w="1537" w:type="dxa"/>
          </w:tcPr>
          <w:p>
            <w:pPr>
              <w:pStyle w:val="TableParagraph"/>
              <w:spacing w:line="357" w:lineRule="auto"/>
              <w:ind w:left="292" w:right="293" w:firstLine="6"/>
              <w:jc w:val="center"/>
              <w:rPr>
                <w:sz w:val="18"/>
              </w:rPr>
            </w:pPr>
            <w:r>
              <w:rPr>
                <w:sz w:val="18"/>
              </w:rPr>
              <w:t>Tamaño de las piezas máximo en centímetros</w:t>
            </w:r>
          </w:p>
        </w:tc>
        <w:tc>
          <w:tcPr>
            <w:tcW w:w="1861" w:type="dxa"/>
          </w:tcPr>
          <w:p>
            <w:pPr>
              <w:pStyle w:val="TableParagraph"/>
              <w:spacing w:before="8"/>
              <w:rPr>
                <w:sz w:val="26"/>
              </w:rPr>
            </w:pPr>
          </w:p>
          <w:p>
            <w:pPr>
              <w:pStyle w:val="TableParagraph"/>
              <w:ind w:left="170" w:right="160"/>
              <w:jc w:val="center"/>
              <w:rPr>
                <w:sz w:val="18"/>
              </w:rPr>
            </w:pPr>
            <w:r>
              <w:rPr>
                <w:sz w:val="18"/>
              </w:rPr>
              <w:t>19 x 19 x 25</w:t>
            </w:r>
          </w:p>
          <w:p>
            <w:pPr>
              <w:pStyle w:val="TableParagraph"/>
              <w:spacing w:before="105"/>
              <w:ind w:left="170" w:right="168"/>
              <w:jc w:val="center"/>
              <w:rPr>
                <w:sz w:val="18"/>
              </w:rPr>
            </w:pPr>
            <w:r>
              <w:rPr>
                <w:sz w:val="18"/>
              </w:rPr>
              <w:t>25.5x25.5x25.5</w:t>
            </w:r>
          </w:p>
          <w:p>
            <w:pPr>
              <w:pStyle w:val="TableParagraph"/>
              <w:spacing w:before="101"/>
              <w:ind w:left="170" w:right="160"/>
              <w:jc w:val="center"/>
              <w:rPr>
                <w:sz w:val="18"/>
              </w:rPr>
            </w:pPr>
            <w:r>
              <w:rPr>
                <w:sz w:val="18"/>
              </w:rPr>
              <w:t>51 x 51 x 60</w:t>
            </w:r>
          </w:p>
        </w:tc>
        <w:tc>
          <w:tcPr>
            <w:tcW w:w="1776" w:type="dxa"/>
          </w:tcPr>
          <w:p>
            <w:pPr>
              <w:pStyle w:val="TableParagraph"/>
              <w:rPr>
                <w:sz w:val="18"/>
              </w:rPr>
            </w:pPr>
          </w:p>
          <w:p>
            <w:pPr>
              <w:pStyle w:val="TableParagraph"/>
              <w:rPr>
                <w:sz w:val="18"/>
              </w:rPr>
            </w:pPr>
          </w:p>
          <w:p>
            <w:pPr>
              <w:pStyle w:val="TableParagraph"/>
              <w:spacing w:before="9"/>
              <w:rPr>
                <w:sz w:val="17"/>
              </w:rPr>
            </w:pPr>
          </w:p>
          <w:p>
            <w:pPr>
              <w:pStyle w:val="TableParagraph"/>
              <w:ind w:left="213" w:right="219"/>
              <w:jc w:val="center"/>
              <w:rPr>
                <w:sz w:val="18"/>
              </w:rPr>
            </w:pPr>
            <w:r>
              <w:rPr>
                <w:sz w:val="18"/>
              </w:rPr>
              <w:t>35.5x51x51</w:t>
            </w:r>
          </w:p>
        </w:tc>
        <w:tc>
          <w:tcPr>
            <w:tcW w:w="1873" w:type="dxa"/>
          </w:tcPr>
          <w:p>
            <w:pPr>
              <w:pStyle w:val="TableParagraph"/>
              <w:spacing w:before="8"/>
              <w:rPr>
                <w:sz w:val="26"/>
              </w:rPr>
            </w:pPr>
          </w:p>
          <w:p>
            <w:pPr>
              <w:pStyle w:val="TableParagraph"/>
              <w:spacing w:line="362" w:lineRule="auto"/>
              <w:ind w:left="684" w:right="550" w:hanging="120"/>
              <w:rPr>
                <w:sz w:val="18"/>
              </w:rPr>
            </w:pPr>
            <w:r>
              <w:rPr>
                <w:sz w:val="18"/>
              </w:rPr>
              <w:t>Diámetro 30x38</w:t>
            </w:r>
          </w:p>
        </w:tc>
        <w:tc>
          <w:tcPr>
            <w:tcW w:w="1576" w:type="dxa"/>
          </w:tcPr>
          <w:p>
            <w:pPr>
              <w:pStyle w:val="TableParagraph"/>
              <w:rPr>
                <w:sz w:val="18"/>
              </w:rPr>
            </w:pPr>
          </w:p>
          <w:p>
            <w:pPr>
              <w:pStyle w:val="TableParagraph"/>
              <w:rPr>
                <w:sz w:val="18"/>
              </w:rPr>
            </w:pPr>
          </w:p>
          <w:p>
            <w:pPr>
              <w:pStyle w:val="TableParagraph"/>
              <w:spacing w:before="9"/>
              <w:rPr>
                <w:sz w:val="17"/>
              </w:rPr>
            </w:pPr>
          </w:p>
          <w:p>
            <w:pPr>
              <w:pStyle w:val="TableParagraph"/>
              <w:ind w:left="147" w:right="153"/>
              <w:jc w:val="center"/>
              <w:rPr>
                <w:sz w:val="18"/>
              </w:rPr>
            </w:pPr>
            <w:r>
              <w:rPr>
                <w:sz w:val="18"/>
              </w:rPr>
              <w:t>25.4x33x38</w:t>
            </w:r>
          </w:p>
        </w:tc>
        <w:tc>
          <w:tcPr>
            <w:tcW w:w="1861" w:type="dxa"/>
          </w:tcPr>
          <w:p>
            <w:pPr>
              <w:pStyle w:val="TableParagraph"/>
              <w:rPr>
                <w:sz w:val="18"/>
              </w:rPr>
            </w:pPr>
          </w:p>
          <w:p>
            <w:pPr>
              <w:pStyle w:val="TableParagraph"/>
              <w:rPr>
                <w:sz w:val="18"/>
              </w:rPr>
            </w:pPr>
          </w:p>
          <w:p>
            <w:pPr>
              <w:pStyle w:val="TableParagraph"/>
              <w:spacing w:before="9"/>
              <w:rPr>
                <w:sz w:val="17"/>
              </w:rPr>
            </w:pPr>
          </w:p>
          <w:p>
            <w:pPr>
              <w:pStyle w:val="TableParagraph"/>
              <w:ind w:left="168" w:right="171"/>
              <w:jc w:val="center"/>
              <w:rPr>
                <w:sz w:val="18"/>
              </w:rPr>
            </w:pPr>
            <w:r>
              <w:rPr>
                <w:sz w:val="18"/>
              </w:rPr>
              <w:t>30.5x30.5x30.5</w:t>
            </w:r>
          </w:p>
        </w:tc>
      </w:tr>
      <w:tr>
        <w:trPr>
          <w:trHeight w:val="941" w:hRule="exact"/>
        </w:trPr>
        <w:tc>
          <w:tcPr>
            <w:tcW w:w="1537" w:type="dxa"/>
          </w:tcPr>
          <w:p>
            <w:pPr>
              <w:pStyle w:val="TableParagraph"/>
              <w:spacing w:line="357" w:lineRule="auto"/>
              <w:ind w:left="535" w:right="365" w:hanging="152"/>
              <w:rPr>
                <w:sz w:val="18"/>
              </w:rPr>
            </w:pPr>
            <w:r>
              <w:rPr>
                <w:sz w:val="18"/>
              </w:rPr>
              <w:t>Precio en euros</w:t>
            </w:r>
          </w:p>
        </w:tc>
        <w:tc>
          <w:tcPr>
            <w:tcW w:w="1861" w:type="dxa"/>
          </w:tcPr>
          <w:p>
            <w:pPr>
              <w:pStyle w:val="TableParagraph"/>
              <w:spacing w:line="206" w:lineRule="exact"/>
              <w:ind w:left="170" w:right="167"/>
              <w:jc w:val="center"/>
              <w:rPr>
                <w:sz w:val="18"/>
              </w:rPr>
            </w:pPr>
            <w:r>
              <w:rPr>
                <w:sz w:val="18"/>
              </w:rPr>
              <w:t>95.000</w:t>
            </w:r>
          </w:p>
          <w:p>
            <w:pPr>
              <w:pStyle w:val="TableParagraph"/>
              <w:spacing w:before="101"/>
              <w:ind w:left="170" w:right="163"/>
              <w:jc w:val="center"/>
              <w:rPr>
                <w:sz w:val="18"/>
              </w:rPr>
            </w:pPr>
            <w:r>
              <w:rPr>
                <w:sz w:val="18"/>
              </w:rPr>
              <w:t>105.000</w:t>
            </w:r>
          </w:p>
          <w:p>
            <w:pPr>
              <w:pStyle w:val="TableParagraph"/>
              <w:spacing w:before="105"/>
              <w:ind w:left="170" w:right="163"/>
              <w:jc w:val="center"/>
              <w:rPr>
                <w:sz w:val="18"/>
              </w:rPr>
            </w:pPr>
            <w:r>
              <w:rPr>
                <w:sz w:val="18"/>
              </w:rPr>
              <w:t>385.000</w:t>
            </w:r>
          </w:p>
        </w:tc>
        <w:tc>
          <w:tcPr>
            <w:tcW w:w="1776" w:type="dxa"/>
          </w:tcPr>
          <w:p>
            <w:pPr>
              <w:pStyle w:val="TableParagraph"/>
              <w:spacing w:line="206" w:lineRule="exact"/>
              <w:ind w:left="217" w:right="219"/>
              <w:jc w:val="center"/>
              <w:rPr>
                <w:sz w:val="18"/>
              </w:rPr>
            </w:pPr>
            <w:r>
              <w:rPr>
                <w:sz w:val="18"/>
              </w:rPr>
              <w:t>490.000</w:t>
            </w:r>
          </w:p>
        </w:tc>
        <w:tc>
          <w:tcPr>
            <w:tcW w:w="1873" w:type="dxa"/>
          </w:tcPr>
          <w:p>
            <w:pPr>
              <w:pStyle w:val="TableParagraph"/>
              <w:spacing w:line="357" w:lineRule="auto"/>
              <w:ind w:left="604" w:right="511" w:hanging="72"/>
              <w:rPr>
                <w:sz w:val="18"/>
              </w:rPr>
            </w:pPr>
            <w:r>
              <w:rPr>
                <w:sz w:val="18"/>
              </w:rPr>
              <w:t>350.000 a 400.000</w:t>
            </w:r>
          </w:p>
        </w:tc>
        <w:tc>
          <w:tcPr>
            <w:tcW w:w="1576" w:type="dxa"/>
          </w:tcPr>
          <w:p>
            <w:pPr>
              <w:pStyle w:val="TableParagraph"/>
              <w:spacing w:before="8"/>
              <w:rPr>
                <w:sz w:val="26"/>
              </w:rPr>
            </w:pPr>
          </w:p>
          <w:p>
            <w:pPr>
              <w:pStyle w:val="TableParagraph"/>
              <w:ind w:left="153" w:right="153"/>
              <w:jc w:val="center"/>
              <w:rPr>
                <w:sz w:val="18"/>
              </w:rPr>
            </w:pPr>
            <w:r>
              <w:rPr>
                <w:sz w:val="18"/>
              </w:rPr>
              <w:t>75.000</w:t>
            </w:r>
          </w:p>
        </w:tc>
        <w:tc>
          <w:tcPr>
            <w:tcW w:w="1861" w:type="dxa"/>
          </w:tcPr>
          <w:p>
            <w:pPr>
              <w:pStyle w:val="TableParagraph"/>
              <w:spacing w:before="8"/>
              <w:rPr>
                <w:sz w:val="26"/>
              </w:rPr>
            </w:pPr>
          </w:p>
          <w:p>
            <w:pPr>
              <w:pStyle w:val="TableParagraph"/>
              <w:ind w:left="170" w:right="170"/>
              <w:jc w:val="center"/>
              <w:rPr>
                <w:sz w:val="18"/>
              </w:rPr>
            </w:pPr>
            <w:r>
              <w:rPr>
                <w:sz w:val="18"/>
              </w:rPr>
              <w:t>180.000</w:t>
            </w:r>
          </w:p>
        </w:tc>
      </w:tr>
      <w:tr>
        <w:trPr>
          <w:trHeight w:val="944" w:hRule="exact"/>
        </w:trPr>
        <w:tc>
          <w:tcPr>
            <w:tcW w:w="1537" w:type="dxa"/>
          </w:tcPr>
          <w:p>
            <w:pPr>
              <w:pStyle w:val="TableParagraph"/>
              <w:rPr>
                <w:sz w:val="18"/>
              </w:rPr>
            </w:pPr>
          </w:p>
          <w:p>
            <w:pPr>
              <w:pStyle w:val="TableParagraph"/>
              <w:rPr>
                <w:sz w:val="18"/>
              </w:rPr>
            </w:pPr>
          </w:p>
          <w:p>
            <w:pPr>
              <w:pStyle w:val="TableParagraph"/>
              <w:spacing w:before="9"/>
              <w:rPr>
                <w:sz w:val="17"/>
              </w:rPr>
            </w:pPr>
          </w:p>
          <w:p>
            <w:pPr>
              <w:pStyle w:val="TableParagraph"/>
              <w:ind w:right="348"/>
              <w:jc w:val="right"/>
              <w:rPr>
                <w:sz w:val="18"/>
              </w:rPr>
            </w:pPr>
            <w:r>
              <w:rPr>
                <w:sz w:val="18"/>
              </w:rPr>
              <w:t>Materiales</w:t>
            </w:r>
          </w:p>
        </w:tc>
        <w:tc>
          <w:tcPr>
            <w:tcW w:w="1861" w:type="dxa"/>
          </w:tcPr>
          <w:p>
            <w:pPr>
              <w:pStyle w:val="TableParagraph"/>
              <w:spacing w:line="206" w:lineRule="exact"/>
              <w:ind w:left="170" w:right="166"/>
              <w:jc w:val="center"/>
              <w:rPr>
                <w:sz w:val="18"/>
              </w:rPr>
            </w:pPr>
            <w:r>
              <w:rPr>
                <w:sz w:val="18"/>
              </w:rPr>
              <w:t>Fotopolímeros</w:t>
            </w:r>
          </w:p>
        </w:tc>
        <w:tc>
          <w:tcPr>
            <w:tcW w:w="1776" w:type="dxa"/>
          </w:tcPr>
          <w:p>
            <w:pPr>
              <w:pStyle w:val="TableParagraph"/>
              <w:spacing w:line="206" w:lineRule="exact"/>
              <w:ind w:left="220" w:right="219"/>
              <w:jc w:val="center"/>
              <w:rPr>
                <w:sz w:val="18"/>
              </w:rPr>
            </w:pPr>
            <w:r>
              <w:rPr>
                <w:sz w:val="18"/>
              </w:rPr>
              <w:t>Fotopolímeros</w:t>
            </w:r>
          </w:p>
        </w:tc>
        <w:tc>
          <w:tcPr>
            <w:tcW w:w="1873" w:type="dxa"/>
          </w:tcPr>
          <w:p>
            <w:pPr>
              <w:pStyle w:val="TableParagraph"/>
              <w:spacing w:line="206" w:lineRule="exact"/>
              <w:ind w:left="219" w:right="219"/>
              <w:jc w:val="center"/>
              <w:rPr>
                <w:sz w:val="18"/>
              </w:rPr>
            </w:pPr>
            <w:r>
              <w:rPr>
                <w:sz w:val="18"/>
              </w:rPr>
              <w:t>P V C ,</w:t>
            </w:r>
          </w:p>
          <w:p>
            <w:pPr>
              <w:pStyle w:val="TableParagraph"/>
              <w:spacing w:line="357" w:lineRule="auto" w:before="105"/>
              <w:ind w:left="220" w:right="216"/>
              <w:jc w:val="center"/>
              <w:rPr>
                <w:sz w:val="18"/>
              </w:rPr>
            </w:pPr>
            <w:r>
              <w:rPr>
                <w:sz w:val="18"/>
              </w:rPr>
              <w:t>Policarbonatos,</w:t>
            </w:r>
            <w:r>
              <w:rPr>
                <w:w w:val="100"/>
                <w:sz w:val="18"/>
              </w:rPr>
              <w:t> </w:t>
            </w:r>
            <w:r>
              <w:rPr>
                <w:sz w:val="18"/>
              </w:rPr>
              <w:t>Nylon y Ceras</w:t>
            </w:r>
          </w:p>
        </w:tc>
        <w:tc>
          <w:tcPr>
            <w:tcW w:w="1576" w:type="dxa"/>
          </w:tcPr>
          <w:p>
            <w:pPr>
              <w:pStyle w:val="TableParagraph"/>
              <w:spacing w:line="362" w:lineRule="auto"/>
              <w:ind w:left="104" w:right="83" w:firstLine="48"/>
              <w:rPr>
                <w:sz w:val="18"/>
              </w:rPr>
            </w:pPr>
            <w:r>
              <w:rPr>
                <w:sz w:val="18"/>
              </w:rPr>
              <w:t>Papel, Poliester y Nylon-Celulosa</w:t>
            </w:r>
          </w:p>
        </w:tc>
        <w:tc>
          <w:tcPr>
            <w:tcW w:w="1861" w:type="dxa"/>
          </w:tcPr>
          <w:p>
            <w:pPr>
              <w:pStyle w:val="TableParagraph"/>
              <w:spacing w:line="362" w:lineRule="auto"/>
              <w:ind w:left="200" w:firstLine="160"/>
              <w:rPr>
                <w:sz w:val="18"/>
              </w:rPr>
            </w:pPr>
            <w:r>
              <w:rPr>
                <w:sz w:val="18"/>
              </w:rPr>
              <w:t>Ceras , ABS y Plástico tipo nylon</w:t>
            </w:r>
          </w:p>
        </w:tc>
      </w:tr>
      <w:tr>
        <w:trPr>
          <w:trHeight w:val="2185" w:hRule="exact"/>
        </w:trPr>
        <w:tc>
          <w:tcPr>
            <w:tcW w:w="1537"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9"/>
              <w:rPr>
                <w:sz w:val="17"/>
              </w:rPr>
            </w:pPr>
          </w:p>
          <w:p>
            <w:pPr>
              <w:pStyle w:val="TableParagraph"/>
              <w:ind w:left="411" w:right="365"/>
              <w:rPr>
                <w:sz w:val="18"/>
              </w:rPr>
            </w:pPr>
            <w:r>
              <w:rPr>
                <w:sz w:val="18"/>
              </w:rPr>
              <w:t>Ventajas</w:t>
            </w:r>
          </w:p>
        </w:tc>
        <w:tc>
          <w:tcPr>
            <w:tcW w:w="1861" w:type="dxa"/>
          </w:tcPr>
          <w:p>
            <w:pPr>
              <w:pStyle w:val="TableParagraph"/>
              <w:spacing w:line="362" w:lineRule="auto"/>
              <w:ind w:left="403" w:right="392" w:firstLine="2"/>
              <w:jc w:val="center"/>
              <w:rPr>
                <w:sz w:val="18"/>
              </w:rPr>
            </w:pPr>
            <w:r>
              <w:rPr>
                <w:sz w:val="18"/>
              </w:rPr>
              <w:t>Tecnología más madura, rápido ,</w:t>
            </w:r>
          </w:p>
          <w:p>
            <w:pPr>
              <w:pStyle w:val="TableParagraph"/>
              <w:spacing w:line="206" w:lineRule="exact"/>
              <w:ind w:left="170" w:right="164"/>
              <w:jc w:val="center"/>
              <w:rPr>
                <w:sz w:val="18"/>
              </w:rPr>
            </w:pPr>
            <w:r>
              <w:rPr>
                <w:sz w:val="18"/>
              </w:rPr>
              <w:t>precisión del 2%</w:t>
            </w:r>
          </w:p>
        </w:tc>
        <w:tc>
          <w:tcPr>
            <w:tcW w:w="1776" w:type="dxa"/>
          </w:tcPr>
          <w:p>
            <w:pPr>
              <w:pStyle w:val="TableParagraph"/>
              <w:spacing w:line="360" w:lineRule="auto"/>
              <w:ind w:left="223" w:right="219"/>
              <w:jc w:val="center"/>
              <w:rPr>
                <w:sz w:val="18"/>
              </w:rPr>
            </w:pPr>
            <w:r>
              <w:rPr>
                <w:sz w:val="18"/>
              </w:rPr>
              <w:t>Mayor precisión, mejores propiedades mecánicas,</w:t>
            </w:r>
          </w:p>
          <w:p>
            <w:pPr>
              <w:pStyle w:val="TableParagraph"/>
              <w:spacing w:line="357" w:lineRule="auto" w:before="4"/>
              <w:ind w:left="343" w:right="341" w:hanging="2"/>
              <w:jc w:val="center"/>
              <w:rPr>
                <w:sz w:val="18"/>
              </w:rPr>
            </w:pPr>
            <w:r>
              <w:rPr>
                <w:sz w:val="18"/>
              </w:rPr>
              <w:t>no hacen falta</w:t>
            </w:r>
            <w:r>
              <w:rPr>
                <w:spacing w:val="-5"/>
                <w:sz w:val="18"/>
              </w:rPr>
              <w:t> </w:t>
            </w:r>
            <w:r>
              <w:rPr>
                <w:sz w:val="18"/>
              </w:rPr>
              <w:t>soportes</w:t>
            </w:r>
          </w:p>
        </w:tc>
        <w:tc>
          <w:tcPr>
            <w:tcW w:w="1873" w:type="dxa"/>
          </w:tcPr>
          <w:p>
            <w:pPr>
              <w:pStyle w:val="TableParagraph"/>
              <w:spacing w:line="360" w:lineRule="auto"/>
              <w:ind w:left="364" w:right="363" w:firstLine="2"/>
              <w:jc w:val="center"/>
              <w:rPr>
                <w:sz w:val="18"/>
              </w:rPr>
            </w:pPr>
            <w:r>
              <w:rPr>
                <w:sz w:val="18"/>
              </w:rPr>
              <w:t>Material más barato, más variedad de materiales, no hacen falta soportes</w:t>
            </w:r>
          </w:p>
        </w:tc>
        <w:tc>
          <w:tcPr>
            <w:tcW w:w="1576" w:type="dxa"/>
          </w:tcPr>
          <w:p>
            <w:pPr>
              <w:pStyle w:val="TableParagraph"/>
              <w:spacing w:line="362" w:lineRule="auto"/>
              <w:ind w:left="184" w:right="179" w:hanging="3"/>
              <w:jc w:val="center"/>
              <w:rPr>
                <w:sz w:val="18"/>
              </w:rPr>
            </w:pPr>
            <w:r>
              <w:rPr>
                <w:sz w:val="18"/>
              </w:rPr>
              <w:t>Precisión hasta 0.1%,</w:t>
            </w:r>
            <w:r>
              <w:rPr>
                <w:spacing w:val="-3"/>
                <w:sz w:val="18"/>
              </w:rPr>
              <w:t> </w:t>
            </w:r>
            <w:r>
              <w:rPr>
                <w:sz w:val="18"/>
              </w:rPr>
              <w:t>de</w:t>
            </w:r>
          </w:p>
          <w:p>
            <w:pPr>
              <w:pStyle w:val="TableParagraph"/>
              <w:spacing w:line="360" w:lineRule="auto" w:before="2"/>
              <w:ind w:left="164" w:right="158" w:hanging="7"/>
              <w:jc w:val="center"/>
              <w:rPr>
                <w:sz w:val="18"/>
              </w:rPr>
            </w:pPr>
            <w:r>
              <w:rPr>
                <w:sz w:val="18"/>
              </w:rPr>
              <w:t>5 a 10 veces más rápido que otros métodos, material más barato</w:t>
            </w:r>
          </w:p>
        </w:tc>
        <w:tc>
          <w:tcPr>
            <w:tcW w:w="1861" w:type="dxa"/>
          </w:tcPr>
          <w:p>
            <w:pPr>
              <w:pStyle w:val="TableParagraph"/>
              <w:spacing w:line="360" w:lineRule="auto"/>
              <w:ind w:left="360" w:right="357" w:hanging="4"/>
              <w:jc w:val="center"/>
              <w:rPr>
                <w:sz w:val="18"/>
              </w:rPr>
            </w:pPr>
            <w:r>
              <w:rPr>
                <w:sz w:val="18"/>
              </w:rPr>
              <w:t>Material más Barato, no Huele, no hacen falta soportes, más rápido que el SLA</w:t>
            </w:r>
          </w:p>
        </w:tc>
      </w:tr>
      <w:tr>
        <w:trPr>
          <w:trHeight w:val="2181" w:hRule="exact"/>
        </w:trPr>
        <w:tc>
          <w:tcPr>
            <w:tcW w:w="1537" w:type="dxa"/>
          </w:tcPr>
          <w:p>
            <w:pPr>
              <w:pStyle w:val="TableParagraph"/>
              <w:rPr>
                <w:sz w:val="18"/>
              </w:rPr>
            </w:pPr>
          </w:p>
          <w:p>
            <w:pPr>
              <w:pStyle w:val="TableParagraph"/>
              <w:rPr>
                <w:sz w:val="18"/>
              </w:rPr>
            </w:pPr>
          </w:p>
          <w:p>
            <w:pPr>
              <w:pStyle w:val="TableParagraph"/>
              <w:rPr>
                <w:sz w:val="18"/>
              </w:rPr>
            </w:pPr>
          </w:p>
          <w:p>
            <w:pPr>
              <w:pStyle w:val="TableParagraph"/>
              <w:spacing w:before="7"/>
              <w:rPr>
                <w:sz w:val="26"/>
              </w:rPr>
            </w:pPr>
          </w:p>
          <w:p>
            <w:pPr>
              <w:pStyle w:val="TableParagraph"/>
              <w:spacing w:before="1"/>
              <w:ind w:right="264"/>
              <w:jc w:val="right"/>
              <w:rPr>
                <w:sz w:val="18"/>
              </w:rPr>
            </w:pPr>
            <w:r>
              <w:rPr>
                <w:sz w:val="18"/>
              </w:rPr>
              <w:t>Desventajas</w:t>
            </w:r>
          </w:p>
        </w:tc>
        <w:tc>
          <w:tcPr>
            <w:tcW w:w="1861" w:type="dxa"/>
          </w:tcPr>
          <w:p>
            <w:pPr>
              <w:pStyle w:val="TableParagraph"/>
              <w:spacing w:line="360" w:lineRule="auto"/>
              <w:ind w:left="340" w:right="329" w:hanging="8"/>
              <w:jc w:val="center"/>
              <w:rPr>
                <w:sz w:val="18"/>
              </w:rPr>
            </w:pPr>
            <w:r>
              <w:rPr>
                <w:sz w:val="18"/>
              </w:rPr>
              <w:t>Modelos traslúcidos, quebradizos, algunas partes requieren soportes</w:t>
            </w:r>
          </w:p>
        </w:tc>
        <w:tc>
          <w:tcPr>
            <w:tcW w:w="1776" w:type="dxa"/>
          </w:tcPr>
          <w:p>
            <w:pPr>
              <w:pStyle w:val="TableParagraph"/>
              <w:spacing w:line="360" w:lineRule="auto"/>
              <w:ind w:left="388" w:right="382"/>
              <w:jc w:val="center"/>
              <w:rPr>
                <w:sz w:val="18"/>
              </w:rPr>
            </w:pPr>
            <w:r>
              <w:rPr>
                <w:sz w:val="18"/>
              </w:rPr>
              <w:t>Es el equipo</w:t>
            </w:r>
            <w:r>
              <w:rPr>
                <w:w w:val="99"/>
                <w:sz w:val="18"/>
              </w:rPr>
              <w:t> </w:t>
            </w:r>
            <w:r>
              <w:rPr>
                <w:sz w:val="18"/>
              </w:rPr>
              <w:t>más caro, complejo, tamaño del equipo</w:t>
            </w:r>
          </w:p>
        </w:tc>
        <w:tc>
          <w:tcPr>
            <w:tcW w:w="1873" w:type="dxa"/>
          </w:tcPr>
          <w:p>
            <w:pPr>
              <w:pStyle w:val="TableParagraph"/>
              <w:spacing w:line="360" w:lineRule="auto"/>
              <w:ind w:left="220" w:right="219"/>
              <w:jc w:val="center"/>
              <w:rPr>
                <w:sz w:val="18"/>
              </w:rPr>
            </w:pPr>
            <w:r>
              <w:rPr>
                <w:sz w:val="18"/>
              </w:rPr>
              <w:t>Tolerancias del 5%, el proceso es más nuevo, salvo el PVC, todas las piezas tienen un</w:t>
            </w:r>
            <w:r>
              <w:rPr>
                <w:spacing w:val="-4"/>
                <w:sz w:val="18"/>
              </w:rPr>
              <w:t> </w:t>
            </w:r>
            <w:r>
              <w:rPr>
                <w:sz w:val="18"/>
              </w:rPr>
              <w:t>aspecto laminado</w:t>
            </w:r>
          </w:p>
        </w:tc>
        <w:tc>
          <w:tcPr>
            <w:tcW w:w="1576" w:type="dxa"/>
          </w:tcPr>
          <w:p>
            <w:pPr>
              <w:pStyle w:val="TableParagraph"/>
              <w:rPr>
                <w:sz w:val="18"/>
              </w:rPr>
            </w:pPr>
          </w:p>
          <w:p>
            <w:pPr>
              <w:pStyle w:val="TableParagraph"/>
              <w:rPr>
                <w:sz w:val="18"/>
              </w:rPr>
            </w:pPr>
          </w:p>
          <w:p>
            <w:pPr>
              <w:pStyle w:val="TableParagraph"/>
              <w:spacing w:before="6"/>
              <w:rPr>
                <w:sz w:val="17"/>
              </w:rPr>
            </w:pPr>
          </w:p>
          <w:p>
            <w:pPr>
              <w:pStyle w:val="TableParagraph"/>
              <w:spacing w:line="362" w:lineRule="auto"/>
              <w:ind w:left="332" w:right="130" w:hanging="185"/>
              <w:rPr>
                <w:sz w:val="18"/>
              </w:rPr>
            </w:pPr>
            <w:r>
              <w:rPr>
                <w:sz w:val="18"/>
              </w:rPr>
              <w:t>Deformación en las láminas</w:t>
            </w:r>
          </w:p>
        </w:tc>
        <w:tc>
          <w:tcPr>
            <w:tcW w:w="1861" w:type="dxa"/>
          </w:tcPr>
          <w:p>
            <w:pPr>
              <w:pStyle w:val="TableParagraph"/>
              <w:rPr>
                <w:sz w:val="18"/>
              </w:rPr>
            </w:pPr>
          </w:p>
          <w:p>
            <w:pPr>
              <w:pStyle w:val="TableParagraph"/>
              <w:rPr>
                <w:sz w:val="18"/>
              </w:rPr>
            </w:pPr>
          </w:p>
          <w:p>
            <w:pPr>
              <w:pStyle w:val="TableParagraph"/>
              <w:rPr>
                <w:sz w:val="18"/>
              </w:rPr>
            </w:pPr>
          </w:p>
          <w:p>
            <w:pPr>
              <w:pStyle w:val="TableParagraph"/>
              <w:spacing w:before="7"/>
              <w:rPr>
                <w:sz w:val="26"/>
              </w:rPr>
            </w:pPr>
          </w:p>
          <w:p>
            <w:pPr>
              <w:pStyle w:val="TableParagraph"/>
              <w:spacing w:line="362" w:lineRule="auto" w:before="1"/>
              <w:ind w:left="524" w:hanging="24"/>
              <w:rPr>
                <w:sz w:val="18"/>
              </w:rPr>
            </w:pPr>
            <w:r>
              <w:rPr>
                <w:w w:val="95"/>
                <w:sz w:val="18"/>
              </w:rPr>
              <w:t>Apariencia </w:t>
            </w:r>
            <w:r>
              <w:rPr>
                <w:sz w:val="18"/>
              </w:rPr>
              <w:t>granulada</w:t>
            </w:r>
          </w:p>
        </w:tc>
      </w:tr>
    </w:tbl>
    <w:p>
      <w:pPr>
        <w:spacing w:line="206" w:lineRule="exact" w:before="0"/>
        <w:ind w:left="4328" w:right="4329" w:firstLine="0"/>
        <w:jc w:val="center"/>
        <w:rPr>
          <w:sz w:val="18"/>
        </w:rPr>
      </w:pPr>
      <w:r>
        <w:rPr>
          <w:sz w:val="18"/>
        </w:rPr>
        <w:t>(Fuente: Tello, 2008: 26).</w:t>
      </w:r>
    </w:p>
    <w:p>
      <w:pPr>
        <w:pStyle w:val="BodyText"/>
        <w:rPr>
          <w:sz w:val="18"/>
        </w:rPr>
      </w:pPr>
    </w:p>
    <w:p>
      <w:pPr>
        <w:pStyle w:val="BodyText"/>
        <w:rPr>
          <w:sz w:val="18"/>
        </w:rPr>
      </w:pPr>
    </w:p>
    <w:p>
      <w:pPr>
        <w:pStyle w:val="BodyText"/>
        <w:spacing w:before="2"/>
        <w:rPr>
          <w:sz w:val="17"/>
        </w:rPr>
      </w:pPr>
    </w:p>
    <w:p>
      <w:pPr>
        <w:pStyle w:val="Heading2"/>
        <w:numPr>
          <w:ilvl w:val="2"/>
          <w:numId w:val="8"/>
        </w:numPr>
        <w:tabs>
          <w:tab w:pos="1741" w:val="left" w:leader="none"/>
        </w:tabs>
        <w:spacing w:line="240" w:lineRule="auto" w:before="0" w:after="0"/>
        <w:ind w:left="1741" w:right="0" w:hanging="801"/>
        <w:jc w:val="both"/>
      </w:pPr>
      <w:bookmarkStart w:name="2.3.6.  Materiales poliméricos" w:id="71"/>
      <w:bookmarkEnd w:id="71"/>
      <w:r>
        <w:rPr/>
      </w:r>
      <w:bookmarkStart w:name="_bookmark43" w:id="72"/>
      <w:bookmarkEnd w:id="72"/>
      <w:r>
        <w:rPr/>
        <w:t>M</w:t>
      </w:r>
      <w:r>
        <w:rPr/>
        <w:t>ateriales</w:t>
      </w:r>
      <w:r>
        <w:rPr>
          <w:spacing w:val="-4"/>
        </w:rPr>
        <w:t> </w:t>
      </w:r>
      <w:r>
        <w:rPr/>
        <w:t>poliméricos</w:t>
      </w:r>
    </w:p>
    <w:p>
      <w:pPr>
        <w:pStyle w:val="BodyText"/>
        <w:rPr>
          <w:sz w:val="28"/>
        </w:rPr>
      </w:pPr>
    </w:p>
    <w:p>
      <w:pPr>
        <w:pStyle w:val="BodyText"/>
        <w:spacing w:before="4"/>
        <w:rPr>
          <w:sz w:val="22"/>
        </w:rPr>
      </w:pPr>
    </w:p>
    <w:p>
      <w:pPr>
        <w:pStyle w:val="BodyText"/>
        <w:spacing w:line="360" w:lineRule="auto"/>
        <w:ind w:left="940" w:right="934"/>
        <w:jc w:val="both"/>
      </w:pPr>
      <w:r>
        <w:rPr/>
        <w:t>En la tecnología de impresión tridimensional se trabaja en su mayoría con materiales poliméricos, así que es necesario notar la diferencia de los principales con el fundamento de Noorani (2006), que él clasifica categorías de polímeros, para él hay tres categorías de polímeros termoestables, termoplásticos y elastómeros; estos se discuten en términos de sus propiedades mecánicas, es</w:t>
      </w:r>
    </w:p>
    <w:p>
      <w:pPr>
        <w:spacing w:after="0" w:line="360" w:lineRule="auto"/>
        <w:jc w:val="both"/>
        <w:sectPr>
          <w:pgSz w:w="12240" w:h="15840"/>
          <w:pgMar w:header="0" w:footer="1031" w:top="1500" w:bottom="1220" w:left="760" w:right="760"/>
        </w:sectPr>
      </w:pPr>
    </w:p>
    <w:p>
      <w:pPr>
        <w:pStyle w:val="BodyText"/>
        <w:spacing w:line="362" w:lineRule="auto" w:before="55"/>
        <w:ind w:left="100"/>
      </w:pPr>
      <w:r>
        <w:rPr/>
        <w:t>importante señalar que clasificación general presenta una vista macroscópica de polímeros, a continuación el autor los describe por separado. </w:t>
      </w:r>
      <w:hyperlink w:history="true" w:anchor="_bookmark44">
        <w:r>
          <w:rPr/>
          <w:t>Figura 2.14</w:t>
        </w:r>
      </w:hyperlink>
      <w:r>
        <w:rPr/>
        <w:t>:</w:t>
      </w:r>
    </w:p>
    <w:p>
      <w:pPr>
        <w:pStyle w:val="BodyText"/>
      </w:pPr>
    </w:p>
    <w:p>
      <w:pPr>
        <w:pStyle w:val="ListParagraph"/>
        <w:numPr>
          <w:ilvl w:val="0"/>
          <w:numId w:val="17"/>
        </w:numPr>
        <w:tabs>
          <w:tab w:pos="821" w:val="left" w:leader="none"/>
        </w:tabs>
        <w:spacing w:line="357" w:lineRule="auto" w:before="139" w:after="0"/>
        <w:ind w:left="821" w:right="98" w:hanging="361"/>
        <w:jc w:val="both"/>
        <w:rPr>
          <w:rFonts w:ascii="Symbol" w:hAnsi="Symbol"/>
          <w:sz w:val="24"/>
        </w:rPr>
      </w:pPr>
      <w:r>
        <w:rPr>
          <w:sz w:val="24"/>
        </w:rPr>
        <w:t>Los termoestables. Un plástico termoestable, o termoestable, se crea cuando los enlaces químicos forman una estructura rígida, reticulados o red molecular. Los termoestables se curan, establecer o endurecido en una forma permanente y por lo general tienen un alto módulo de elasticidad o rigidez que los hace </w:t>
      </w:r>
      <w:r>
        <w:rPr>
          <w:spacing w:val="-2"/>
          <w:sz w:val="24"/>
        </w:rPr>
        <w:t>más </w:t>
      </w:r>
      <w:r>
        <w:rPr>
          <w:sz w:val="24"/>
        </w:rPr>
        <w:t>frágiles. Ejemplos de materiales termoestables incluyen resinas fenólicas, resinas de amino, acrilatos, y</w:t>
      </w:r>
      <w:r>
        <w:rPr>
          <w:spacing w:val="-29"/>
          <w:sz w:val="24"/>
        </w:rPr>
        <w:t> </w:t>
      </w:r>
      <w:r>
        <w:rPr>
          <w:sz w:val="24"/>
        </w:rPr>
        <w:t>epoxis.</w:t>
      </w:r>
    </w:p>
    <w:p>
      <w:pPr>
        <w:pStyle w:val="ListParagraph"/>
        <w:numPr>
          <w:ilvl w:val="0"/>
          <w:numId w:val="17"/>
        </w:numPr>
        <w:tabs>
          <w:tab w:pos="821" w:val="left" w:leader="none"/>
        </w:tabs>
        <w:spacing w:line="357" w:lineRule="auto" w:before="9" w:after="0"/>
        <w:ind w:left="821" w:right="98" w:hanging="361"/>
        <w:jc w:val="both"/>
        <w:rPr>
          <w:rFonts w:ascii="Symbol" w:hAnsi="Symbol"/>
          <w:color w:val="FF0000"/>
          <w:sz w:val="24"/>
        </w:rPr>
      </w:pPr>
      <w:r>
        <w:rPr>
          <w:sz w:val="24"/>
        </w:rPr>
        <w:t>Los termoplásticos. Un termoplástico, por otro lado, no cura o conjunto, puede ser fundido cuando se calienta a un estado capaz de fluir </w:t>
      </w:r>
      <w:r>
        <w:rPr>
          <w:spacing w:val="-3"/>
          <w:sz w:val="24"/>
        </w:rPr>
        <w:t>y, </w:t>
      </w:r>
      <w:r>
        <w:rPr>
          <w:sz w:val="24"/>
        </w:rPr>
        <w:t>a continuación, re-endurecimiento por enfriamiento. Los termoplásticos  forman una estructura molecular algo flexible de cualquiera de cadenas lineales o ramificadas. Termoplásticos comunes incluyen nylon, polietileno y poliestireno. Los termoplásticos son generalmente </w:t>
      </w:r>
      <w:r>
        <w:rPr>
          <w:spacing w:val="-2"/>
          <w:sz w:val="24"/>
        </w:rPr>
        <w:t>más </w:t>
      </w:r>
      <w:r>
        <w:rPr>
          <w:sz w:val="24"/>
        </w:rPr>
        <w:t>resistentes y menos quebradizos que los termofijos, pero son menos dimensionables y térmicamente</w:t>
      </w:r>
      <w:r>
        <w:rPr>
          <w:spacing w:val="-12"/>
          <w:sz w:val="24"/>
        </w:rPr>
        <w:t> </w:t>
      </w:r>
      <w:r>
        <w:rPr>
          <w:sz w:val="24"/>
        </w:rPr>
        <w:t>estables.</w:t>
      </w:r>
    </w:p>
    <w:p>
      <w:pPr>
        <w:pStyle w:val="ListParagraph"/>
        <w:numPr>
          <w:ilvl w:val="0"/>
          <w:numId w:val="17"/>
        </w:numPr>
        <w:tabs>
          <w:tab w:pos="821" w:val="left" w:leader="none"/>
        </w:tabs>
        <w:spacing w:line="360" w:lineRule="auto" w:before="8" w:after="0"/>
        <w:ind w:left="821" w:right="99" w:hanging="361"/>
        <w:jc w:val="both"/>
        <w:rPr>
          <w:rFonts w:ascii="Symbol" w:hAnsi="Symbol"/>
          <w:sz w:val="24"/>
        </w:rPr>
      </w:pPr>
      <w:r>
        <w:rPr>
          <w:sz w:val="24"/>
        </w:rPr>
        <w:t>Elastómeros. Un tercer tipo de polímero se llama un elastómero. Como su nombre indica, presentan una significativa alta deformación elástica. Elastómeros incluyen caucho natural y sintético, silicona, neopreno, y la temperatura ambiente de vulcanización de caucho (RTV). Los elastómeros son polímeros amorfos con un módulo de elasticidad muy baja. Se extienden cuando se aplica una tensión y vuelven a deformación cero cuando se elimina la tensión, como las moléculas encajan a presión de nuevo a sus configuraciones originales retorcidas. El módulo de elasticidad de los elastómeros es proporcional al número de enlaces reticulados de átomos de S entre las cadenas de polímero, que es </w:t>
      </w:r>
      <w:r>
        <w:rPr>
          <w:spacing w:val="-2"/>
          <w:sz w:val="24"/>
        </w:rPr>
        <w:t>más </w:t>
      </w:r>
      <w:r>
        <w:rPr>
          <w:sz w:val="24"/>
        </w:rPr>
        <w:t>o menos 5% en peso de</w:t>
      </w:r>
      <w:r>
        <w:rPr>
          <w:spacing w:val="-12"/>
          <w:sz w:val="24"/>
        </w:rPr>
        <w:t> </w:t>
      </w:r>
      <w:r>
        <w:rPr>
          <w:sz w:val="24"/>
        </w:rPr>
        <w:t>azufre.</w:t>
      </w:r>
    </w:p>
    <w:p>
      <w:pPr>
        <w:spacing w:after="0" w:line="360" w:lineRule="auto"/>
        <w:jc w:val="both"/>
        <w:rPr>
          <w:rFonts w:ascii="Symbol" w:hAnsi="Symbol"/>
          <w:sz w:val="24"/>
        </w:rPr>
        <w:sectPr>
          <w:pgSz w:w="12240" w:h="15840"/>
          <w:pgMar w:header="0" w:footer="1031" w:top="1360" w:bottom="1220" w:left="1600" w:right="1600"/>
        </w:sectPr>
      </w:pPr>
    </w:p>
    <w:p>
      <w:pPr>
        <w:pStyle w:val="BodyText"/>
        <w:ind w:left="1983"/>
        <w:rPr>
          <w:sz w:val="20"/>
        </w:rPr>
      </w:pPr>
      <w:r>
        <w:rPr>
          <w:sz w:val="20"/>
        </w:rPr>
        <w:drawing>
          <wp:inline distT="0" distB="0" distL="0" distR="0">
            <wp:extent cx="3206267" cy="2177414"/>
            <wp:effectExtent l="0" t="0" r="0" b="0"/>
            <wp:docPr id="39" name="image20.jpeg" descr=""/>
            <wp:cNvGraphicFramePr>
              <a:graphicFrameLocks noChangeAspect="1"/>
            </wp:cNvGraphicFramePr>
            <a:graphic>
              <a:graphicData uri="http://schemas.openxmlformats.org/drawingml/2006/picture">
                <pic:pic>
                  <pic:nvPicPr>
                    <pic:cNvPr id="40" name="image20.jpeg"/>
                    <pic:cNvPicPr/>
                  </pic:nvPicPr>
                  <pic:blipFill>
                    <a:blip r:embed="rId47" cstate="print"/>
                    <a:stretch>
                      <a:fillRect/>
                    </a:stretch>
                  </pic:blipFill>
                  <pic:spPr>
                    <a:xfrm>
                      <a:off x="0" y="0"/>
                      <a:ext cx="3206267" cy="2177414"/>
                    </a:xfrm>
                    <a:prstGeom prst="rect">
                      <a:avLst/>
                    </a:prstGeom>
                  </pic:spPr>
                </pic:pic>
              </a:graphicData>
            </a:graphic>
          </wp:inline>
        </w:drawing>
      </w:r>
      <w:r>
        <w:rPr>
          <w:sz w:val="20"/>
        </w:rPr>
      </w:r>
    </w:p>
    <w:p>
      <w:pPr>
        <w:pStyle w:val="BodyText"/>
        <w:spacing w:before="5"/>
        <w:rPr>
          <w:sz w:val="6"/>
        </w:rPr>
      </w:pPr>
    </w:p>
    <w:p>
      <w:pPr>
        <w:spacing w:before="77"/>
        <w:ind w:left="4177" w:right="1170" w:hanging="2761"/>
        <w:jc w:val="left"/>
        <w:rPr>
          <w:sz w:val="18"/>
        </w:rPr>
      </w:pPr>
      <w:bookmarkStart w:name="_bookmark44" w:id="73"/>
      <w:bookmarkEnd w:id="73"/>
      <w:r>
        <w:rPr/>
      </w:r>
      <w:r>
        <w:rPr>
          <w:sz w:val="18"/>
        </w:rPr>
        <w:t>Figura 2.14. Tipos de materiales básicos con sus compuestos. (Fuente: Noorani, 2006: 157).</w:t>
      </w:r>
    </w:p>
    <w:p>
      <w:pPr>
        <w:pStyle w:val="BodyText"/>
        <w:rPr>
          <w:sz w:val="18"/>
        </w:rPr>
      </w:pPr>
    </w:p>
    <w:p>
      <w:pPr>
        <w:pStyle w:val="BodyText"/>
        <w:rPr>
          <w:sz w:val="18"/>
        </w:rPr>
      </w:pPr>
    </w:p>
    <w:p>
      <w:pPr>
        <w:pStyle w:val="BodyText"/>
        <w:spacing w:before="1"/>
        <w:rPr>
          <w:sz w:val="17"/>
        </w:rPr>
      </w:pPr>
    </w:p>
    <w:p>
      <w:pPr>
        <w:pStyle w:val="Heading2"/>
        <w:numPr>
          <w:ilvl w:val="1"/>
          <w:numId w:val="18"/>
        </w:numPr>
        <w:tabs>
          <w:tab w:pos="677" w:val="left" w:leader="none"/>
        </w:tabs>
        <w:spacing w:line="240" w:lineRule="auto" w:before="1" w:after="0"/>
        <w:ind w:left="676" w:right="0" w:hanging="576"/>
        <w:jc w:val="both"/>
      </w:pPr>
      <w:bookmarkStart w:name="2.4. Concepto de CNC" w:id="74"/>
      <w:bookmarkEnd w:id="74"/>
      <w:r>
        <w:rPr/>
      </w:r>
      <w:bookmarkStart w:name="_bookmark45" w:id="75"/>
      <w:bookmarkEnd w:id="75"/>
      <w:r>
        <w:rPr/>
      </w:r>
      <w:bookmarkStart w:name="_bookmark45" w:id="76"/>
      <w:bookmarkEnd w:id="76"/>
      <w:r>
        <w:rPr/>
        <w:t>C</w:t>
      </w:r>
      <w:r>
        <w:rPr/>
        <w:t>oncepto de</w:t>
      </w:r>
      <w:r>
        <w:rPr>
          <w:spacing w:val="-1"/>
        </w:rPr>
        <w:t> </w:t>
      </w:r>
      <w:r>
        <w:rPr/>
        <w:t>CNC</w:t>
      </w:r>
    </w:p>
    <w:p>
      <w:pPr>
        <w:pStyle w:val="BodyText"/>
        <w:rPr>
          <w:sz w:val="28"/>
        </w:rPr>
      </w:pPr>
    </w:p>
    <w:p>
      <w:pPr>
        <w:pStyle w:val="BodyText"/>
        <w:spacing w:before="9"/>
        <w:rPr>
          <w:sz w:val="22"/>
        </w:rPr>
      </w:pPr>
    </w:p>
    <w:p>
      <w:pPr>
        <w:pStyle w:val="BodyText"/>
        <w:spacing w:line="360" w:lineRule="auto"/>
        <w:ind w:left="100" w:right="99"/>
        <w:jc w:val="both"/>
      </w:pPr>
      <w:r>
        <w:rPr/>
        <w:t>Kalpakjian (2014) lo describe como un sistema en el que una microcomputadora de control es parte integral de la máquina, y que el operador de la máquina programa estas computadoras, modifica los programas directamente, prepara programa para diferentes partes y los almacena. Para el autor actualmente los sistemas CNC tienen un amplio uso debido a la disponibilidad</w:t>
      </w:r>
      <w:r>
        <w:rPr>
          <w:spacing w:val="-32"/>
        </w:rPr>
        <w:t> </w:t>
      </w:r>
      <w:r>
        <w:rPr/>
        <w:t>de:</w:t>
      </w:r>
    </w:p>
    <w:p>
      <w:pPr>
        <w:pStyle w:val="BodyText"/>
      </w:pPr>
    </w:p>
    <w:p>
      <w:pPr>
        <w:pStyle w:val="ListParagraph"/>
        <w:numPr>
          <w:ilvl w:val="2"/>
          <w:numId w:val="18"/>
        </w:numPr>
        <w:tabs>
          <w:tab w:pos="821" w:val="left" w:leader="none"/>
        </w:tabs>
        <w:spacing w:line="240" w:lineRule="auto" w:before="142" w:after="0"/>
        <w:ind w:left="821" w:right="0" w:hanging="361"/>
        <w:jc w:val="left"/>
        <w:rPr>
          <w:sz w:val="24"/>
        </w:rPr>
      </w:pPr>
      <w:r>
        <w:rPr>
          <w:sz w:val="24"/>
        </w:rPr>
        <w:t>Computadoras pequeñas con mucha</w:t>
      </w:r>
      <w:r>
        <w:rPr>
          <w:spacing w:val="-21"/>
          <w:sz w:val="24"/>
        </w:rPr>
        <w:t> </w:t>
      </w:r>
      <w:r>
        <w:rPr>
          <w:sz w:val="24"/>
        </w:rPr>
        <w:t>memoria</w:t>
      </w:r>
    </w:p>
    <w:p>
      <w:pPr>
        <w:pStyle w:val="ListParagraph"/>
        <w:numPr>
          <w:ilvl w:val="2"/>
          <w:numId w:val="18"/>
        </w:numPr>
        <w:tabs>
          <w:tab w:pos="821" w:val="left" w:leader="none"/>
        </w:tabs>
        <w:spacing w:line="240" w:lineRule="auto" w:before="136" w:after="0"/>
        <w:ind w:left="821" w:right="0" w:hanging="361"/>
        <w:jc w:val="left"/>
        <w:rPr>
          <w:sz w:val="24"/>
        </w:rPr>
      </w:pPr>
      <w:r>
        <w:rPr>
          <w:sz w:val="24"/>
        </w:rPr>
        <w:t>Bajo costo de controladores y microprocesadores</w:t>
      </w:r>
      <w:r>
        <w:rPr>
          <w:spacing w:val="-32"/>
          <w:sz w:val="24"/>
        </w:rPr>
        <w:t> </w:t>
      </w:r>
      <w:r>
        <w:rPr>
          <w:sz w:val="24"/>
        </w:rPr>
        <w:t>programables</w:t>
      </w:r>
    </w:p>
    <w:p>
      <w:pPr>
        <w:pStyle w:val="ListParagraph"/>
        <w:numPr>
          <w:ilvl w:val="2"/>
          <w:numId w:val="18"/>
        </w:numPr>
        <w:tabs>
          <w:tab w:pos="821" w:val="left" w:leader="none"/>
        </w:tabs>
        <w:spacing w:line="240" w:lineRule="auto" w:before="140" w:after="0"/>
        <w:ind w:left="821" w:right="0" w:hanging="361"/>
        <w:jc w:val="left"/>
        <w:rPr>
          <w:sz w:val="24"/>
        </w:rPr>
      </w:pPr>
      <w:r>
        <w:rPr>
          <w:sz w:val="24"/>
        </w:rPr>
        <w:t>Capacidad de editar</w:t>
      </w:r>
      <w:r>
        <w:rPr>
          <w:spacing w:val="-20"/>
          <w:sz w:val="24"/>
        </w:rPr>
        <w:t> </w:t>
      </w:r>
      <w:r>
        <w:rPr>
          <w:sz w:val="24"/>
        </w:rPr>
        <w:t>programas</w:t>
      </w:r>
    </w:p>
    <w:p>
      <w:pPr>
        <w:pStyle w:val="BodyText"/>
      </w:pPr>
    </w:p>
    <w:p>
      <w:pPr>
        <w:pStyle w:val="BodyText"/>
      </w:pPr>
    </w:p>
    <w:p>
      <w:pPr>
        <w:pStyle w:val="BodyText"/>
        <w:ind w:left="100"/>
        <w:jc w:val="both"/>
      </w:pPr>
      <w:r>
        <w:rPr/>
        <w:t>Kalpakjian (2014) enuncia las ventajas del Control numérico a continuación:</w:t>
      </w:r>
    </w:p>
    <w:p>
      <w:pPr>
        <w:pStyle w:val="BodyText"/>
      </w:pPr>
    </w:p>
    <w:p>
      <w:pPr>
        <w:pStyle w:val="BodyText"/>
      </w:pPr>
    </w:p>
    <w:p>
      <w:pPr>
        <w:pStyle w:val="ListParagraph"/>
        <w:numPr>
          <w:ilvl w:val="0"/>
          <w:numId w:val="19"/>
        </w:numPr>
        <w:tabs>
          <w:tab w:pos="821" w:val="left" w:leader="none"/>
        </w:tabs>
        <w:spacing w:line="360" w:lineRule="auto" w:before="0" w:after="0"/>
        <w:ind w:left="821" w:right="103" w:hanging="361"/>
        <w:jc w:val="both"/>
        <w:rPr>
          <w:sz w:val="24"/>
        </w:rPr>
      </w:pPr>
      <w:r>
        <w:rPr>
          <w:sz w:val="24"/>
        </w:rPr>
        <w:t>Mayor flexibilidad de operación, así como la capacidad de producir formas complejas con buena exactitud dimensional y posibilidad de repetición; altas tasas de producción, productividad y calidad del producto y menos desperdicio.</w:t>
      </w:r>
    </w:p>
    <w:p>
      <w:pPr>
        <w:pStyle w:val="ListParagraph"/>
        <w:numPr>
          <w:ilvl w:val="0"/>
          <w:numId w:val="19"/>
        </w:numPr>
        <w:tabs>
          <w:tab w:pos="820" w:val="left" w:leader="none"/>
          <w:tab w:pos="821" w:val="left" w:leader="none"/>
        </w:tabs>
        <w:spacing w:line="240" w:lineRule="auto" w:before="5" w:after="0"/>
        <w:ind w:left="821" w:right="0" w:hanging="361"/>
        <w:jc w:val="left"/>
        <w:rPr>
          <w:sz w:val="24"/>
        </w:rPr>
      </w:pPr>
      <w:r>
        <w:rPr>
          <w:sz w:val="24"/>
        </w:rPr>
        <w:t>Es fácil hacer ajustes en la</w:t>
      </w:r>
      <w:r>
        <w:rPr>
          <w:spacing w:val="-19"/>
          <w:sz w:val="24"/>
        </w:rPr>
        <w:t> </w:t>
      </w:r>
      <w:r>
        <w:rPr>
          <w:sz w:val="24"/>
        </w:rPr>
        <w:t>máquina.</w:t>
      </w:r>
    </w:p>
    <w:p>
      <w:pPr>
        <w:spacing w:after="0" w:line="240" w:lineRule="auto"/>
        <w:jc w:val="left"/>
        <w:rPr>
          <w:sz w:val="24"/>
        </w:rPr>
        <w:sectPr>
          <w:pgSz w:w="12240" w:h="15840"/>
          <w:pgMar w:header="0" w:footer="1031" w:top="1420" w:bottom="1220" w:left="1600" w:right="1600"/>
        </w:sectPr>
      </w:pPr>
    </w:p>
    <w:p>
      <w:pPr>
        <w:pStyle w:val="ListParagraph"/>
        <w:numPr>
          <w:ilvl w:val="0"/>
          <w:numId w:val="19"/>
        </w:numPr>
        <w:tabs>
          <w:tab w:pos="821" w:val="left" w:leader="none"/>
        </w:tabs>
        <w:spacing w:line="360" w:lineRule="auto" w:before="55" w:after="0"/>
        <w:ind w:left="821" w:right="125" w:hanging="361"/>
        <w:jc w:val="both"/>
        <w:rPr>
          <w:sz w:val="24"/>
        </w:rPr>
      </w:pPr>
      <w:r>
        <w:rPr>
          <w:sz w:val="24"/>
        </w:rPr>
        <w:t>Se pueden realizar </w:t>
      </w:r>
      <w:r>
        <w:rPr>
          <w:spacing w:val="-2"/>
          <w:sz w:val="24"/>
        </w:rPr>
        <w:t>más </w:t>
      </w:r>
      <w:r>
        <w:rPr>
          <w:sz w:val="24"/>
        </w:rPr>
        <w:t>operaciones en cada corrida y el tiempo requerido para preparar y maquinar es menor que el requerido en métodos convencionales.</w:t>
      </w:r>
    </w:p>
    <w:p>
      <w:pPr>
        <w:pStyle w:val="ListParagraph"/>
        <w:numPr>
          <w:ilvl w:val="0"/>
          <w:numId w:val="19"/>
        </w:numPr>
        <w:tabs>
          <w:tab w:pos="821" w:val="left" w:leader="none"/>
        </w:tabs>
        <w:spacing w:line="360" w:lineRule="auto" w:before="6" w:after="0"/>
        <w:ind w:left="821" w:right="125" w:hanging="361"/>
        <w:jc w:val="both"/>
        <w:rPr>
          <w:sz w:val="24"/>
        </w:rPr>
      </w:pPr>
      <w:r>
        <w:rPr>
          <w:sz w:val="24"/>
        </w:rPr>
        <w:t>Los programas pueden ser preparados con rapidez y se pueden recuperar en cualquier</w:t>
      </w:r>
      <w:r>
        <w:rPr>
          <w:spacing w:val="-13"/>
          <w:sz w:val="24"/>
        </w:rPr>
        <w:t> </w:t>
      </w:r>
      <w:r>
        <w:rPr>
          <w:sz w:val="24"/>
        </w:rPr>
        <w:t>momento.</w:t>
      </w:r>
    </w:p>
    <w:p>
      <w:pPr>
        <w:pStyle w:val="ListParagraph"/>
        <w:numPr>
          <w:ilvl w:val="0"/>
          <w:numId w:val="19"/>
        </w:numPr>
        <w:tabs>
          <w:tab w:pos="821" w:val="left" w:leader="none"/>
        </w:tabs>
        <w:spacing w:line="360" w:lineRule="auto" w:before="6" w:after="0"/>
        <w:ind w:left="821" w:right="126" w:hanging="361"/>
        <w:jc w:val="both"/>
        <w:rPr>
          <w:sz w:val="24"/>
        </w:rPr>
      </w:pPr>
      <w:r>
        <w:rPr>
          <w:sz w:val="24"/>
        </w:rPr>
        <w:t>La habilidad requerida del operador es menor que para un maquinista calificado y el operador tiene más tiempo de atender otras tareas en el área de</w:t>
      </w:r>
      <w:r>
        <w:rPr>
          <w:spacing w:val="-10"/>
          <w:sz w:val="24"/>
        </w:rPr>
        <w:t> </w:t>
      </w:r>
      <w:r>
        <w:rPr>
          <w:sz w:val="24"/>
        </w:rPr>
        <w:t>trabajo.</w:t>
      </w:r>
    </w:p>
    <w:p>
      <w:pPr>
        <w:pStyle w:val="BodyText"/>
      </w:pPr>
    </w:p>
    <w:p>
      <w:pPr>
        <w:pStyle w:val="BodyText"/>
        <w:spacing w:line="360" w:lineRule="auto" w:before="142"/>
        <w:ind w:left="100" w:right="117"/>
        <w:jc w:val="both"/>
      </w:pPr>
      <w:r>
        <w:rPr/>
        <w:t>Como se ve en la </w:t>
      </w:r>
      <w:hyperlink w:history="true" w:anchor="_bookmark46">
        <w:r>
          <w:rPr/>
          <w:t>Figura 2.15</w:t>
        </w:r>
      </w:hyperlink>
      <w:r>
        <w:rPr/>
        <w:t> Kalpakjian afirma que el flujo del proceso de la CNC inicia con el Dibujo en 3D en algún software CAD/CAM,  se monta la pieza en  bruto a maquinar, luego se monta la herramienta y se programa la secuencia de corte, se efectúa el post proceso para el cálculo de coordenadas y se determina  un origen de la máquina con la secuencia de corte; se transforma el pseudo  código en código y se pone en marcha una simulación para evitar</w:t>
      </w:r>
      <w:r>
        <w:rPr>
          <w:spacing w:val="-33"/>
        </w:rPr>
        <w:t> </w:t>
      </w:r>
      <w:r>
        <w:rPr/>
        <w:t>colisiones.</w:t>
      </w:r>
    </w:p>
    <w:p>
      <w:pPr>
        <w:pStyle w:val="BodyText"/>
        <w:rPr>
          <w:sz w:val="20"/>
        </w:rPr>
      </w:pPr>
    </w:p>
    <w:p>
      <w:pPr>
        <w:pStyle w:val="BodyText"/>
        <w:rPr>
          <w:sz w:val="13"/>
        </w:rPr>
      </w:pPr>
      <w:r>
        <w:rPr/>
        <w:drawing>
          <wp:anchor distT="0" distB="0" distL="0" distR="0" allowOverlap="1" layoutInCell="1" locked="0" behindDoc="0" simplePos="0" relativeHeight="1240">
            <wp:simplePos x="0" y="0"/>
            <wp:positionH relativeFrom="page">
              <wp:posOffset>2076195</wp:posOffset>
            </wp:positionH>
            <wp:positionV relativeFrom="paragraph">
              <wp:posOffset>119823</wp:posOffset>
            </wp:positionV>
            <wp:extent cx="3596511" cy="2610231"/>
            <wp:effectExtent l="0" t="0" r="0" b="0"/>
            <wp:wrapTopAndBottom/>
            <wp:docPr id="41" name="image21.jpeg" descr=""/>
            <wp:cNvGraphicFramePr>
              <a:graphicFrameLocks noChangeAspect="1"/>
            </wp:cNvGraphicFramePr>
            <a:graphic>
              <a:graphicData uri="http://schemas.openxmlformats.org/drawingml/2006/picture">
                <pic:pic>
                  <pic:nvPicPr>
                    <pic:cNvPr id="42" name="image21.jpeg"/>
                    <pic:cNvPicPr/>
                  </pic:nvPicPr>
                  <pic:blipFill>
                    <a:blip r:embed="rId48" cstate="print"/>
                    <a:stretch>
                      <a:fillRect/>
                    </a:stretch>
                  </pic:blipFill>
                  <pic:spPr>
                    <a:xfrm>
                      <a:off x="0" y="0"/>
                      <a:ext cx="3596511" cy="2610231"/>
                    </a:xfrm>
                    <a:prstGeom prst="rect">
                      <a:avLst/>
                    </a:prstGeom>
                  </pic:spPr>
                </pic:pic>
              </a:graphicData>
            </a:graphic>
          </wp:anchor>
        </w:drawing>
      </w:r>
    </w:p>
    <w:p>
      <w:pPr>
        <w:spacing w:before="101"/>
        <w:ind w:left="1236" w:right="1027" w:firstLine="1352"/>
        <w:jc w:val="left"/>
        <w:rPr>
          <w:sz w:val="18"/>
        </w:rPr>
      </w:pPr>
      <w:bookmarkStart w:name="_bookmark46" w:id="77"/>
      <w:bookmarkEnd w:id="77"/>
      <w:r>
        <w:rPr/>
      </w:r>
      <w:r>
        <w:rPr>
          <w:sz w:val="18"/>
        </w:rPr>
        <w:t>Figura 2.15. Flujo de procesamiento CNC. (Fuente: </w:t>
      </w:r>
      <w:hyperlink r:id="rId49">
        <w:r>
          <w:rPr>
            <w:sz w:val="18"/>
          </w:rPr>
          <w:t>http://diagramasde.com/controles-numericos-cnc,</w:t>
        </w:r>
      </w:hyperlink>
      <w:r>
        <w:rPr>
          <w:sz w:val="18"/>
        </w:rPr>
        <w:t> consultado el 11 de junio de 2015).</w:t>
      </w:r>
    </w:p>
    <w:p>
      <w:pPr>
        <w:spacing w:after="0"/>
        <w:jc w:val="left"/>
        <w:rPr>
          <w:sz w:val="18"/>
        </w:rPr>
        <w:sectPr>
          <w:pgSz w:w="12240" w:h="15840"/>
          <w:pgMar w:header="0" w:footer="1031" w:top="1360" w:bottom="1220" w:left="1600" w:right="1580"/>
        </w:sectPr>
      </w:pPr>
    </w:p>
    <w:p>
      <w:pPr>
        <w:pStyle w:val="Heading2"/>
        <w:numPr>
          <w:ilvl w:val="2"/>
          <w:numId w:val="20"/>
        </w:numPr>
        <w:tabs>
          <w:tab w:pos="897" w:val="left" w:leader="none"/>
        </w:tabs>
        <w:spacing w:line="240" w:lineRule="auto" w:before="49" w:after="0"/>
        <w:ind w:left="897" w:right="0" w:hanging="797"/>
        <w:jc w:val="both"/>
      </w:pPr>
      <w:bookmarkStart w:name="2.4.1.  Corte chorro de agua" w:id="78"/>
      <w:bookmarkEnd w:id="78"/>
      <w:r>
        <w:rPr/>
      </w:r>
      <w:bookmarkStart w:name="_bookmark47" w:id="79"/>
      <w:bookmarkEnd w:id="79"/>
      <w:r>
        <w:rPr/>
        <w:t>C</w:t>
      </w:r>
      <w:r>
        <w:rPr/>
        <w:t>orte chorro de</w:t>
      </w:r>
      <w:r>
        <w:rPr>
          <w:spacing w:val="-8"/>
        </w:rPr>
        <w:t> </w:t>
      </w:r>
      <w:r>
        <w:rPr/>
        <w:t>agua</w:t>
      </w:r>
    </w:p>
    <w:p>
      <w:pPr>
        <w:pStyle w:val="BodyText"/>
        <w:rPr>
          <w:sz w:val="28"/>
        </w:rPr>
      </w:pPr>
    </w:p>
    <w:p>
      <w:pPr>
        <w:pStyle w:val="BodyText"/>
        <w:spacing w:before="8"/>
        <w:rPr>
          <w:sz w:val="22"/>
        </w:rPr>
      </w:pPr>
    </w:p>
    <w:p>
      <w:pPr>
        <w:pStyle w:val="BodyText"/>
        <w:spacing w:line="360" w:lineRule="auto"/>
        <w:ind w:left="100" w:right="116"/>
        <w:jc w:val="both"/>
      </w:pPr>
      <w:r>
        <w:rPr/>
        <w:t>Kalpakjian, S., y S. Schmid, (2014) definen el principio de Maquinado con chorro de agua (</w:t>
      </w:r>
      <w:r>
        <w:rPr>
          <w:i/>
        </w:rPr>
        <w:t>Water Jet Machining</w:t>
      </w:r>
      <w:r>
        <w:rPr/>
        <w:t>, WJM), también llamado maquinado hidrodinámico, se basa en la fuerza que resulta del cambio de momento de una corriente de  agua. Los autores dicen que esta fuerza es lo bastante grande como para cortar materiales metálicos y no metálicos, que </w:t>
      </w:r>
      <w:r>
        <w:rPr>
          <w:spacing w:val="3"/>
        </w:rPr>
        <w:t>el </w:t>
      </w:r>
      <w:r>
        <w:rPr/>
        <w:t>chorro de agua actúa como sierra y corta una ranura angosta en el material; los materiales que pueden cortarse son plásticos, telas, hule, productos de madera, papel, cuero, materiales aislantes, ladrillo y materiales compuestos. Agrega que por lo general se utiliza un nivel de presión alrededor de 40 MPa (mega pascales) y se pueden generar presiones tan altas como 1,400 MPa. Los diámetros de la boquilla varían de entre 0.05 y 1 mm. En función de los materiales el espesor llega a ser hasta de 25</w:t>
      </w:r>
      <w:r>
        <w:rPr>
          <w:spacing w:val="-36"/>
        </w:rPr>
        <w:t> </w:t>
      </w:r>
      <w:r>
        <w:rPr/>
        <w:t>mm.</w:t>
      </w:r>
    </w:p>
    <w:p>
      <w:pPr>
        <w:pStyle w:val="BodyText"/>
      </w:pPr>
    </w:p>
    <w:p>
      <w:pPr>
        <w:pStyle w:val="BodyText"/>
        <w:spacing w:before="142"/>
        <w:ind w:left="100"/>
        <w:jc w:val="both"/>
      </w:pPr>
      <w:r>
        <w:rPr/>
        <w:t>Ventajas del maquinado con chorro de agua para dicho autor, son:</w:t>
      </w:r>
    </w:p>
    <w:p>
      <w:pPr>
        <w:pStyle w:val="BodyText"/>
      </w:pPr>
    </w:p>
    <w:p>
      <w:pPr>
        <w:pStyle w:val="BodyText"/>
      </w:pPr>
    </w:p>
    <w:p>
      <w:pPr>
        <w:pStyle w:val="BodyText"/>
        <w:spacing w:line="357" w:lineRule="auto"/>
        <w:ind w:left="100" w:right="129"/>
        <w:jc w:val="both"/>
      </w:pPr>
      <w:r>
        <w:rPr/>
        <w:t>-Los cortes pueden comenzar en cualquier sitio sin necesidad de practicar barrenos previamente.</w:t>
      </w:r>
    </w:p>
    <w:p>
      <w:pPr>
        <w:pStyle w:val="BodyText"/>
        <w:spacing w:before="9"/>
        <w:ind w:left="100"/>
        <w:jc w:val="both"/>
      </w:pPr>
      <w:r>
        <w:rPr/>
        <w:t>-No se produce calor.</w:t>
      </w:r>
    </w:p>
    <w:p>
      <w:pPr>
        <w:pStyle w:val="BodyText"/>
        <w:spacing w:line="362" w:lineRule="auto" w:before="136"/>
        <w:ind w:left="100" w:right="131"/>
        <w:jc w:val="both"/>
      </w:pPr>
      <w:r>
        <w:rPr/>
        <w:t>-No hay deflexiones del resto de la pieza de trabajo, por lo que el proceso es adecuado para trabajar materiales flexibles.</w:t>
      </w:r>
    </w:p>
    <w:p>
      <w:pPr>
        <w:pStyle w:val="BodyText"/>
        <w:spacing w:line="275" w:lineRule="exact"/>
        <w:ind w:left="100"/>
        <w:jc w:val="both"/>
      </w:pPr>
      <w:r>
        <w:rPr/>
        <w:t>-Hay poco humedecimiento de la pieza de trabajo.</w:t>
      </w:r>
    </w:p>
    <w:p>
      <w:pPr>
        <w:pStyle w:val="BodyText"/>
        <w:spacing w:before="140"/>
        <w:ind w:left="100"/>
        <w:jc w:val="both"/>
      </w:pPr>
      <w:r>
        <w:rPr/>
        <w:t>-Las rebabas que se producen son mínimas.</w:t>
      </w:r>
    </w:p>
    <w:p>
      <w:pPr>
        <w:pStyle w:val="BodyText"/>
        <w:spacing w:before="136"/>
        <w:ind w:left="100"/>
        <w:jc w:val="both"/>
      </w:pPr>
      <w:r>
        <w:rPr/>
        <w:t>-Es una operación de manufactura segura para el ambiente.</w:t>
      </w:r>
    </w:p>
    <w:p>
      <w:pPr>
        <w:pStyle w:val="BodyText"/>
      </w:pPr>
    </w:p>
    <w:p>
      <w:pPr>
        <w:pStyle w:val="BodyText"/>
      </w:pPr>
    </w:p>
    <w:p>
      <w:pPr>
        <w:pStyle w:val="BodyText"/>
        <w:spacing w:line="360" w:lineRule="auto"/>
        <w:ind w:left="100" w:right="119"/>
        <w:jc w:val="both"/>
      </w:pPr>
      <w:r>
        <w:rPr/>
        <w:t>El autor concluye que el maquinado de chorro de agua es abrasivo: el líquido contiene partículas abrasivas como carburo de silicio u óxido de aluminio, y las boquillas están hechas de rubí, diamante y zafiro. Ver </w:t>
      </w:r>
      <w:hyperlink w:history="true" w:anchor="_bookmark48">
        <w:r>
          <w:rPr/>
          <w:t>Figura 2.16</w:t>
        </w:r>
      </w:hyperlink>
    </w:p>
    <w:p>
      <w:pPr>
        <w:spacing w:after="0" w:line="360" w:lineRule="auto"/>
        <w:jc w:val="both"/>
        <w:sectPr>
          <w:pgSz w:w="12240" w:h="15840"/>
          <w:pgMar w:header="0" w:footer="1031" w:top="1360" w:bottom="1220" w:left="1600" w:right="1580"/>
        </w:sectPr>
      </w:pPr>
    </w:p>
    <w:p>
      <w:pPr>
        <w:pStyle w:val="BodyText"/>
        <w:ind w:left="493"/>
        <w:rPr>
          <w:sz w:val="20"/>
        </w:rPr>
      </w:pPr>
      <w:r>
        <w:rPr>
          <w:sz w:val="20"/>
        </w:rPr>
        <w:drawing>
          <wp:inline distT="0" distB="0" distL="0" distR="0">
            <wp:extent cx="5134061" cy="2753677"/>
            <wp:effectExtent l="0" t="0" r="0" b="0"/>
            <wp:docPr id="43" name="image22.jpeg" descr=""/>
            <wp:cNvGraphicFramePr>
              <a:graphicFrameLocks noChangeAspect="1"/>
            </wp:cNvGraphicFramePr>
            <a:graphic>
              <a:graphicData uri="http://schemas.openxmlformats.org/drawingml/2006/picture">
                <pic:pic>
                  <pic:nvPicPr>
                    <pic:cNvPr id="44" name="image22.jpeg"/>
                    <pic:cNvPicPr/>
                  </pic:nvPicPr>
                  <pic:blipFill>
                    <a:blip r:embed="rId50" cstate="print"/>
                    <a:stretch>
                      <a:fillRect/>
                    </a:stretch>
                  </pic:blipFill>
                  <pic:spPr>
                    <a:xfrm>
                      <a:off x="0" y="0"/>
                      <a:ext cx="5134061" cy="2753677"/>
                    </a:xfrm>
                    <a:prstGeom prst="rect">
                      <a:avLst/>
                    </a:prstGeom>
                  </pic:spPr>
                </pic:pic>
              </a:graphicData>
            </a:graphic>
          </wp:inline>
        </w:drawing>
      </w:r>
      <w:r>
        <w:rPr>
          <w:sz w:val="20"/>
        </w:rPr>
      </w:r>
    </w:p>
    <w:p>
      <w:pPr>
        <w:spacing w:before="79"/>
        <w:ind w:left="1288" w:right="1051" w:hanging="10"/>
        <w:jc w:val="center"/>
        <w:rPr>
          <w:sz w:val="18"/>
        </w:rPr>
      </w:pPr>
      <w:bookmarkStart w:name="_bookmark48" w:id="80"/>
      <w:bookmarkEnd w:id="80"/>
      <w:r>
        <w:rPr/>
      </w:r>
      <w:r>
        <w:rPr>
          <w:sz w:val="18"/>
        </w:rPr>
        <w:t>Figura 2.16. Esquema del proceso de corte por agua. (Fuente: </w:t>
      </w:r>
      <w:hyperlink r:id="rId51">
        <w:r>
          <w:rPr>
            <w:sz w:val="18"/>
          </w:rPr>
          <w:t>http://www.interempresas.net/MetalMecanica/Articulos/12110-Tecnologias-de-corte-</w:t>
        </w:r>
      </w:hyperlink>
      <w:r>
        <w:rPr>
          <w:sz w:val="18"/>
        </w:rPr>
        <w:t> de-chapa.html , consultado el 6 de mayo de 2015).</w:t>
      </w:r>
    </w:p>
    <w:p>
      <w:pPr>
        <w:pStyle w:val="BodyText"/>
        <w:rPr>
          <w:sz w:val="18"/>
        </w:rPr>
      </w:pPr>
    </w:p>
    <w:p>
      <w:pPr>
        <w:pStyle w:val="BodyText"/>
        <w:spacing w:before="3"/>
        <w:rPr>
          <w:sz w:val="18"/>
        </w:rPr>
      </w:pPr>
    </w:p>
    <w:p>
      <w:pPr>
        <w:pStyle w:val="BodyText"/>
        <w:spacing w:line="360" w:lineRule="auto"/>
        <w:ind w:left="100" w:right="103"/>
        <w:jc w:val="both"/>
      </w:pPr>
      <w:r>
        <w:rPr/>
        <w:t>Para Bryden (2014) el corte por chorro de agua proyecta agua, a veces mezclada con un polvo abrasivo (por ejemplo silicato fino) a altas presiones y velocidades a través de una fina boquilla, generando un chorro cortante de un diámetro de entre 0,5 y 1 mm. Se produce en frío y no quema los materiales. Puede cortar diversos materiales, como plásticos, compuestos, tejidos, vidrio, cerámica, piedra, madera y metales.</w:t>
      </w:r>
    </w:p>
    <w:p>
      <w:pPr>
        <w:pStyle w:val="BodyText"/>
      </w:pPr>
    </w:p>
    <w:p>
      <w:pPr>
        <w:pStyle w:val="BodyText"/>
        <w:spacing w:before="3"/>
        <w:rPr>
          <w:sz w:val="29"/>
        </w:rPr>
      </w:pPr>
    </w:p>
    <w:p>
      <w:pPr>
        <w:pStyle w:val="Heading2"/>
        <w:numPr>
          <w:ilvl w:val="2"/>
          <w:numId w:val="20"/>
        </w:numPr>
        <w:tabs>
          <w:tab w:pos="897" w:val="left" w:leader="none"/>
        </w:tabs>
        <w:spacing w:line="240" w:lineRule="auto" w:before="0" w:after="0"/>
        <w:ind w:left="897" w:right="0" w:hanging="797"/>
        <w:jc w:val="both"/>
      </w:pPr>
      <w:bookmarkStart w:name="2.4.2.  Corte láser" w:id="81"/>
      <w:bookmarkEnd w:id="81"/>
      <w:r>
        <w:rPr/>
      </w:r>
      <w:bookmarkStart w:name="_bookmark49" w:id="82"/>
      <w:bookmarkEnd w:id="82"/>
      <w:r>
        <w:rPr/>
        <w:t>C</w:t>
      </w:r>
      <w:r>
        <w:rPr/>
        <w:t>orte</w:t>
      </w:r>
      <w:r>
        <w:rPr>
          <w:spacing w:val="-4"/>
        </w:rPr>
        <w:t> </w:t>
      </w:r>
      <w:r>
        <w:rPr/>
        <w:t>láser</w:t>
      </w:r>
    </w:p>
    <w:p>
      <w:pPr>
        <w:pStyle w:val="BodyText"/>
        <w:rPr>
          <w:sz w:val="28"/>
        </w:rPr>
      </w:pPr>
    </w:p>
    <w:p>
      <w:pPr>
        <w:pStyle w:val="BodyText"/>
        <w:spacing w:before="5"/>
        <w:rPr>
          <w:sz w:val="22"/>
        </w:rPr>
      </w:pPr>
    </w:p>
    <w:p>
      <w:pPr>
        <w:pStyle w:val="BodyText"/>
        <w:spacing w:line="360" w:lineRule="auto"/>
        <w:ind w:left="100" w:right="99"/>
        <w:jc w:val="both"/>
      </w:pPr>
      <w:r>
        <w:rPr/>
        <w:t>Martín (2006) dice que el concepto de láser nace a principios de siglo XX, más concretamente en 1917 cuando Einstein postula de forma teórica la existencia de la emisión estimulada, planteando la posibilidad de amplificar la luz, y que sin embargo, no fue hasta 1960 cuando T. H. Maiman produciría por primera vez el fenómeno láser en frecuencias ópticas trabajando con un cristal de rubí.</w:t>
      </w:r>
    </w:p>
    <w:p>
      <w:pPr>
        <w:spacing w:after="0" w:line="360" w:lineRule="auto"/>
        <w:jc w:val="both"/>
        <w:sectPr>
          <w:pgSz w:w="12240" w:h="15840"/>
          <w:pgMar w:header="0" w:footer="1031" w:top="1420" w:bottom="1220" w:left="1600" w:right="1600"/>
        </w:sectPr>
      </w:pPr>
    </w:p>
    <w:p>
      <w:pPr>
        <w:pStyle w:val="BodyText"/>
        <w:spacing w:line="360" w:lineRule="auto" w:before="55"/>
        <w:ind w:left="100" w:right="121"/>
        <w:jc w:val="both"/>
      </w:pPr>
      <w:r>
        <w:rPr/>
        <w:t>El mismo autor explica que actualmente la tecnología láser ha experimentado un desarrollo notable y se encuentra prácticamente en todos los sectores industriales, y él así lo define:</w:t>
      </w:r>
    </w:p>
    <w:p>
      <w:pPr>
        <w:pStyle w:val="BodyText"/>
      </w:pPr>
    </w:p>
    <w:p>
      <w:pPr>
        <w:spacing w:line="362" w:lineRule="auto" w:before="140"/>
        <w:ind w:left="809" w:right="120" w:firstLine="0"/>
        <w:jc w:val="both"/>
        <w:rPr>
          <w:sz w:val="24"/>
        </w:rPr>
      </w:pPr>
      <w:r>
        <w:rPr>
          <w:i/>
          <w:sz w:val="20"/>
        </w:rPr>
        <w:t>La palabra LASER es un acrónimo de (Light Amplification by the Stimulated Emission of </w:t>
      </w:r>
      <w:r>
        <w:rPr>
          <w:i/>
          <w:sz w:val="20"/>
        </w:rPr>
        <w:t>Radiation) (Amplificación de Luz por Emisión Estimulada de Radiación). Es decir, no es más que un tipo especial de luz producida en un medio que lo amplifica (resonador) y por un fenómeno físico llamado emisión estimulada. </w:t>
      </w:r>
      <w:r>
        <w:rPr>
          <w:sz w:val="24"/>
        </w:rPr>
        <w:t>(Martín, 2006:</w:t>
      </w:r>
      <w:r>
        <w:rPr>
          <w:spacing w:val="-10"/>
          <w:sz w:val="24"/>
        </w:rPr>
        <w:t> </w:t>
      </w:r>
      <w:r>
        <w:rPr>
          <w:sz w:val="24"/>
        </w:rPr>
        <w:t>6).</w:t>
      </w:r>
    </w:p>
    <w:p>
      <w:pPr>
        <w:pStyle w:val="BodyText"/>
      </w:pPr>
    </w:p>
    <w:p>
      <w:pPr>
        <w:pStyle w:val="BodyText"/>
        <w:spacing w:line="360" w:lineRule="auto" w:before="140"/>
        <w:ind w:left="100" w:right="128"/>
        <w:jc w:val="both"/>
      </w:pPr>
      <w:r>
        <w:rPr/>
        <w:t>Para Kalpakjian (2014), en el maquinado con rayo láser, la fuente de energía es  un láser (acrónimo de luz amplificada por emisión estimulada de radiación) que enfoca energía óptica sobre la superficie de la pieza de trabajo. Ver </w:t>
      </w:r>
      <w:hyperlink w:history="true" w:anchor="_bookmark50">
        <w:r>
          <w:rPr/>
          <w:t>Figura</w:t>
        </w:r>
        <w:r>
          <w:rPr>
            <w:spacing w:val="-36"/>
          </w:rPr>
          <w:t> </w:t>
        </w:r>
        <w:r>
          <w:rPr/>
          <w:t>2.17</w:t>
        </w:r>
      </w:hyperlink>
    </w:p>
    <w:p>
      <w:pPr>
        <w:pStyle w:val="BodyText"/>
        <w:spacing w:line="357" w:lineRule="auto" w:before="5"/>
        <w:ind w:left="100" w:right="124"/>
        <w:jc w:val="both"/>
      </w:pPr>
      <w:r>
        <w:rPr/>
        <w:t>Y lo dicho con ese autor coincide lo que para Martín (2006) la aplicación del láser sería:</w:t>
      </w:r>
    </w:p>
    <w:p>
      <w:pPr>
        <w:pStyle w:val="BodyText"/>
      </w:pPr>
    </w:p>
    <w:p>
      <w:pPr>
        <w:spacing w:line="362" w:lineRule="auto" w:before="142"/>
        <w:ind w:left="809" w:right="116" w:firstLine="0"/>
        <w:jc w:val="both"/>
        <w:rPr>
          <w:sz w:val="24"/>
        </w:rPr>
      </w:pPr>
      <w:r>
        <w:rPr>
          <w:i/>
          <w:sz w:val="20"/>
        </w:rPr>
        <w:t>Cuando un láser incide sobre un material, éste absorbe su energía transformándola en </w:t>
      </w:r>
      <w:r>
        <w:rPr>
          <w:i/>
          <w:sz w:val="20"/>
        </w:rPr>
        <w:t>calor. Este calor es utilizado para vaporizar, fundir o transformar material. De esta manera se consiguen diferentes aplicaciones, como pueden ser el corte, el perforado, el marcaje, la soldadura, el tratamiento térmico de temple y aleaciones. </w:t>
      </w:r>
      <w:r>
        <w:rPr>
          <w:sz w:val="24"/>
        </w:rPr>
        <w:t>(Martín, 2006: 17)</w:t>
      </w:r>
    </w:p>
    <w:p>
      <w:pPr>
        <w:pStyle w:val="BodyText"/>
      </w:pPr>
    </w:p>
    <w:p>
      <w:pPr>
        <w:pStyle w:val="BodyText"/>
        <w:spacing w:before="139"/>
        <w:ind w:left="100"/>
        <w:jc w:val="both"/>
      </w:pPr>
      <w:r>
        <w:rPr/>
        <w:drawing>
          <wp:anchor distT="0" distB="0" distL="0" distR="0" allowOverlap="1" layoutInCell="1" locked="0" behindDoc="0" simplePos="0" relativeHeight="1264">
            <wp:simplePos x="0" y="0"/>
            <wp:positionH relativeFrom="page">
              <wp:posOffset>1390650</wp:posOffset>
            </wp:positionH>
            <wp:positionV relativeFrom="paragraph">
              <wp:posOffset>349832</wp:posOffset>
            </wp:positionV>
            <wp:extent cx="4977430" cy="2115883"/>
            <wp:effectExtent l="0" t="0" r="0" b="0"/>
            <wp:wrapTopAndBottom/>
            <wp:docPr id="45" name="image23.jpeg" descr=""/>
            <wp:cNvGraphicFramePr>
              <a:graphicFrameLocks noChangeAspect="1"/>
            </wp:cNvGraphicFramePr>
            <a:graphic>
              <a:graphicData uri="http://schemas.openxmlformats.org/drawingml/2006/picture">
                <pic:pic>
                  <pic:nvPicPr>
                    <pic:cNvPr id="46" name="image23.jpeg"/>
                    <pic:cNvPicPr/>
                  </pic:nvPicPr>
                  <pic:blipFill>
                    <a:blip r:embed="rId52" cstate="print"/>
                    <a:stretch>
                      <a:fillRect/>
                    </a:stretch>
                  </pic:blipFill>
                  <pic:spPr>
                    <a:xfrm>
                      <a:off x="0" y="0"/>
                      <a:ext cx="4977430" cy="2115883"/>
                    </a:xfrm>
                    <a:prstGeom prst="rect">
                      <a:avLst/>
                    </a:prstGeom>
                  </pic:spPr>
                </pic:pic>
              </a:graphicData>
            </a:graphic>
          </wp:anchor>
        </w:drawing>
      </w:r>
      <w:r>
        <w:rPr/>
        <w:t>Lo dicho por ambos autores lo podemos apreciar en la siguiente Figura 2.17</w:t>
      </w:r>
    </w:p>
    <w:p>
      <w:pPr>
        <w:spacing w:before="112"/>
        <w:ind w:left="2277" w:right="235" w:firstLine="0"/>
        <w:jc w:val="left"/>
        <w:rPr>
          <w:sz w:val="18"/>
        </w:rPr>
      </w:pPr>
      <w:bookmarkStart w:name="_bookmark50" w:id="83"/>
      <w:bookmarkEnd w:id="83"/>
      <w:r>
        <w:rPr/>
      </w:r>
      <w:r>
        <w:rPr>
          <w:sz w:val="18"/>
        </w:rPr>
        <w:t>Figura 2.17. Proceso de corte. (Fuente: Martín, 2006: 118).</w:t>
      </w:r>
    </w:p>
    <w:p>
      <w:pPr>
        <w:spacing w:after="0"/>
        <w:jc w:val="left"/>
        <w:rPr>
          <w:sz w:val="18"/>
        </w:rPr>
        <w:sectPr>
          <w:pgSz w:w="12240" w:h="15840"/>
          <w:pgMar w:header="0" w:footer="1031" w:top="1360" w:bottom="1220" w:left="1600" w:right="1580"/>
        </w:sectPr>
      </w:pPr>
    </w:p>
    <w:p>
      <w:pPr>
        <w:pStyle w:val="BodyText"/>
        <w:spacing w:line="360" w:lineRule="auto" w:before="55"/>
        <w:ind w:left="100" w:right="127"/>
        <w:jc w:val="both"/>
      </w:pPr>
      <w:r>
        <w:rPr/>
        <w:t>Para Kalpakjian (2014), la fuente de energía de alta densidad y muy concentrada funde el metal y evapora porciones de la pieza de trabajo en una forma controlada. Pero no solamente corta metal, también otros tipos de materiales y a eso se deben varios tipos de láseres:</w:t>
      </w:r>
    </w:p>
    <w:p>
      <w:pPr>
        <w:pStyle w:val="ListParagraph"/>
        <w:numPr>
          <w:ilvl w:val="0"/>
          <w:numId w:val="21"/>
        </w:numPr>
        <w:tabs>
          <w:tab w:pos="809" w:val="left" w:leader="none"/>
        </w:tabs>
        <w:spacing w:line="240" w:lineRule="auto" w:before="2" w:after="0"/>
        <w:ind w:left="809" w:right="0" w:hanging="645"/>
        <w:jc w:val="both"/>
        <w:rPr>
          <w:sz w:val="24"/>
        </w:rPr>
      </w:pPr>
      <w:r>
        <w:rPr>
          <w:sz w:val="24"/>
        </w:rPr>
        <w:t>CO2</w:t>
      </w:r>
    </w:p>
    <w:p>
      <w:pPr>
        <w:pStyle w:val="ListParagraph"/>
        <w:numPr>
          <w:ilvl w:val="0"/>
          <w:numId w:val="21"/>
        </w:numPr>
        <w:tabs>
          <w:tab w:pos="809" w:val="left" w:leader="none"/>
        </w:tabs>
        <w:spacing w:line="240" w:lineRule="auto" w:before="140" w:after="0"/>
        <w:ind w:left="809" w:right="0" w:hanging="645"/>
        <w:jc w:val="both"/>
        <w:rPr>
          <w:sz w:val="24"/>
        </w:rPr>
      </w:pPr>
      <w:r>
        <w:rPr>
          <w:sz w:val="24"/>
        </w:rPr>
        <w:t>ND: YAG (Neodimio:</w:t>
      </w:r>
      <w:r>
        <w:rPr>
          <w:spacing w:val="-23"/>
          <w:sz w:val="24"/>
        </w:rPr>
        <w:t> </w:t>
      </w:r>
      <w:r>
        <w:rPr>
          <w:sz w:val="24"/>
        </w:rPr>
        <w:t>itrio-aluminio-granate).</w:t>
      </w:r>
    </w:p>
    <w:p>
      <w:pPr>
        <w:pStyle w:val="ListParagraph"/>
        <w:numPr>
          <w:ilvl w:val="0"/>
          <w:numId w:val="21"/>
        </w:numPr>
        <w:tabs>
          <w:tab w:pos="809" w:val="left" w:leader="none"/>
        </w:tabs>
        <w:spacing w:line="240" w:lineRule="auto" w:before="136" w:after="0"/>
        <w:ind w:left="809" w:right="0" w:hanging="645"/>
        <w:jc w:val="both"/>
        <w:rPr>
          <w:sz w:val="24"/>
        </w:rPr>
      </w:pPr>
      <w:r>
        <w:rPr>
          <w:sz w:val="24"/>
        </w:rPr>
        <w:t>ND: vidrio,</w:t>
      </w:r>
      <w:r>
        <w:rPr>
          <w:spacing w:val="-12"/>
          <w:sz w:val="24"/>
        </w:rPr>
        <w:t> </w:t>
      </w:r>
      <w:r>
        <w:rPr>
          <w:sz w:val="24"/>
        </w:rPr>
        <w:t>rubí.</w:t>
      </w:r>
    </w:p>
    <w:p>
      <w:pPr>
        <w:pStyle w:val="ListParagraph"/>
        <w:numPr>
          <w:ilvl w:val="0"/>
          <w:numId w:val="21"/>
        </w:numPr>
        <w:tabs>
          <w:tab w:pos="809" w:val="left" w:leader="none"/>
        </w:tabs>
        <w:spacing w:line="240" w:lineRule="auto" w:before="140" w:after="0"/>
        <w:ind w:left="809" w:right="0" w:hanging="645"/>
        <w:jc w:val="both"/>
        <w:rPr>
          <w:sz w:val="24"/>
        </w:rPr>
      </w:pPr>
      <w:r>
        <w:rPr>
          <w:sz w:val="24"/>
        </w:rPr>
        <w:t>Diodo</w:t>
      </w:r>
    </w:p>
    <w:p>
      <w:pPr>
        <w:pStyle w:val="ListParagraph"/>
        <w:numPr>
          <w:ilvl w:val="0"/>
          <w:numId w:val="21"/>
        </w:numPr>
        <w:tabs>
          <w:tab w:pos="809" w:val="left" w:leader="none"/>
        </w:tabs>
        <w:spacing w:line="240" w:lineRule="auto" w:before="136" w:after="0"/>
        <w:ind w:left="809" w:right="0" w:hanging="645"/>
        <w:jc w:val="both"/>
        <w:rPr>
          <w:sz w:val="24"/>
        </w:rPr>
      </w:pPr>
      <w:r>
        <w:rPr>
          <w:sz w:val="24"/>
        </w:rPr>
        <w:t>Excímero</w:t>
      </w:r>
    </w:p>
    <w:p>
      <w:pPr>
        <w:pStyle w:val="BodyText"/>
      </w:pPr>
    </w:p>
    <w:p>
      <w:pPr>
        <w:pStyle w:val="BodyText"/>
      </w:pPr>
    </w:p>
    <w:p>
      <w:pPr>
        <w:pStyle w:val="BodyText"/>
        <w:spacing w:line="362" w:lineRule="auto"/>
        <w:ind w:left="100" w:right="122"/>
        <w:jc w:val="both"/>
      </w:pPr>
      <w:r>
        <w:rPr/>
        <w:t>No es suficiente conocer los tipos de láser, sino también los factores que influyen en el proceso de corte para Martín (2006)</w:t>
      </w:r>
      <w:r>
        <w:rPr>
          <w:spacing w:val="52"/>
        </w:rPr>
        <w:t> </w:t>
      </w:r>
      <w:r>
        <w:rPr/>
        <w:t>son:</w:t>
      </w:r>
    </w:p>
    <w:p>
      <w:pPr>
        <w:pStyle w:val="BodyText"/>
      </w:pPr>
    </w:p>
    <w:p>
      <w:pPr>
        <w:pStyle w:val="ListParagraph"/>
        <w:numPr>
          <w:ilvl w:val="1"/>
          <w:numId w:val="21"/>
        </w:numPr>
        <w:tabs>
          <w:tab w:pos="669" w:val="left" w:leader="none"/>
        </w:tabs>
        <w:spacing w:line="360" w:lineRule="auto" w:before="140" w:after="0"/>
        <w:ind w:left="668" w:right="116" w:hanging="360"/>
        <w:jc w:val="both"/>
        <w:rPr>
          <w:sz w:val="24"/>
        </w:rPr>
      </w:pPr>
      <w:r>
        <w:rPr>
          <w:sz w:val="24"/>
        </w:rPr>
        <w:t>Tipo de material: plásticos, madera, goma, tejidos y cuero, aceros al carbono e inoxidables, aleaciones de aluminio y de titanio; raramente se corta  aluminio </w:t>
      </w:r>
      <w:r>
        <w:rPr>
          <w:spacing w:val="-3"/>
          <w:sz w:val="24"/>
        </w:rPr>
        <w:t>ya </w:t>
      </w:r>
      <w:r>
        <w:rPr>
          <w:sz w:val="24"/>
        </w:rPr>
        <w:t>que presenta un elevado porcentaje de</w:t>
      </w:r>
      <w:r>
        <w:rPr>
          <w:spacing w:val="-25"/>
          <w:sz w:val="24"/>
        </w:rPr>
        <w:t> </w:t>
      </w:r>
      <w:r>
        <w:rPr>
          <w:sz w:val="24"/>
        </w:rPr>
        <w:t>reflexión.</w:t>
      </w:r>
    </w:p>
    <w:p>
      <w:pPr>
        <w:pStyle w:val="ListParagraph"/>
        <w:numPr>
          <w:ilvl w:val="1"/>
          <w:numId w:val="21"/>
        </w:numPr>
        <w:tabs>
          <w:tab w:pos="669" w:val="left" w:leader="none"/>
        </w:tabs>
        <w:spacing w:line="362" w:lineRule="auto" w:before="2" w:after="0"/>
        <w:ind w:left="668" w:right="124" w:hanging="360"/>
        <w:jc w:val="both"/>
        <w:rPr>
          <w:sz w:val="24"/>
        </w:rPr>
      </w:pPr>
      <w:r>
        <w:rPr>
          <w:sz w:val="24"/>
        </w:rPr>
        <w:t>Características del haz incidente: modo transversal, potencia de salida, estabilidad, y</w:t>
      </w:r>
      <w:r>
        <w:rPr>
          <w:spacing w:val="-22"/>
          <w:sz w:val="24"/>
        </w:rPr>
        <w:t> </w:t>
      </w:r>
      <w:r>
        <w:rPr>
          <w:sz w:val="24"/>
        </w:rPr>
        <w:t>polarización.</w:t>
      </w:r>
    </w:p>
    <w:p>
      <w:pPr>
        <w:pStyle w:val="ListParagraph"/>
        <w:numPr>
          <w:ilvl w:val="1"/>
          <w:numId w:val="21"/>
        </w:numPr>
        <w:tabs>
          <w:tab w:pos="669" w:val="left" w:leader="none"/>
        </w:tabs>
        <w:spacing w:line="362" w:lineRule="auto" w:before="0" w:after="0"/>
        <w:ind w:left="668" w:right="120" w:hanging="360"/>
        <w:jc w:val="both"/>
        <w:rPr>
          <w:sz w:val="24"/>
        </w:rPr>
      </w:pPr>
      <w:r>
        <w:rPr>
          <w:sz w:val="24"/>
        </w:rPr>
        <w:t>Variables del proceso: velocidad de avance del haz láser sobre la pieza,  lente de focalización, posición del punto focal, gas de</w:t>
      </w:r>
      <w:r>
        <w:rPr>
          <w:spacing w:val="-32"/>
          <w:sz w:val="24"/>
        </w:rPr>
        <w:t> </w:t>
      </w:r>
      <w:r>
        <w:rPr>
          <w:sz w:val="24"/>
        </w:rPr>
        <w:t>asistencia.</w:t>
      </w:r>
    </w:p>
    <w:p>
      <w:pPr>
        <w:pStyle w:val="BodyText"/>
      </w:pPr>
    </w:p>
    <w:p>
      <w:pPr>
        <w:pStyle w:val="BodyText"/>
        <w:spacing w:line="360" w:lineRule="auto" w:before="139"/>
        <w:ind w:left="100" w:right="120"/>
        <w:jc w:val="both"/>
      </w:pPr>
      <w:r>
        <w:rPr/>
        <w:t>Kalpakjian (2014) afirma que en el maquinado con rayo láser tiene dos parámetros importantes son lo reflejante y la conductividad térmica de la superficie de la pieza de trabajo, así como su calor específico y calores latentes de efusión y evaporación. El mismo autor muestra los diferentes tipos de Láser, como lo muestra la siguiente </w:t>
      </w:r>
      <w:hyperlink w:history="true" w:anchor="_bookmark51">
        <w:r>
          <w:rPr/>
          <w:t>Tabla 2.5</w:t>
        </w:r>
      </w:hyperlink>
      <w:r>
        <w:rPr/>
        <w:t>, que dependerá del material a tratar.</w:t>
      </w:r>
    </w:p>
    <w:p>
      <w:pPr>
        <w:pStyle w:val="BodyText"/>
      </w:pPr>
    </w:p>
    <w:p>
      <w:pPr>
        <w:spacing w:before="138"/>
        <w:ind w:left="2561" w:right="1027" w:hanging="1001"/>
        <w:jc w:val="left"/>
        <w:rPr>
          <w:sz w:val="18"/>
        </w:rPr>
      </w:pPr>
      <w:bookmarkStart w:name="_bookmark51" w:id="84"/>
      <w:bookmarkEnd w:id="84"/>
      <w:r>
        <w:rPr/>
      </w:r>
      <w:r>
        <w:rPr>
          <w:sz w:val="18"/>
        </w:rPr>
        <w:t>Tabla 2.5. Aplicaciones generales de los láseres. Nota: P=pulso, CW= Onda continua, Nd: YAG= Neodimio:itrio-aluminio-granate</w:t>
      </w:r>
    </w:p>
    <w:tbl>
      <w:tblPr>
        <w:tblW w:w="0" w:type="auto"/>
        <w:jc w:val="left"/>
        <w:tblInd w:w="128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837"/>
        <w:gridCol w:w="3629"/>
      </w:tblGrid>
      <w:tr>
        <w:trPr>
          <w:trHeight w:val="320" w:hRule="exact"/>
        </w:trPr>
        <w:tc>
          <w:tcPr>
            <w:tcW w:w="2837" w:type="dxa"/>
          </w:tcPr>
          <w:p>
            <w:pPr>
              <w:pStyle w:val="TableParagraph"/>
              <w:spacing w:line="206" w:lineRule="exact"/>
              <w:ind w:left="173" w:right="169"/>
              <w:jc w:val="center"/>
              <w:rPr>
                <w:sz w:val="18"/>
              </w:rPr>
            </w:pPr>
            <w:r>
              <w:rPr>
                <w:sz w:val="18"/>
              </w:rPr>
              <w:t>Aplicación</w:t>
            </w:r>
          </w:p>
        </w:tc>
        <w:tc>
          <w:tcPr>
            <w:tcW w:w="3629" w:type="dxa"/>
          </w:tcPr>
          <w:p>
            <w:pPr>
              <w:pStyle w:val="TableParagraph"/>
              <w:spacing w:line="206" w:lineRule="exact"/>
              <w:ind w:left="1158" w:right="1158"/>
              <w:jc w:val="center"/>
              <w:rPr>
                <w:sz w:val="18"/>
              </w:rPr>
            </w:pPr>
            <w:r>
              <w:rPr>
                <w:sz w:val="18"/>
              </w:rPr>
              <w:t>Tipo de láser</w:t>
            </w:r>
          </w:p>
        </w:tc>
      </w:tr>
      <w:tr>
        <w:trPr>
          <w:trHeight w:val="940" w:hRule="exact"/>
        </w:trPr>
        <w:tc>
          <w:tcPr>
            <w:tcW w:w="2837" w:type="dxa"/>
          </w:tcPr>
          <w:p>
            <w:pPr>
              <w:pStyle w:val="TableParagraph"/>
              <w:spacing w:line="360" w:lineRule="auto"/>
              <w:ind w:left="1052" w:right="1053" w:hanging="2"/>
              <w:jc w:val="center"/>
              <w:rPr>
                <w:sz w:val="18"/>
              </w:rPr>
            </w:pPr>
            <w:r>
              <w:rPr>
                <w:sz w:val="18"/>
              </w:rPr>
              <w:t>Corte Metáles Plásticos</w:t>
            </w:r>
          </w:p>
        </w:tc>
        <w:tc>
          <w:tcPr>
            <w:tcW w:w="3629" w:type="dxa"/>
          </w:tcPr>
          <w:p>
            <w:pPr>
              <w:pStyle w:val="TableParagraph"/>
              <w:spacing w:before="8"/>
              <w:rPr>
                <w:sz w:val="26"/>
              </w:rPr>
            </w:pPr>
          </w:p>
          <w:p>
            <w:pPr>
              <w:pStyle w:val="TableParagraph"/>
              <w:spacing w:line="362" w:lineRule="auto"/>
              <w:ind w:left="1476" w:right="579" w:hanging="885"/>
              <w:rPr>
                <w:sz w:val="18"/>
              </w:rPr>
            </w:pPr>
            <w:r>
              <w:rPr>
                <w:sz w:val="18"/>
              </w:rPr>
              <w:t>PCO2, CWCO2, Nd:YAG, rubí CWCO2</w:t>
            </w:r>
          </w:p>
        </w:tc>
      </w:tr>
    </w:tbl>
    <w:p>
      <w:pPr>
        <w:spacing w:after="0" w:line="362" w:lineRule="auto"/>
        <w:rPr>
          <w:sz w:val="18"/>
        </w:rPr>
        <w:sectPr>
          <w:pgSz w:w="12240" w:h="15840"/>
          <w:pgMar w:header="0" w:footer="1031" w:top="1360" w:bottom="1220" w:left="1600" w:right="1580"/>
        </w:sectPr>
      </w:pPr>
    </w:p>
    <w:tbl>
      <w:tblPr>
        <w:tblW w:w="0" w:type="auto"/>
        <w:jc w:val="left"/>
        <w:tblInd w:w="128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837"/>
        <w:gridCol w:w="3629"/>
      </w:tblGrid>
      <w:tr>
        <w:trPr>
          <w:trHeight w:val="324" w:hRule="exact"/>
        </w:trPr>
        <w:tc>
          <w:tcPr>
            <w:tcW w:w="2837" w:type="dxa"/>
          </w:tcPr>
          <w:p>
            <w:pPr>
              <w:pStyle w:val="TableParagraph"/>
              <w:spacing w:line="203" w:lineRule="exact"/>
              <w:ind w:left="173" w:right="172"/>
              <w:jc w:val="center"/>
              <w:rPr>
                <w:sz w:val="18"/>
              </w:rPr>
            </w:pPr>
            <w:r>
              <w:rPr>
                <w:sz w:val="18"/>
              </w:rPr>
              <w:t>Cerámicos</w:t>
            </w:r>
          </w:p>
        </w:tc>
        <w:tc>
          <w:tcPr>
            <w:tcW w:w="3629" w:type="dxa"/>
          </w:tcPr>
          <w:p>
            <w:pPr>
              <w:pStyle w:val="TableParagraph"/>
              <w:spacing w:line="203" w:lineRule="exact"/>
              <w:ind w:left="1157" w:right="1158"/>
              <w:jc w:val="center"/>
              <w:rPr>
                <w:sz w:val="18"/>
              </w:rPr>
            </w:pPr>
            <w:r>
              <w:rPr>
                <w:sz w:val="18"/>
              </w:rPr>
              <w:t>PCO2</w:t>
            </w:r>
          </w:p>
        </w:tc>
      </w:tr>
      <w:tr>
        <w:trPr>
          <w:trHeight w:val="940" w:hRule="exact"/>
        </w:trPr>
        <w:tc>
          <w:tcPr>
            <w:tcW w:w="2837" w:type="dxa"/>
          </w:tcPr>
          <w:p>
            <w:pPr>
              <w:pStyle w:val="TableParagraph"/>
              <w:spacing w:line="360" w:lineRule="auto"/>
              <w:ind w:left="1052" w:right="1053" w:firstLine="56"/>
              <w:jc w:val="both"/>
              <w:rPr>
                <w:sz w:val="18"/>
              </w:rPr>
            </w:pPr>
            <w:r>
              <w:rPr>
                <w:sz w:val="18"/>
              </w:rPr>
              <w:t>Taladro Metáles Plásticos</w:t>
            </w:r>
          </w:p>
        </w:tc>
        <w:tc>
          <w:tcPr>
            <w:tcW w:w="3629" w:type="dxa"/>
          </w:tcPr>
          <w:p>
            <w:pPr>
              <w:pStyle w:val="TableParagraph"/>
              <w:spacing w:before="4"/>
              <w:rPr>
                <w:sz w:val="26"/>
              </w:rPr>
            </w:pPr>
          </w:p>
          <w:p>
            <w:pPr>
              <w:pStyle w:val="TableParagraph"/>
              <w:spacing w:line="357" w:lineRule="auto"/>
              <w:ind w:left="1428" w:right="493" w:hanging="921"/>
              <w:rPr>
                <w:sz w:val="18"/>
              </w:rPr>
            </w:pPr>
            <w:r>
              <w:rPr>
                <w:sz w:val="18"/>
              </w:rPr>
              <w:t>PCO2, Nd:YAG, ND: vidrio, rubí, Excímero</w:t>
            </w:r>
          </w:p>
        </w:tc>
      </w:tr>
      <w:tr>
        <w:trPr>
          <w:trHeight w:val="1252" w:hRule="exact"/>
        </w:trPr>
        <w:tc>
          <w:tcPr>
            <w:tcW w:w="2837" w:type="dxa"/>
          </w:tcPr>
          <w:p>
            <w:pPr>
              <w:pStyle w:val="TableParagraph"/>
              <w:spacing w:line="360" w:lineRule="auto"/>
              <w:ind w:left="1052" w:right="643" w:firstLine="12"/>
              <w:rPr>
                <w:sz w:val="18"/>
              </w:rPr>
            </w:pPr>
            <w:r>
              <w:rPr>
                <w:sz w:val="18"/>
              </w:rPr>
              <w:t>Marcado Metáles Plásticos Cerámicos</w:t>
            </w:r>
          </w:p>
        </w:tc>
        <w:tc>
          <w:tcPr>
            <w:tcW w:w="3629" w:type="dxa"/>
          </w:tcPr>
          <w:p>
            <w:pPr>
              <w:pStyle w:val="TableParagraph"/>
              <w:spacing w:before="5"/>
              <w:rPr>
                <w:sz w:val="26"/>
              </w:rPr>
            </w:pPr>
          </w:p>
          <w:p>
            <w:pPr>
              <w:pStyle w:val="TableParagraph"/>
              <w:ind w:left="1158" w:right="1158"/>
              <w:jc w:val="center"/>
              <w:rPr>
                <w:sz w:val="18"/>
              </w:rPr>
            </w:pPr>
            <w:r>
              <w:rPr>
                <w:sz w:val="18"/>
              </w:rPr>
              <w:t>PCO2, Nd:YAG</w:t>
            </w:r>
          </w:p>
          <w:p>
            <w:pPr>
              <w:pStyle w:val="TableParagraph"/>
              <w:spacing w:line="357" w:lineRule="auto" w:before="105"/>
              <w:ind w:left="1159" w:right="1158"/>
              <w:jc w:val="center"/>
              <w:rPr>
                <w:sz w:val="18"/>
              </w:rPr>
            </w:pPr>
            <w:r>
              <w:rPr>
                <w:sz w:val="18"/>
              </w:rPr>
              <w:t>Excímero Excímero</w:t>
            </w:r>
          </w:p>
        </w:tc>
      </w:tr>
      <w:tr>
        <w:trPr>
          <w:trHeight w:val="1873" w:hRule="exact"/>
        </w:trPr>
        <w:tc>
          <w:tcPr>
            <w:tcW w:w="2837" w:type="dxa"/>
          </w:tcPr>
          <w:p>
            <w:pPr>
              <w:pStyle w:val="TableParagraph"/>
              <w:spacing w:line="362" w:lineRule="auto"/>
              <w:ind w:left="1004" w:right="354" w:hanging="653"/>
              <w:rPr>
                <w:sz w:val="18"/>
              </w:rPr>
            </w:pPr>
            <w:r>
              <w:rPr>
                <w:sz w:val="18"/>
              </w:rPr>
              <w:t>Tratamiento de superficies Soldadura Metáles</w:t>
            </w:r>
          </w:p>
          <w:p>
            <w:pPr>
              <w:pStyle w:val="TableParagraph"/>
              <w:rPr>
                <w:sz w:val="18"/>
              </w:rPr>
            </w:pPr>
          </w:p>
          <w:p>
            <w:pPr>
              <w:pStyle w:val="TableParagraph"/>
              <w:spacing w:line="362" w:lineRule="auto" w:before="104"/>
              <w:ind w:left="1036" w:right="1034" w:hanging="3"/>
              <w:jc w:val="center"/>
              <w:rPr>
                <w:sz w:val="18"/>
              </w:rPr>
            </w:pPr>
            <w:r>
              <w:rPr>
                <w:sz w:val="18"/>
              </w:rPr>
              <w:t>Plásticos Litografía</w:t>
            </w:r>
          </w:p>
        </w:tc>
        <w:tc>
          <w:tcPr>
            <w:tcW w:w="3629" w:type="dxa"/>
          </w:tcPr>
          <w:p>
            <w:pPr>
              <w:pStyle w:val="TableParagraph"/>
              <w:spacing w:line="199" w:lineRule="exact"/>
              <w:ind w:left="1476" w:right="579"/>
              <w:rPr>
                <w:sz w:val="18"/>
              </w:rPr>
            </w:pPr>
            <w:r>
              <w:rPr>
                <w:sz w:val="18"/>
              </w:rPr>
              <w:t>CWCO2</w:t>
            </w:r>
          </w:p>
          <w:p>
            <w:pPr>
              <w:pStyle w:val="TableParagraph"/>
              <w:rPr>
                <w:sz w:val="18"/>
              </w:rPr>
            </w:pPr>
          </w:p>
          <w:p>
            <w:pPr>
              <w:pStyle w:val="TableParagraph"/>
              <w:spacing w:before="3"/>
              <w:rPr>
                <w:sz w:val="18"/>
              </w:rPr>
            </w:pPr>
          </w:p>
          <w:p>
            <w:pPr>
              <w:pStyle w:val="TableParagraph"/>
              <w:ind w:left="1161" w:right="1158"/>
              <w:jc w:val="center"/>
              <w:rPr>
                <w:sz w:val="18"/>
              </w:rPr>
            </w:pPr>
            <w:r>
              <w:rPr>
                <w:sz w:val="18"/>
              </w:rPr>
              <w:t>PCO2, CWCO2</w:t>
            </w:r>
          </w:p>
          <w:p>
            <w:pPr>
              <w:pStyle w:val="TableParagraph"/>
              <w:spacing w:line="362" w:lineRule="auto" w:before="101"/>
              <w:ind w:left="512" w:right="516"/>
              <w:jc w:val="center"/>
              <w:rPr>
                <w:sz w:val="18"/>
              </w:rPr>
            </w:pPr>
            <w:r>
              <w:rPr>
                <w:sz w:val="18"/>
              </w:rPr>
              <w:t>Nd:YAG, ND: vidrio, rubí y diodo Diodo, Nd:YAG</w:t>
            </w:r>
          </w:p>
          <w:p>
            <w:pPr>
              <w:pStyle w:val="TableParagraph"/>
              <w:spacing w:before="2"/>
              <w:ind w:left="1158" w:right="1158"/>
              <w:jc w:val="center"/>
              <w:rPr>
                <w:sz w:val="18"/>
              </w:rPr>
            </w:pPr>
            <w:r>
              <w:rPr>
                <w:sz w:val="18"/>
              </w:rPr>
              <w:t>Excímero</w:t>
            </w:r>
          </w:p>
        </w:tc>
      </w:tr>
    </w:tbl>
    <w:p>
      <w:pPr>
        <w:spacing w:line="203" w:lineRule="exact" w:before="0"/>
        <w:ind w:left="3218" w:right="3560" w:firstLine="0"/>
        <w:jc w:val="center"/>
        <w:rPr>
          <w:sz w:val="18"/>
        </w:rPr>
      </w:pPr>
      <w:r>
        <w:rPr>
          <w:sz w:val="18"/>
        </w:rPr>
        <w:t>(Fuente: Kalpakjian, 2014: 785).</w:t>
      </w:r>
    </w:p>
    <w:p>
      <w:pPr>
        <w:pStyle w:val="BodyText"/>
        <w:rPr>
          <w:sz w:val="18"/>
        </w:rPr>
      </w:pPr>
    </w:p>
    <w:p>
      <w:pPr>
        <w:pStyle w:val="BodyText"/>
        <w:spacing w:before="2"/>
        <w:rPr>
          <w:sz w:val="18"/>
        </w:rPr>
      </w:pPr>
    </w:p>
    <w:p>
      <w:pPr>
        <w:pStyle w:val="BodyText"/>
        <w:spacing w:line="360" w:lineRule="auto"/>
        <w:ind w:left="100" w:right="438"/>
        <w:jc w:val="both"/>
      </w:pPr>
      <w:r>
        <w:rPr/>
        <w:t>En la </w:t>
      </w:r>
      <w:hyperlink w:history="true" w:anchor="_bookmark52">
        <w:r>
          <w:rPr/>
          <w:t>Figura 2.18</w:t>
        </w:r>
      </w:hyperlink>
      <w:r>
        <w:rPr/>
        <w:t> Martín (2006) describe los componentes de la máquina. Se tienen dos componentes periféricos, (externos a la estructura base), que son el extractor y el refrigerador, continua el autor diciendo que los demás componentes están dentro de la estructura base y son los siguientes: tolva de aspiración, mesa de corte, armario de control, generador láser y cabezales de corte y marcado. Por último, comentar que el haz láser es conducido desde el generador hasta los cabezales mediante una serie de espejos que conforman el camino óptico.</w:t>
      </w:r>
    </w:p>
    <w:p>
      <w:pPr>
        <w:pStyle w:val="BodyText"/>
        <w:rPr>
          <w:sz w:val="20"/>
        </w:rPr>
      </w:pPr>
    </w:p>
    <w:p>
      <w:pPr>
        <w:pStyle w:val="BodyText"/>
        <w:spacing w:before="9"/>
        <w:rPr>
          <w:sz w:val="12"/>
        </w:rPr>
      </w:pPr>
      <w:r>
        <w:rPr/>
        <w:drawing>
          <wp:anchor distT="0" distB="0" distL="0" distR="0" allowOverlap="1" layoutInCell="1" locked="0" behindDoc="0" simplePos="0" relativeHeight="1288">
            <wp:simplePos x="0" y="0"/>
            <wp:positionH relativeFrom="page">
              <wp:posOffset>1537335</wp:posOffset>
            </wp:positionH>
            <wp:positionV relativeFrom="paragraph">
              <wp:posOffset>118426</wp:posOffset>
            </wp:positionV>
            <wp:extent cx="5337045" cy="1824227"/>
            <wp:effectExtent l="0" t="0" r="0" b="0"/>
            <wp:wrapTopAndBottom/>
            <wp:docPr id="47" name="image24.jpeg" descr=""/>
            <wp:cNvGraphicFramePr>
              <a:graphicFrameLocks noChangeAspect="1"/>
            </wp:cNvGraphicFramePr>
            <a:graphic>
              <a:graphicData uri="http://schemas.openxmlformats.org/drawingml/2006/picture">
                <pic:pic>
                  <pic:nvPicPr>
                    <pic:cNvPr id="48" name="image24.jpeg"/>
                    <pic:cNvPicPr/>
                  </pic:nvPicPr>
                  <pic:blipFill>
                    <a:blip r:embed="rId53" cstate="print"/>
                    <a:stretch>
                      <a:fillRect/>
                    </a:stretch>
                  </pic:blipFill>
                  <pic:spPr>
                    <a:xfrm>
                      <a:off x="0" y="0"/>
                      <a:ext cx="5337045" cy="1824227"/>
                    </a:xfrm>
                    <a:prstGeom prst="rect">
                      <a:avLst/>
                    </a:prstGeom>
                  </pic:spPr>
                </pic:pic>
              </a:graphicData>
            </a:graphic>
          </wp:anchor>
        </w:drawing>
      </w:r>
    </w:p>
    <w:p>
      <w:pPr>
        <w:spacing w:before="120"/>
        <w:ind w:left="1881" w:right="0" w:firstLine="0"/>
        <w:jc w:val="left"/>
        <w:rPr>
          <w:sz w:val="18"/>
        </w:rPr>
      </w:pPr>
      <w:bookmarkStart w:name="_bookmark52" w:id="85"/>
      <w:bookmarkEnd w:id="85"/>
      <w:r>
        <w:rPr/>
      </w:r>
      <w:r>
        <w:rPr>
          <w:sz w:val="18"/>
        </w:rPr>
        <w:t>Figura 2.18. Componentes de la máquina (Fuente: Martín, 2006: 23).</w:t>
      </w:r>
    </w:p>
    <w:p>
      <w:pPr>
        <w:spacing w:after="0"/>
        <w:jc w:val="left"/>
        <w:rPr>
          <w:sz w:val="18"/>
        </w:rPr>
        <w:sectPr>
          <w:pgSz w:w="12240" w:h="15840"/>
          <w:pgMar w:header="0" w:footer="1031" w:top="1420" w:bottom="1220" w:left="1600" w:right="1260"/>
        </w:sectPr>
      </w:pPr>
    </w:p>
    <w:p>
      <w:pPr>
        <w:pStyle w:val="BodyText"/>
        <w:spacing w:before="55"/>
        <w:ind w:left="100"/>
        <w:jc w:val="both"/>
      </w:pPr>
      <w:r>
        <w:rPr/>
        <w:t>Martín (2006) menciona las ventajas de la técnica láser:</w:t>
      </w:r>
    </w:p>
    <w:p>
      <w:pPr>
        <w:pStyle w:val="BodyText"/>
      </w:pPr>
    </w:p>
    <w:p>
      <w:pPr>
        <w:pStyle w:val="BodyText"/>
        <w:spacing w:before="11"/>
        <w:rPr>
          <w:sz w:val="23"/>
        </w:rPr>
      </w:pPr>
    </w:p>
    <w:p>
      <w:pPr>
        <w:pStyle w:val="ListParagraph"/>
        <w:numPr>
          <w:ilvl w:val="0"/>
          <w:numId w:val="22"/>
        </w:numPr>
        <w:tabs>
          <w:tab w:pos="273" w:val="left" w:leader="none"/>
        </w:tabs>
        <w:spacing w:line="362" w:lineRule="auto" w:before="0" w:after="0"/>
        <w:ind w:left="100" w:right="130" w:firstLine="0"/>
        <w:jc w:val="both"/>
        <w:rPr>
          <w:sz w:val="24"/>
        </w:rPr>
      </w:pPr>
      <w:r>
        <w:rPr>
          <w:sz w:val="24"/>
        </w:rPr>
        <w:t>El proceso tiene lugar sin contacto físico con la pieza (no existe desgaste de la herramienta).</w:t>
      </w:r>
    </w:p>
    <w:p>
      <w:pPr>
        <w:pStyle w:val="ListParagraph"/>
        <w:numPr>
          <w:ilvl w:val="0"/>
          <w:numId w:val="22"/>
        </w:numPr>
        <w:tabs>
          <w:tab w:pos="261" w:val="left" w:leader="none"/>
        </w:tabs>
        <w:spacing w:line="362" w:lineRule="auto" w:before="0" w:after="0"/>
        <w:ind w:left="100" w:right="124" w:firstLine="0"/>
        <w:jc w:val="both"/>
        <w:rPr>
          <w:sz w:val="24"/>
        </w:rPr>
      </w:pPr>
      <w:r>
        <w:rPr>
          <w:sz w:val="24"/>
        </w:rPr>
        <w:t>Debido al reducido tamaño del punto de focalización, el surco de corte producido y la zona alterada térmicamente (ZAT) quedan también muy</w:t>
      </w:r>
      <w:r>
        <w:rPr>
          <w:spacing w:val="-36"/>
          <w:sz w:val="24"/>
        </w:rPr>
        <w:t> </w:t>
      </w:r>
      <w:r>
        <w:rPr>
          <w:sz w:val="24"/>
        </w:rPr>
        <w:t>reducidas.</w:t>
      </w:r>
    </w:p>
    <w:p>
      <w:pPr>
        <w:pStyle w:val="ListParagraph"/>
        <w:numPr>
          <w:ilvl w:val="0"/>
          <w:numId w:val="22"/>
        </w:numPr>
        <w:tabs>
          <w:tab w:pos="253" w:val="left" w:leader="none"/>
        </w:tabs>
        <w:spacing w:line="275" w:lineRule="exact" w:before="0" w:after="0"/>
        <w:ind w:left="252" w:right="0" w:hanging="152"/>
        <w:jc w:val="both"/>
        <w:rPr>
          <w:sz w:val="24"/>
        </w:rPr>
      </w:pPr>
      <w:r>
        <w:rPr>
          <w:sz w:val="24"/>
        </w:rPr>
        <w:t>Se obtienen velocidades elevadas de</w:t>
      </w:r>
      <w:r>
        <w:rPr>
          <w:spacing w:val="-30"/>
          <w:sz w:val="24"/>
        </w:rPr>
        <w:t> </w:t>
      </w:r>
      <w:r>
        <w:rPr>
          <w:sz w:val="24"/>
        </w:rPr>
        <w:t>procesado.</w:t>
      </w:r>
    </w:p>
    <w:p>
      <w:pPr>
        <w:pStyle w:val="ListParagraph"/>
        <w:numPr>
          <w:ilvl w:val="0"/>
          <w:numId w:val="22"/>
        </w:numPr>
        <w:tabs>
          <w:tab w:pos="253" w:val="left" w:leader="none"/>
        </w:tabs>
        <w:spacing w:line="240" w:lineRule="auto" w:before="140" w:after="0"/>
        <w:ind w:left="252" w:right="0" w:hanging="152"/>
        <w:jc w:val="both"/>
        <w:rPr>
          <w:sz w:val="24"/>
        </w:rPr>
      </w:pPr>
      <w:r>
        <w:rPr>
          <w:sz w:val="24"/>
        </w:rPr>
        <w:t>Es posible procesar en la pieza perfiles muy complejos y con gran</w:t>
      </w:r>
      <w:r>
        <w:rPr>
          <w:spacing w:val="-41"/>
          <w:sz w:val="24"/>
        </w:rPr>
        <w:t> </w:t>
      </w:r>
      <w:r>
        <w:rPr>
          <w:sz w:val="24"/>
        </w:rPr>
        <w:t>precisión.</w:t>
      </w:r>
    </w:p>
    <w:p>
      <w:pPr>
        <w:pStyle w:val="BodyText"/>
      </w:pPr>
    </w:p>
    <w:p>
      <w:pPr>
        <w:pStyle w:val="BodyText"/>
      </w:pPr>
    </w:p>
    <w:p>
      <w:pPr>
        <w:pStyle w:val="BodyText"/>
        <w:spacing w:line="360" w:lineRule="auto"/>
        <w:ind w:left="100" w:right="122"/>
        <w:jc w:val="both"/>
      </w:pPr>
      <w:r>
        <w:rPr/>
        <w:t>Para Bryden (2014) el corte láser utiliza un rayo láser para corte de precisión de materiales de entre 0,2 y 40 mm de grosor. Los materiales laminados delgados permiten un corte más rápido. El corte se produce cuando el material se derrite, se quema o evapora en contacto con el rayo láser.</w:t>
      </w:r>
    </w:p>
    <w:p>
      <w:pPr>
        <w:pStyle w:val="BodyText"/>
      </w:pPr>
    </w:p>
    <w:p>
      <w:pPr>
        <w:pStyle w:val="BodyText"/>
        <w:spacing w:line="362" w:lineRule="auto" w:before="142"/>
        <w:ind w:left="100" w:right="123"/>
        <w:jc w:val="both"/>
      </w:pPr>
      <w:r>
        <w:rPr/>
        <w:t>Las empresas más importantes que ofrecen este servicio de corte láser y mecanizado CNC según Bryden serían: Big Blue Saw, eMachineshop y Ponoko.</w:t>
      </w:r>
    </w:p>
    <w:p>
      <w:pPr>
        <w:pStyle w:val="BodyText"/>
      </w:pPr>
    </w:p>
    <w:p>
      <w:pPr>
        <w:pStyle w:val="BodyText"/>
        <w:rPr>
          <w:sz w:val="29"/>
        </w:rPr>
      </w:pPr>
    </w:p>
    <w:p>
      <w:pPr>
        <w:pStyle w:val="Heading2"/>
        <w:numPr>
          <w:ilvl w:val="2"/>
          <w:numId w:val="20"/>
        </w:numPr>
        <w:tabs>
          <w:tab w:pos="897" w:val="left" w:leader="none"/>
        </w:tabs>
        <w:spacing w:line="240" w:lineRule="auto" w:before="0" w:after="0"/>
        <w:ind w:left="897" w:right="0" w:hanging="797"/>
        <w:jc w:val="both"/>
      </w:pPr>
      <w:bookmarkStart w:name="2.4.3.  Corte de plasma" w:id="86"/>
      <w:bookmarkEnd w:id="86"/>
      <w:r>
        <w:rPr/>
      </w:r>
      <w:bookmarkStart w:name="_bookmark53" w:id="87"/>
      <w:bookmarkEnd w:id="87"/>
      <w:r>
        <w:rPr/>
        <w:t>C</w:t>
      </w:r>
      <w:r>
        <w:rPr/>
        <w:t>orte de</w:t>
      </w:r>
      <w:r>
        <w:rPr>
          <w:spacing w:val="-4"/>
        </w:rPr>
        <w:t> </w:t>
      </w:r>
      <w:r>
        <w:rPr/>
        <w:t>plasma</w:t>
      </w:r>
    </w:p>
    <w:p>
      <w:pPr>
        <w:pStyle w:val="BodyText"/>
        <w:rPr>
          <w:sz w:val="28"/>
        </w:rPr>
      </w:pPr>
    </w:p>
    <w:p>
      <w:pPr>
        <w:pStyle w:val="BodyText"/>
        <w:spacing w:before="1"/>
        <w:rPr>
          <w:sz w:val="22"/>
        </w:rPr>
      </w:pPr>
    </w:p>
    <w:p>
      <w:pPr>
        <w:pStyle w:val="BodyText"/>
        <w:spacing w:line="360" w:lineRule="auto"/>
        <w:ind w:left="100" w:right="115"/>
        <w:jc w:val="both"/>
      </w:pPr>
      <w:r>
        <w:rPr/>
        <w:t>El Corte con arco de plasma (</w:t>
      </w:r>
      <w:r>
        <w:rPr>
          <w:i/>
        </w:rPr>
        <w:t>Plasma Arc Cutting, </w:t>
      </w:r>
      <w:r>
        <w:rPr/>
        <w:t>PAC), Kalpakjian, S., y </w:t>
      </w:r>
      <w:r>
        <w:rPr>
          <w:spacing w:val="-3"/>
        </w:rPr>
        <w:t>S. </w:t>
      </w:r>
      <w:r>
        <w:rPr/>
        <w:t>Schmid, (2014) dicen que se usan rayos de plasma (gas ionizado) para cortar con rapidez láminas y placas ferrosas y no ferrosas. Las temperaturas generadas son muy elevadas en el soplete del orden de 9400° C cuando se usa oxígeno como gas para el plasma, de manera que las tasas de remoción de material son mucho mayores que las asociadas a los procesos de EDM y LBM. El proceso es rápido,  el ancho de la abertura es pequeño, las partes se maquinan de modo que es fácil reproducirlas y el acabado de la superficie es bueno, se pueden cortar partes tan gruesas como de 150 mm (6 pulg). Actualmente el PAC está muy automatizado, pues usa controladores programables.  Ver </w:t>
      </w:r>
      <w:hyperlink w:history="true" w:anchor="_bookmark54">
        <w:r>
          <w:rPr/>
          <w:t>Figura</w:t>
        </w:r>
        <w:r>
          <w:rPr>
            <w:spacing w:val="-23"/>
          </w:rPr>
          <w:t> </w:t>
        </w:r>
        <w:r>
          <w:rPr/>
          <w:t>2.19</w:t>
        </w:r>
      </w:hyperlink>
    </w:p>
    <w:p>
      <w:pPr>
        <w:spacing w:after="0" w:line="360" w:lineRule="auto"/>
        <w:jc w:val="both"/>
        <w:sectPr>
          <w:pgSz w:w="12240" w:h="15840"/>
          <w:pgMar w:header="0" w:footer="1031" w:top="1360" w:bottom="1220" w:left="1600" w:right="1580"/>
        </w:sectPr>
      </w:pPr>
    </w:p>
    <w:p>
      <w:pPr>
        <w:pStyle w:val="BodyText"/>
        <w:ind w:left="2375"/>
        <w:rPr>
          <w:sz w:val="20"/>
        </w:rPr>
      </w:pPr>
      <w:r>
        <w:rPr>
          <w:sz w:val="20"/>
        </w:rPr>
        <w:drawing>
          <wp:inline distT="0" distB="0" distL="0" distR="0">
            <wp:extent cx="2700342" cy="2576893"/>
            <wp:effectExtent l="0" t="0" r="0" b="0"/>
            <wp:docPr id="49" name="image25.jpeg" descr=""/>
            <wp:cNvGraphicFramePr>
              <a:graphicFrameLocks noChangeAspect="1"/>
            </wp:cNvGraphicFramePr>
            <a:graphic>
              <a:graphicData uri="http://schemas.openxmlformats.org/drawingml/2006/picture">
                <pic:pic>
                  <pic:nvPicPr>
                    <pic:cNvPr id="50" name="image25.jpeg"/>
                    <pic:cNvPicPr/>
                  </pic:nvPicPr>
                  <pic:blipFill>
                    <a:blip r:embed="rId54" cstate="print"/>
                    <a:stretch>
                      <a:fillRect/>
                    </a:stretch>
                  </pic:blipFill>
                  <pic:spPr>
                    <a:xfrm>
                      <a:off x="0" y="0"/>
                      <a:ext cx="2700342" cy="2576893"/>
                    </a:xfrm>
                    <a:prstGeom prst="rect">
                      <a:avLst/>
                    </a:prstGeom>
                  </pic:spPr>
                </pic:pic>
              </a:graphicData>
            </a:graphic>
          </wp:inline>
        </w:drawing>
      </w:r>
      <w:r>
        <w:rPr>
          <w:sz w:val="20"/>
        </w:rPr>
      </w:r>
    </w:p>
    <w:p>
      <w:pPr>
        <w:spacing w:before="121"/>
        <w:ind w:left="1288" w:right="1071" w:hanging="8"/>
        <w:jc w:val="center"/>
        <w:rPr>
          <w:sz w:val="18"/>
        </w:rPr>
      </w:pPr>
      <w:bookmarkStart w:name="_bookmark54" w:id="88"/>
      <w:bookmarkEnd w:id="88"/>
      <w:r>
        <w:rPr/>
      </w:r>
      <w:r>
        <w:rPr>
          <w:sz w:val="18"/>
        </w:rPr>
        <w:t>Figura 2.19. Principio de funcionamiento del corte por plasma (proceso por fusión). (Fuente: </w:t>
      </w:r>
      <w:hyperlink r:id="rId55">
        <w:r>
          <w:rPr>
            <w:sz w:val="18"/>
          </w:rPr>
          <w:t>http://www.interempresas.net/MetalMecanica/Articulos/12110-Tecnologias-</w:t>
        </w:r>
      </w:hyperlink>
      <w:r>
        <w:rPr>
          <w:sz w:val="18"/>
        </w:rPr>
        <w:t> de-corte-de-chapa.html , consultado el 6 de mayo de 2015).</w:t>
      </w:r>
    </w:p>
    <w:p>
      <w:pPr>
        <w:pStyle w:val="BodyText"/>
        <w:rPr>
          <w:sz w:val="18"/>
        </w:rPr>
      </w:pPr>
    </w:p>
    <w:p>
      <w:pPr>
        <w:pStyle w:val="BodyText"/>
        <w:spacing w:before="2"/>
        <w:rPr>
          <w:sz w:val="18"/>
        </w:rPr>
      </w:pPr>
    </w:p>
    <w:p>
      <w:pPr>
        <w:pStyle w:val="BodyText"/>
        <w:spacing w:line="360" w:lineRule="auto"/>
        <w:ind w:left="100" w:right="118"/>
        <w:jc w:val="both"/>
      </w:pPr>
      <w:r>
        <w:rPr>
          <w:color w:val="333333"/>
        </w:rPr>
        <w:t>Ahora bien para Bryden (2014) e</w:t>
      </w:r>
      <w:r>
        <w:rPr/>
        <w:t>s un sistema para cortar metales-usualmente acero o aluminio-, empleando un soplo de gas inerte que pasa a través de una pequeña boquilla enfriada con agua y se aplica a la superficie de la pieza a cortar; A unos 25.000 °C el plasma derrite fácilmente el metal, que después es apartado de la pieza por la presión del gas; Finaliza diciendo que el sistema se usa para cortar metales de entre 2 y 150 mm de grueso, aunque el elevado calor puede distorsionar láminas de metal de menos de 8mm; las velocidades cortas crean mejores acabados.</w:t>
      </w:r>
    </w:p>
    <w:p>
      <w:pPr>
        <w:pStyle w:val="BodyText"/>
      </w:pPr>
    </w:p>
    <w:p>
      <w:pPr>
        <w:pStyle w:val="BodyText"/>
        <w:spacing w:before="3"/>
        <w:rPr>
          <w:sz w:val="29"/>
        </w:rPr>
      </w:pPr>
    </w:p>
    <w:p>
      <w:pPr>
        <w:pStyle w:val="Heading2"/>
        <w:numPr>
          <w:ilvl w:val="1"/>
          <w:numId w:val="23"/>
        </w:numPr>
        <w:tabs>
          <w:tab w:pos="677" w:val="left" w:leader="none"/>
        </w:tabs>
        <w:spacing w:line="240" w:lineRule="auto" w:before="0" w:after="0"/>
        <w:ind w:left="676" w:right="0" w:hanging="576"/>
        <w:jc w:val="both"/>
      </w:pPr>
      <w:bookmarkStart w:name="2.5. Escáner 3D" w:id="89"/>
      <w:bookmarkEnd w:id="89"/>
      <w:r>
        <w:rPr/>
      </w:r>
      <w:bookmarkStart w:name="_bookmark55" w:id="90"/>
      <w:bookmarkEnd w:id="90"/>
      <w:r>
        <w:rPr/>
      </w:r>
      <w:bookmarkStart w:name="_bookmark55" w:id="91"/>
      <w:bookmarkEnd w:id="91"/>
      <w:r>
        <w:rPr/>
        <w:t>Es</w:t>
      </w:r>
      <w:r>
        <w:rPr/>
        <w:t>cáner</w:t>
      </w:r>
      <w:r>
        <w:rPr>
          <w:spacing w:val="-3"/>
        </w:rPr>
        <w:t> </w:t>
      </w:r>
      <w:r>
        <w:rPr/>
        <w:t>3D</w:t>
      </w:r>
    </w:p>
    <w:p>
      <w:pPr>
        <w:pStyle w:val="BodyText"/>
        <w:rPr>
          <w:sz w:val="28"/>
        </w:rPr>
      </w:pPr>
    </w:p>
    <w:p>
      <w:pPr>
        <w:pStyle w:val="BodyText"/>
        <w:spacing w:before="9"/>
        <w:rPr>
          <w:sz w:val="22"/>
        </w:rPr>
      </w:pPr>
    </w:p>
    <w:p>
      <w:pPr>
        <w:pStyle w:val="BodyText"/>
        <w:spacing w:line="360" w:lineRule="auto"/>
        <w:ind w:left="100" w:right="110"/>
        <w:jc w:val="both"/>
      </w:pPr>
      <w:r>
        <w:rPr/>
        <w:t>En el Glosario de Laser Design© (2015) conceptualizan de la siguiente manera:  los Escáneres 3D vienen en muchas formas, pero el propósito de cada uno de ellos es capturar la forma, color, objetos o entornos físicos del mundo real. Estos datos se capturan y almacenan normalmente como una lista de coordenadas </w:t>
      </w:r>
      <w:r>
        <w:rPr>
          <w:i/>
        </w:rPr>
        <w:t>xyz </w:t>
      </w:r>
      <w:r>
        <w:rPr/>
        <w:t>en un archivo de nube de puntos. Escáneres 3D pueden ser categorizados como </w:t>
      </w:r>
      <w:r>
        <w:rPr>
          <w:b/>
        </w:rPr>
        <w:t>contacto  </w:t>
      </w:r>
      <w:r>
        <w:rPr/>
        <w:t>(brazos  CMM)  o  </w:t>
      </w:r>
      <w:r>
        <w:rPr>
          <w:b/>
        </w:rPr>
        <w:t>sin  contacto  </w:t>
      </w:r>
      <w:r>
        <w:rPr/>
        <w:t>(luz  blanca,  escáneres  láser  3D,  </w:t>
      </w:r>
      <w:r>
        <w:rPr>
          <w:spacing w:val="54"/>
        </w:rPr>
        <w:t> </w:t>
      </w:r>
      <w:r>
        <w:rPr/>
        <w:t>o</w:t>
      </w:r>
    </w:p>
    <w:p>
      <w:pPr>
        <w:spacing w:after="0" w:line="360" w:lineRule="auto"/>
        <w:jc w:val="both"/>
        <w:sectPr>
          <w:pgSz w:w="12240" w:h="15840"/>
          <w:pgMar w:header="0" w:footer="1031" w:top="1420" w:bottom="1220" w:left="1600" w:right="1580"/>
        </w:sectPr>
      </w:pPr>
    </w:p>
    <w:p>
      <w:pPr>
        <w:pStyle w:val="BodyText"/>
        <w:spacing w:line="362" w:lineRule="auto" w:before="55"/>
        <w:ind w:left="100" w:right="124"/>
        <w:jc w:val="both"/>
      </w:pPr>
      <w:r>
        <w:rPr/>
        <w:t>estéreo-visión basada). Algunos pueden incluso capturar características internas. "Escáner 3D" a veces mal escrito como "scaner 3D".</w:t>
      </w:r>
    </w:p>
    <w:p>
      <w:pPr>
        <w:pStyle w:val="BodyText"/>
      </w:pPr>
    </w:p>
    <w:p>
      <w:pPr>
        <w:pStyle w:val="BodyText"/>
        <w:spacing w:line="360" w:lineRule="auto" w:before="139"/>
        <w:ind w:left="100" w:right="119"/>
        <w:jc w:val="both"/>
      </w:pPr>
      <w:r>
        <w:rPr/>
        <w:t>Según Arguemi (2015), dice que el escaneado con contacto mide el objeto a  través de un contacto físico con el mediante un cabezal con una punta esférica, la cual recorre toda la superficie del objeto. Este tipo de escaneado es muy preciso, pero a la vez requiere un tiempo elevado ya que el contacto es puntual y necesita una gran nube de puntos para procesar la imagen. El escaneo sin contacto puede ser Activo o Pasivo. Arguemi  lo clasifica</w:t>
      </w:r>
      <w:r>
        <w:rPr>
          <w:spacing w:val="-18"/>
        </w:rPr>
        <w:t> </w:t>
      </w:r>
      <w:r>
        <w:rPr/>
        <w:t>así:</w:t>
      </w:r>
    </w:p>
    <w:p>
      <w:pPr>
        <w:pStyle w:val="BodyText"/>
      </w:pPr>
    </w:p>
    <w:p>
      <w:pPr>
        <w:pStyle w:val="BodyText"/>
        <w:spacing w:line="362" w:lineRule="auto" w:before="142"/>
        <w:ind w:left="100" w:right="121"/>
        <w:jc w:val="both"/>
      </w:pPr>
      <w:r>
        <w:rPr/>
        <w:t>El pasivo: se basa en analizar la radiación reflejada en el ambiente, se pueden encontrar tres tipos de escáner sin contacto pasivo.</w:t>
      </w:r>
    </w:p>
    <w:p>
      <w:pPr>
        <w:pStyle w:val="BodyText"/>
      </w:pPr>
    </w:p>
    <w:p>
      <w:pPr>
        <w:pStyle w:val="ListParagraph"/>
        <w:numPr>
          <w:ilvl w:val="2"/>
          <w:numId w:val="23"/>
        </w:numPr>
        <w:tabs>
          <w:tab w:pos="821" w:val="left" w:leader="none"/>
        </w:tabs>
        <w:spacing w:line="360" w:lineRule="auto" w:before="140" w:after="0"/>
        <w:ind w:left="821" w:right="125" w:hanging="361"/>
        <w:jc w:val="both"/>
        <w:rPr>
          <w:sz w:val="24"/>
        </w:rPr>
      </w:pPr>
      <w:r>
        <w:rPr>
          <w:sz w:val="24"/>
        </w:rPr>
        <w:t>Estereoscópicos: Utiliza dos cámaras separas enfocando al mismo objeto. Comparando las imágenes de una y de otra se pueden determinar la distancia de cada</w:t>
      </w:r>
      <w:r>
        <w:rPr>
          <w:spacing w:val="-16"/>
          <w:sz w:val="24"/>
        </w:rPr>
        <w:t> </w:t>
      </w:r>
      <w:r>
        <w:rPr>
          <w:sz w:val="24"/>
        </w:rPr>
        <w:t>punto.</w:t>
      </w:r>
    </w:p>
    <w:p>
      <w:pPr>
        <w:pStyle w:val="ListParagraph"/>
        <w:numPr>
          <w:ilvl w:val="2"/>
          <w:numId w:val="23"/>
        </w:numPr>
        <w:tabs>
          <w:tab w:pos="821" w:val="left" w:leader="none"/>
        </w:tabs>
        <w:spacing w:line="360" w:lineRule="auto" w:before="2" w:after="0"/>
        <w:ind w:left="821" w:right="118" w:hanging="361"/>
        <w:jc w:val="both"/>
        <w:rPr>
          <w:sz w:val="24"/>
        </w:rPr>
      </w:pPr>
      <w:r>
        <w:rPr>
          <w:sz w:val="24"/>
        </w:rPr>
        <w:t>Silueta: Utiliza bocetos creados a partir de una secuencia de fotografías de un objeto basándose en el casco visual, es decir, separar la imagen  principal del</w:t>
      </w:r>
      <w:r>
        <w:rPr>
          <w:spacing w:val="-15"/>
          <w:sz w:val="24"/>
        </w:rPr>
        <w:t> </w:t>
      </w:r>
      <w:r>
        <w:rPr>
          <w:sz w:val="24"/>
        </w:rPr>
        <w:t>fondo.</w:t>
      </w:r>
    </w:p>
    <w:p>
      <w:pPr>
        <w:pStyle w:val="ListParagraph"/>
        <w:numPr>
          <w:ilvl w:val="2"/>
          <w:numId w:val="23"/>
        </w:numPr>
        <w:tabs>
          <w:tab w:pos="821" w:val="left" w:leader="none"/>
        </w:tabs>
        <w:spacing w:line="357" w:lineRule="auto" w:before="5" w:after="0"/>
        <w:ind w:left="821" w:right="125" w:hanging="361"/>
        <w:jc w:val="both"/>
        <w:rPr>
          <w:sz w:val="24"/>
        </w:rPr>
      </w:pPr>
      <w:r>
        <w:rPr>
          <w:sz w:val="24"/>
        </w:rPr>
        <w:t>Modelado basado en imagen: Utiliza imágenes captadas desde diferentes posiciones para la reconstrucción de modelos geométricos</w:t>
      </w:r>
      <w:r>
        <w:rPr>
          <w:spacing w:val="-24"/>
          <w:sz w:val="24"/>
        </w:rPr>
        <w:t> </w:t>
      </w:r>
      <w:r>
        <w:rPr>
          <w:sz w:val="24"/>
        </w:rPr>
        <w:t>3D.</w:t>
      </w:r>
    </w:p>
    <w:p>
      <w:pPr>
        <w:pStyle w:val="BodyText"/>
      </w:pPr>
    </w:p>
    <w:p>
      <w:pPr>
        <w:pStyle w:val="BodyText"/>
        <w:spacing w:line="362" w:lineRule="auto" w:before="145"/>
        <w:ind w:left="100" w:right="119"/>
        <w:jc w:val="both"/>
      </w:pPr>
      <w:r>
        <w:rPr/>
        <w:t>El activo: emiten una señal como una luz o algún otro tipo de radiación para detectar el reflejo y poder tomar mediciones, como señala el mismo autor:</w:t>
      </w:r>
    </w:p>
    <w:p>
      <w:pPr>
        <w:pStyle w:val="BodyText"/>
      </w:pPr>
    </w:p>
    <w:p>
      <w:pPr>
        <w:pStyle w:val="ListParagraph"/>
        <w:numPr>
          <w:ilvl w:val="0"/>
          <w:numId w:val="24"/>
        </w:numPr>
        <w:tabs>
          <w:tab w:pos="821" w:val="left" w:leader="none"/>
        </w:tabs>
        <w:spacing w:line="350" w:lineRule="auto" w:before="139" w:after="0"/>
        <w:ind w:left="821" w:right="114" w:hanging="361"/>
        <w:jc w:val="both"/>
        <w:rPr>
          <w:sz w:val="24"/>
        </w:rPr>
      </w:pPr>
      <w:r>
        <w:rPr>
          <w:sz w:val="24"/>
        </w:rPr>
        <w:t>Tiempo de vuelo: miden la distancia calculando el tiempo que tarda la luz  en ir y volver. Se utilizan espejos rotativos para dirigir el láser. Una de sus ventajas es que se puede operar a distancias muy lejanas, del orden de kilómetros.</w:t>
      </w:r>
    </w:p>
    <w:p>
      <w:pPr>
        <w:spacing w:after="0" w:line="350" w:lineRule="auto"/>
        <w:jc w:val="both"/>
        <w:rPr>
          <w:sz w:val="24"/>
        </w:rPr>
        <w:sectPr>
          <w:pgSz w:w="12240" w:h="15840"/>
          <w:pgMar w:header="0" w:footer="1031" w:top="1360" w:bottom="1220" w:left="1600" w:right="1580"/>
        </w:sectPr>
      </w:pPr>
    </w:p>
    <w:p>
      <w:pPr>
        <w:pStyle w:val="ListParagraph"/>
        <w:numPr>
          <w:ilvl w:val="0"/>
          <w:numId w:val="24"/>
        </w:numPr>
        <w:tabs>
          <w:tab w:pos="821" w:val="left" w:leader="none"/>
        </w:tabs>
        <w:spacing w:line="345" w:lineRule="auto" w:before="55" w:after="0"/>
        <w:ind w:left="821" w:right="123" w:hanging="361"/>
        <w:jc w:val="both"/>
        <w:rPr>
          <w:sz w:val="24"/>
        </w:rPr>
      </w:pPr>
      <w:r>
        <w:rPr>
          <w:sz w:val="24"/>
        </w:rPr>
        <w:t>Triangulación: el emisor, la cámara y la traza proyectada sobre el objeto forman un triángulo, que aplicando trigonometría se obtiene la posición de cada</w:t>
      </w:r>
      <w:r>
        <w:rPr>
          <w:spacing w:val="-10"/>
          <w:sz w:val="24"/>
        </w:rPr>
        <w:t> </w:t>
      </w:r>
      <w:r>
        <w:rPr>
          <w:sz w:val="24"/>
        </w:rPr>
        <w:t>punto.</w:t>
      </w:r>
    </w:p>
    <w:p>
      <w:pPr>
        <w:pStyle w:val="ListParagraph"/>
        <w:numPr>
          <w:ilvl w:val="0"/>
          <w:numId w:val="24"/>
        </w:numPr>
        <w:tabs>
          <w:tab w:pos="821" w:val="left" w:leader="none"/>
        </w:tabs>
        <w:spacing w:line="333" w:lineRule="auto" w:before="22" w:after="0"/>
        <w:ind w:left="821" w:right="117" w:hanging="361"/>
        <w:jc w:val="both"/>
        <w:rPr>
          <w:sz w:val="24"/>
        </w:rPr>
      </w:pPr>
      <w:r>
        <w:rPr>
          <w:sz w:val="24"/>
        </w:rPr>
        <w:t>Diferencia de fase: determinar la distancia la que se encuentra el objeto mediante la comparación de fases entre la luz emitida y la</w:t>
      </w:r>
      <w:r>
        <w:rPr>
          <w:spacing w:val="-40"/>
          <w:sz w:val="24"/>
        </w:rPr>
        <w:t> </w:t>
      </w:r>
      <w:r>
        <w:rPr>
          <w:sz w:val="24"/>
        </w:rPr>
        <w:t>recibida.</w:t>
      </w:r>
    </w:p>
    <w:p>
      <w:pPr>
        <w:pStyle w:val="BodyText"/>
      </w:pPr>
    </w:p>
    <w:p>
      <w:pPr>
        <w:pStyle w:val="BodyText"/>
        <w:spacing w:before="171"/>
        <w:ind w:left="100"/>
        <w:jc w:val="both"/>
      </w:pPr>
      <w:r>
        <w:rPr/>
        <w:t>En la siguiente </w:t>
      </w:r>
      <w:hyperlink w:history="true" w:anchor="_bookmark56">
        <w:r>
          <w:rPr/>
          <w:t>Figura 2.20</w:t>
        </w:r>
      </w:hyperlink>
      <w:r>
        <w:rPr/>
        <w:t> el diagrama muestra cómo trabaja el escaneo láser.</w:t>
      </w:r>
    </w:p>
    <w:p>
      <w:pPr>
        <w:pStyle w:val="BodyText"/>
        <w:rPr>
          <w:sz w:val="20"/>
        </w:rPr>
      </w:pPr>
    </w:p>
    <w:p>
      <w:pPr>
        <w:pStyle w:val="BodyText"/>
        <w:spacing w:before="9"/>
      </w:pPr>
      <w:r>
        <w:rPr/>
        <w:drawing>
          <wp:anchor distT="0" distB="0" distL="0" distR="0" allowOverlap="1" layoutInCell="1" locked="0" behindDoc="0" simplePos="0" relativeHeight="1312">
            <wp:simplePos x="0" y="0"/>
            <wp:positionH relativeFrom="page">
              <wp:posOffset>2578100</wp:posOffset>
            </wp:positionH>
            <wp:positionV relativeFrom="paragraph">
              <wp:posOffset>205714</wp:posOffset>
            </wp:positionV>
            <wp:extent cx="2636341" cy="2476880"/>
            <wp:effectExtent l="0" t="0" r="0" b="0"/>
            <wp:wrapTopAndBottom/>
            <wp:docPr id="51" name="image26.png" descr=""/>
            <wp:cNvGraphicFramePr>
              <a:graphicFrameLocks noChangeAspect="1"/>
            </wp:cNvGraphicFramePr>
            <a:graphic>
              <a:graphicData uri="http://schemas.openxmlformats.org/drawingml/2006/picture">
                <pic:pic>
                  <pic:nvPicPr>
                    <pic:cNvPr id="52" name="image26.png"/>
                    <pic:cNvPicPr/>
                  </pic:nvPicPr>
                  <pic:blipFill>
                    <a:blip r:embed="rId56" cstate="print"/>
                    <a:stretch>
                      <a:fillRect/>
                    </a:stretch>
                  </pic:blipFill>
                  <pic:spPr>
                    <a:xfrm>
                      <a:off x="0" y="0"/>
                      <a:ext cx="2636341" cy="2476880"/>
                    </a:xfrm>
                    <a:prstGeom prst="rect">
                      <a:avLst/>
                    </a:prstGeom>
                  </pic:spPr>
                </pic:pic>
              </a:graphicData>
            </a:graphic>
          </wp:anchor>
        </w:drawing>
      </w:r>
    </w:p>
    <w:p>
      <w:pPr>
        <w:spacing w:before="41"/>
        <w:ind w:left="1728" w:right="235" w:firstLine="0"/>
        <w:jc w:val="left"/>
        <w:rPr>
          <w:sz w:val="18"/>
        </w:rPr>
      </w:pPr>
      <w:bookmarkStart w:name="_bookmark56" w:id="92"/>
      <w:bookmarkEnd w:id="92"/>
      <w:r>
        <w:rPr/>
      </w:r>
      <w:r>
        <w:rPr>
          <w:sz w:val="18"/>
        </w:rPr>
        <w:t>Figura 2.20. Mecanismo de escaneo láser. (Fuente: Noorani, 2006: 205).</w:t>
      </w:r>
    </w:p>
    <w:p>
      <w:pPr>
        <w:pStyle w:val="BodyText"/>
        <w:rPr>
          <w:sz w:val="18"/>
        </w:rPr>
      </w:pPr>
    </w:p>
    <w:p>
      <w:pPr>
        <w:pStyle w:val="BodyText"/>
        <w:spacing w:before="3"/>
        <w:rPr>
          <w:sz w:val="18"/>
        </w:rPr>
      </w:pPr>
    </w:p>
    <w:p>
      <w:pPr>
        <w:pStyle w:val="BodyText"/>
        <w:spacing w:line="360" w:lineRule="auto"/>
        <w:ind w:left="100" w:right="119"/>
        <w:jc w:val="both"/>
      </w:pPr>
      <w:r>
        <w:rPr/>
        <w:t>Laser Design© (2015), dice que el escaneado 3D es el proceso rápido y preciso  de la utilización de un escáner 3D para capturar y convertir los objetos físicos en datos digitales 3D. Escaneo Láser 3D es una tecnología sin contacto, no destructivo que captura digitalmente la forma de los objetos físicos utilizando una línea de luz láser. Escáneres láser 3D crear "nubes de puntos" de los datos de la superficie de un objeto. En otras palabras, el escaneo láser 3D es una manera de capturar tamaño exacto de un objeto físico y la forma en el mundo de la informática como una representación digital</w:t>
      </w:r>
      <w:r>
        <w:rPr>
          <w:spacing w:val="-31"/>
        </w:rPr>
        <w:t> </w:t>
      </w:r>
      <w:r>
        <w:rPr/>
        <w:t>3-dimensional.</w:t>
      </w:r>
    </w:p>
    <w:p>
      <w:pPr>
        <w:pStyle w:val="BodyText"/>
      </w:pPr>
    </w:p>
    <w:p>
      <w:pPr>
        <w:pStyle w:val="BodyText"/>
        <w:spacing w:line="360" w:lineRule="auto" w:before="142"/>
        <w:ind w:left="100" w:right="118"/>
        <w:jc w:val="both"/>
      </w:pPr>
      <w:r>
        <w:rPr/>
        <w:t>Laser Design© detalla que estos miden los detalles finos y capturar formas libres para generar rápidamente las nubes de puntos de alta precisión. Es ideal para la medición  e inspección  de superficies  contorneadas  y geometrías complejas que</w:t>
      </w:r>
    </w:p>
    <w:p>
      <w:pPr>
        <w:spacing w:after="0" w:line="360" w:lineRule="auto"/>
        <w:jc w:val="both"/>
        <w:sectPr>
          <w:pgSz w:w="12240" w:h="15840"/>
          <w:pgMar w:header="0" w:footer="1031" w:top="1360" w:bottom="1220" w:left="1600" w:right="1580"/>
        </w:sectPr>
      </w:pPr>
    </w:p>
    <w:p>
      <w:pPr>
        <w:pStyle w:val="BodyText"/>
        <w:spacing w:line="360" w:lineRule="auto" w:before="55"/>
        <w:ind w:left="100" w:right="122"/>
        <w:jc w:val="both"/>
      </w:pPr>
      <w:r>
        <w:rPr/>
        <w:t>requieren grandes cantidades de datos para su descripción exacta y donde  hacerlo es poco práctica con el uso de métodos de medición tradicionales o un palpador.</w:t>
      </w:r>
    </w:p>
    <w:p>
      <w:pPr>
        <w:pStyle w:val="BodyText"/>
      </w:pPr>
    </w:p>
    <w:p>
      <w:pPr>
        <w:pStyle w:val="BodyText"/>
        <w:spacing w:before="142"/>
        <w:ind w:left="100"/>
        <w:jc w:val="both"/>
      </w:pPr>
      <w:r>
        <w:rPr/>
        <w:t>Según Laser Design© (2015) describe el siguiente proceso de escaneado 3D:</w:t>
      </w:r>
    </w:p>
    <w:p>
      <w:pPr>
        <w:pStyle w:val="BodyText"/>
      </w:pPr>
    </w:p>
    <w:p>
      <w:pPr>
        <w:pStyle w:val="BodyText"/>
      </w:pPr>
    </w:p>
    <w:p>
      <w:pPr>
        <w:pStyle w:val="ListParagraph"/>
        <w:numPr>
          <w:ilvl w:val="0"/>
          <w:numId w:val="25"/>
        </w:numPr>
        <w:tabs>
          <w:tab w:pos="821" w:val="left" w:leader="none"/>
        </w:tabs>
        <w:spacing w:line="240" w:lineRule="auto" w:before="0" w:after="0"/>
        <w:ind w:left="821" w:right="0" w:hanging="361"/>
        <w:jc w:val="left"/>
        <w:rPr>
          <w:sz w:val="24"/>
        </w:rPr>
      </w:pPr>
      <w:r>
        <w:rPr>
          <w:sz w:val="24"/>
        </w:rPr>
        <w:t>Adquisición de datos mediante escaneo láser</w:t>
      </w:r>
      <w:r>
        <w:rPr>
          <w:spacing w:val="-21"/>
          <w:sz w:val="24"/>
        </w:rPr>
        <w:t> </w:t>
      </w:r>
      <w:r>
        <w:rPr>
          <w:sz w:val="24"/>
        </w:rPr>
        <w:t>3D</w:t>
      </w:r>
    </w:p>
    <w:p>
      <w:pPr>
        <w:pStyle w:val="BodyText"/>
        <w:spacing w:line="360" w:lineRule="auto" w:before="140"/>
        <w:ind w:left="100" w:right="118"/>
        <w:jc w:val="both"/>
      </w:pPr>
      <w:r>
        <w:rPr/>
        <w:t>Proceso de escaneo Láser 3D, un objeto que se va a escanear con láser se coloca sobre la cama del digitalizador. El software especializado acciona una punta de prueba del sobre la superficie del objeto. El láser proyecta una línea de luz láser sobre la superficie mientras que 2 cámaras registran continuamente el cambio de distancia y forma de la línea láser en tres dimensiones (XYZ), a medida que barre el objeto.</w:t>
      </w:r>
    </w:p>
    <w:p>
      <w:pPr>
        <w:pStyle w:val="BodyText"/>
      </w:pPr>
    </w:p>
    <w:p>
      <w:pPr>
        <w:pStyle w:val="ListParagraph"/>
        <w:numPr>
          <w:ilvl w:val="0"/>
          <w:numId w:val="25"/>
        </w:numPr>
        <w:tabs>
          <w:tab w:pos="821" w:val="left" w:leader="none"/>
        </w:tabs>
        <w:spacing w:line="240" w:lineRule="auto" w:before="142" w:after="0"/>
        <w:ind w:left="821" w:right="0" w:hanging="361"/>
        <w:jc w:val="left"/>
        <w:rPr>
          <w:sz w:val="24"/>
        </w:rPr>
      </w:pPr>
      <w:r>
        <w:rPr>
          <w:sz w:val="24"/>
        </w:rPr>
        <w:t>Los datos</w:t>
      </w:r>
      <w:r>
        <w:rPr>
          <w:spacing w:val="-18"/>
          <w:sz w:val="24"/>
        </w:rPr>
        <w:t> </w:t>
      </w:r>
      <w:r>
        <w:rPr>
          <w:sz w:val="24"/>
        </w:rPr>
        <w:t>resultantes</w:t>
      </w:r>
    </w:p>
    <w:p>
      <w:pPr>
        <w:pStyle w:val="BodyText"/>
        <w:spacing w:line="360" w:lineRule="auto" w:before="140"/>
        <w:ind w:left="100" w:right="117"/>
        <w:jc w:val="both"/>
      </w:pPr>
      <w:r>
        <w:rPr/>
        <w:t>La forma del objeto aparece como millones de puntos llamados una "nube de puntos" en el monitor de la computadora como los láser se mueve alrededor capturando por completo la forma de la superficie del objeto. El proceso es muy rápido, reuniendo hasta 750.000 puntos por segundo y muy preciso (a ± 0,0005 ").</w:t>
      </w:r>
    </w:p>
    <w:p>
      <w:pPr>
        <w:pStyle w:val="BodyText"/>
      </w:pPr>
    </w:p>
    <w:p>
      <w:pPr>
        <w:pStyle w:val="ListParagraph"/>
        <w:numPr>
          <w:ilvl w:val="0"/>
          <w:numId w:val="25"/>
        </w:numPr>
        <w:tabs>
          <w:tab w:pos="821" w:val="left" w:leader="none"/>
        </w:tabs>
        <w:spacing w:line="240" w:lineRule="auto" w:before="141" w:after="0"/>
        <w:ind w:left="821" w:right="0" w:hanging="361"/>
        <w:jc w:val="left"/>
        <w:rPr>
          <w:sz w:val="24"/>
        </w:rPr>
      </w:pPr>
      <w:r>
        <w:rPr>
          <w:sz w:val="24"/>
        </w:rPr>
        <w:t>La elección del modelo depende de la</w:t>
      </w:r>
      <w:r>
        <w:rPr>
          <w:spacing w:val="-22"/>
          <w:sz w:val="24"/>
        </w:rPr>
        <w:t> </w:t>
      </w:r>
      <w:r>
        <w:rPr>
          <w:sz w:val="24"/>
        </w:rPr>
        <w:t>aplicación</w:t>
      </w:r>
    </w:p>
    <w:p>
      <w:pPr>
        <w:pStyle w:val="BodyText"/>
        <w:spacing w:line="360" w:lineRule="auto" w:before="140"/>
        <w:ind w:left="100" w:right="116"/>
        <w:jc w:val="both"/>
      </w:pPr>
      <w:r>
        <w:rPr/>
        <w:t>Después de crear los archivos de datos de nubes de puntos, se registran y se combinan en una representación tridimensional del objeto y se procesas posteriormente con varios paquetes de software adecuados para una aplicación específica.</w:t>
      </w:r>
    </w:p>
    <w:p>
      <w:pPr>
        <w:pStyle w:val="BodyText"/>
      </w:pPr>
    </w:p>
    <w:p>
      <w:pPr>
        <w:pStyle w:val="ListParagraph"/>
        <w:numPr>
          <w:ilvl w:val="0"/>
          <w:numId w:val="25"/>
        </w:numPr>
        <w:tabs>
          <w:tab w:pos="821" w:val="left" w:leader="none"/>
        </w:tabs>
        <w:spacing w:line="240" w:lineRule="auto" w:before="142" w:after="0"/>
        <w:ind w:left="821" w:right="0" w:hanging="361"/>
        <w:jc w:val="left"/>
        <w:rPr>
          <w:sz w:val="24"/>
        </w:rPr>
      </w:pPr>
      <w:r>
        <w:rPr>
          <w:sz w:val="24"/>
        </w:rPr>
        <w:t>Datos de la nube de punto para la</w:t>
      </w:r>
      <w:r>
        <w:rPr>
          <w:spacing w:val="-27"/>
          <w:sz w:val="24"/>
        </w:rPr>
        <w:t> </w:t>
      </w:r>
      <w:r>
        <w:rPr>
          <w:sz w:val="24"/>
        </w:rPr>
        <w:t>inspección</w:t>
      </w:r>
    </w:p>
    <w:p>
      <w:pPr>
        <w:pStyle w:val="BodyText"/>
        <w:spacing w:line="360" w:lineRule="auto" w:before="140"/>
        <w:ind w:left="100" w:right="117"/>
        <w:jc w:val="both"/>
      </w:pPr>
      <w:r>
        <w:rPr/>
        <w:t>Si los datos se van a utilizar para la inspección, el objeto escaneado se puede comparar con los datos nominales CAD del diseñador. El resultado de proceso de comparación se entrega en forma de un "informe de desviación de mapa de color",</w:t>
      </w:r>
    </w:p>
    <w:p>
      <w:pPr>
        <w:spacing w:after="0" w:line="360" w:lineRule="auto"/>
        <w:jc w:val="both"/>
        <w:sectPr>
          <w:pgSz w:w="12240" w:h="15840"/>
          <w:pgMar w:header="0" w:footer="1031" w:top="1360" w:bottom="1220" w:left="1600" w:right="1580"/>
        </w:sectPr>
      </w:pPr>
    </w:p>
    <w:p>
      <w:pPr>
        <w:pStyle w:val="BodyText"/>
        <w:spacing w:line="362" w:lineRule="auto" w:before="55"/>
        <w:ind w:left="100" w:right="105"/>
        <w:jc w:val="both"/>
      </w:pPr>
      <w:r>
        <w:rPr/>
        <w:t>en formato PDF, que describe gráficamente las diferencias entre los datos de exploración y los datos CAD.</w:t>
      </w:r>
    </w:p>
    <w:p>
      <w:pPr>
        <w:pStyle w:val="BodyText"/>
      </w:pPr>
    </w:p>
    <w:p>
      <w:pPr>
        <w:pStyle w:val="ListParagraph"/>
        <w:numPr>
          <w:ilvl w:val="0"/>
          <w:numId w:val="25"/>
        </w:numPr>
        <w:tabs>
          <w:tab w:pos="821" w:val="left" w:leader="none"/>
        </w:tabs>
        <w:spacing w:line="240" w:lineRule="auto" w:before="139" w:after="0"/>
        <w:ind w:left="821" w:right="0" w:hanging="361"/>
        <w:jc w:val="left"/>
        <w:rPr>
          <w:sz w:val="24"/>
        </w:rPr>
      </w:pPr>
      <w:r>
        <w:rPr>
          <w:sz w:val="24"/>
        </w:rPr>
        <w:t>Modelo CAD para la ingeniería</w:t>
      </w:r>
      <w:r>
        <w:rPr>
          <w:spacing w:val="-18"/>
          <w:sz w:val="24"/>
        </w:rPr>
        <w:t> </w:t>
      </w:r>
      <w:r>
        <w:rPr>
          <w:sz w:val="24"/>
        </w:rPr>
        <w:t>inversa</w:t>
      </w:r>
    </w:p>
    <w:p>
      <w:pPr>
        <w:pStyle w:val="BodyText"/>
        <w:spacing w:line="360" w:lineRule="auto" w:before="136"/>
        <w:ind w:left="100" w:right="98"/>
        <w:jc w:val="both"/>
      </w:pPr>
      <w:r>
        <w:rPr/>
        <w:t>La exploración por láser es la manera más rápida, precisa, y automatizada de adquirir datos digitales en 3D para ingeniería inversa. Nuevamente, con el uso de software especializado, los datos de la nube de puntos se utilizan para crear un modelo 3D CAD de la geometría de la pieza. El modelo CAD permite la reproducción precisa del objeto escaneado, o el objeto se puede modificar en el modelo CAD para corregir las imperfecciones. El diseño con láser puede proporcionar un modelo de superficie o el modelo sólido más complejo, los resultados que sean necesarios para la aplicación.</w:t>
      </w:r>
    </w:p>
    <w:p>
      <w:pPr>
        <w:pStyle w:val="BodyText"/>
      </w:pPr>
    </w:p>
    <w:p>
      <w:pPr>
        <w:pStyle w:val="BodyText"/>
        <w:spacing w:line="357" w:lineRule="auto" w:before="142"/>
        <w:ind w:left="100" w:right="107"/>
        <w:jc w:val="both"/>
      </w:pPr>
      <w:r>
        <w:rPr/>
        <w:t>Por otro lado podemos encontrar un ejemplo del proceso de escaneo en la siguiente   </w:t>
      </w:r>
      <w:hyperlink w:history="true" w:anchor="_bookmark57">
        <w:r>
          <w:rPr/>
          <w:t>Figura 2.21</w:t>
        </w:r>
      </w:hyperlink>
    </w:p>
    <w:p>
      <w:pPr>
        <w:pStyle w:val="BodyText"/>
        <w:rPr>
          <w:sz w:val="20"/>
        </w:rPr>
      </w:pPr>
    </w:p>
    <w:p>
      <w:pPr>
        <w:pStyle w:val="BodyText"/>
        <w:spacing w:before="2"/>
        <w:rPr>
          <w:sz w:val="13"/>
        </w:rPr>
      </w:pPr>
      <w:r>
        <w:rPr/>
        <w:drawing>
          <wp:anchor distT="0" distB="0" distL="0" distR="0" allowOverlap="1" layoutInCell="1" locked="0" behindDoc="0" simplePos="0" relativeHeight="1336">
            <wp:simplePos x="0" y="0"/>
            <wp:positionH relativeFrom="page">
              <wp:posOffset>2426970</wp:posOffset>
            </wp:positionH>
            <wp:positionV relativeFrom="paragraph">
              <wp:posOffset>121398</wp:posOffset>
            </wp:positionV>
            <wp:extent cx="2931539" cy="1710213"/>
            <wp:effectExtent l="0" t="0" r="0" b="0"/>
            <wp:wrapTopAndBottom/>
            <wp:docPr id="53" name="image27.jpeg" descr=""/>
            <wp:cNvGraphicFramePr>
              <a:graphicFrameLocks noChangeAspect="1"/>
            </wp:cNvGraphicFramePr>
            <a:graphic>
              <a:graphicData uri="http://schemas.openxmlformats.org/drawingml/2006/picture">
                <pic:pic>
                  <pic:nvPicPr>
                    <pic:cNvPr id="54" name="image27.jpeg"/>
                    <pic:cNvPicPr/>
                  </pic:nvPicPr>
                  <pic:blipFill>
                    <a:blip r:embed="rId57" cstate="print"/>
                    <a:stretch>
                      <a:fillRect/>
                    </a:stretch>
                  </pic:blipFill>
                  <pic:spPr>
                    <a:xfrm>
                      <a:off x="0" y="0"/>
                      <a:ext cx="2931539" cy="1710213"/>
                    </a:xfrm>
                    <a:prstGeom prst="rect">
                      <a:avLst/>
                    </a:prstGeom>
                  </pic:spPr>
                </pic:pic>
              </a:graphicData>
            </a:graphic>
          </wp:anchor>
        </w:drawing>
      </w:r>
    </w:p>
    <w:p>
      <w:pPr>
        <w:spacing w:line="240" w:lineRule="auto" w:before="58"/>
        <w:ind w:left="1348" w:right="1119" w:firstLine="8"/>
        <w:jc w:val="center"/>
        <w:rPr>
          <w:sz w:val="18"/>
        </w:rPr>
      </w:pPr>
      <w:bookmarkStart w:name="_bookmark57" w:id="93"/>
      <w:bookmarkEnd w:id="93"/>
      <w:r>
        <w:rPr/>
      </w:r>
      <w:r>
        <w:rPr>
          <w:sz w:val="18"/>
        </w:rPr>
        <w:t>Figura 2.21. Imagen del rango de al variar la superficie. a) Imagen Rango (sub- muestreada). b) Después de crear triángulos. c) la prestación de sombra. d) superficie del campo de alta resolución. (Fuente: </w:t>
      </w:r>
      <w:hyperlink r:id="rId58">
        <w:r>
          <w:rPr>
            <w:sz w:val="18"/>
          </w:rPr>
          <w:t>http://www.siggraph.org/publications/newsletter/v33n4/,</w:t>
        </w:r>
      </w:hyperlink>
      <w:r>
        <w:rPr>
          <w:sz w:val="18"/>
        </w:rPr>
        <w:t> consultado el 15 de marzo de 2015).</w:t>
      </w:r>
    </w:p>
    <w:p>
      <w:pPr>
        <w:pStyle w:val="BodyText"/>
        <w:rPr>
          <w:sz w:val="18"/>
        </w:rPr>
      </w:pPr>
    </w:p>
    <w:p>
      <w:pPr>
        <w:pStyle w:val="BodyText"/>
        <w:rPr>
          <w:sz w:val="18"/>
        </w:rPr>
      </w:pPr>
    </w:p>
    <w:p>
      <w:pPr>
        <w:pStyle w:val="BodyText"/>
        <w:spacing w:before="5"/>
        <w:rPr>
          <w:sz w:val="17"/>
        </w:rPr>
      </w:pPr>
    </w:p>
    <w:p>
      <w:pPr>
        <w:pStyle w:val="Heading2"/>
        <w:numPr>
          <w:ilvl w:val="1"/>
          <w:numId w:val="23"/>
        </w:numPr>
        <w:tabs>
          <w:tab w:pos="677" w:val="left" w:leader="none"/>
        </w:tabs>
        <w:spacing w:line="240" w:lineRule="auto" w:before="0" w:after="0"/>
        <w:ind w:left="676" w:right="0" w:hanging="576"/>
        <w:jc w:val="both"/>
      </w:pPr>
      <w:bookmarkStart w:name="2.6. Impresión 3D" w:id="94"/>
      <w:bookmarkEnd w:id="94"/>
      <w:r>
        <w:rPr/>
      </w:r>
      <w:bookmarkStart w:name="_bookmark58" w:id="95"/>
      <w:bookmarkEnd w:id="95"/>
      <w:r>
        <w:rPr/>
      </w:r>
      <w:bookmarkStart w:name="_bookmark58" w:id="96"/>
      <w:bookmarkEnd w:id="96"/>
      <w:r>
        <w:rPr/>
        <w:t>I</w:t>
      </w:r>
      <w:r>
        <w:rPr/>
        <w:t>mpresión</w:t>
      </w:r>
      <w:r>
        <w:rPr>
          <w:spacing w:val="-2"/>
        </w:rPr>
        <w:t> </w:t>
      </w:r>
      <w:r>
        <w:rPr/>
        <w:t>3D</w:t>
      </w:r>
    </w:p>
    <w:p>
      <w:pPr>
        <w:pStyle w:val="BodyText"/>
        <w:rPr>
          <w:sz w:val="28"/>
        </w:rPr>
      </w:pPr>
    </w:p>
    <w:p>
      <w:pPr>
        <w:pStyle w:val="BodyText"/>
        <w:spacing w:before="5"/>
        <w:rPr>
          <w:sz w:val="22"/>
        </w:rPr>
      </w:pPr>
    </w:p>
    <w:p>
      <w:pPr>
        <w:pStyle w:val="BodyText"/>
        <w:spacing w:line="357" w:lineRule="auto"/>
        <w:ind w:left="100" w:right="104"/>
        <w:jc w:val="both"/>
      </w:pPr>
      <w:r>
        <w:rPr/>
        <w:t>De toda la tecnología de FA, mencionada en la Tabla 2.3., nos interesa enunciar  la impresión 3D que es por extrusión,  FDM en material</w:t>
      </w:r>
      <w:r>
        <w:rPr>
          <w:spacing w:val="-30"/>
        </w:rPr>
        <w:t> </w:t>
      </w:r>
      <w:r>
        <w:rPr/>
        <w:t>termoplástico.</w:t>
      </w:r>
    </w:p>
    <w:p>
      <w:pPr>
        <w:spacing w:after="0" w:line="357" w:lineRule="auto"/>
        <w:jc w:val="both"/>
        <w:sectPr>
          <w:pgSz w:w="12240" w:h="15840"/>
          <w:pgMar w:header="0" w:footer="1031" w:top="1360" w:bottom="1220" w:left="1600" w:right="1600"/>
        </w:sectPr>
      </w:pPr>
    </w:p>
    <w:p>
      <w:pPr>
        <w:pStyle w:val="BodyText"/>
        <w:spacing w:line="360" w:lineRule="auto" w:before="55"/>
        <w:ind w:left="100" w:right="121"/>
        <w:jc w:val="both"/>
      </w:pPr>
      <w:r>
        <w:rPr/>
        <w:t>La manufactura aditiva es llamada la tercera revolución industrial; las ventajas de impresión 3D son libertad de diseño, rápidos ciclos de desarrollo de producto, bajos costos de producción, producción local y manufactura bajo demanda, afirma Wijk (2015).</w:t>
      </w:r>
    </w:p>
    <w:p>
      <w:pPr>
        <w:pStyle w:val="BodyText"/>
      </w:pPr>
    </w:p>
    <w:p>
      <w:pPr>
        <w:pStyle w:val="BodyText"/>
        <w:spacing w:line="360" w:lineRule="auto" w:before="142"/>
        <w:ind w:left="100" w:right="122"/>
        <w:jc w:val="both"/>
      </w:pPr>
      <w:r>
        <w:rPr/>
        <w:t>La impresión en 3D o de FA es un proceso de hacer objetos tridimensionales sólidos a partir de un archivo digital. En un proceso aditivo un objeto es creado por el que se establecen las sucesivas capas de material hasta que se crea el objeto entero. Cada una de estas capas puede ser visible en rodajas finas horizontales del objeto final.</w:t>
      </w:r>
    </w:p>
    <w:p>
      <w:pPr>
        <w:pStyle w:val="BodyText"/>
      </w:pPr>
    </w:p>
    <w:p>
      <w:pPr>
        <w:pStyle w:val="BodyText"/>
        <w:spacing w:line="360" w:lineRule="auto" w:before="142"/>
        <w:ind w:left="100" w:right="114"/>
        <w:jc w:val="both"/>
      </w:pPr>
      <w:r>
        <w:rPr/>
        <w:t>Es grande la variedad de impresoras 3D que existen en el mercado local e internacional; en apartados anteriores vimos en qué consiste la tecnología de RP; en este apartado consideramos limitar mencionar la tecnología de FDM y propiamente de la impresión tridimensional.</w:t>
      </w:r>
    </w:p>
    <w:p>
      <w:pPr>
        <w:pStyle w:val="BodyText"/>
      </w:pPr>
    </w:p>
    <w:p>
      <w:pPr>
        <w:pStyle w:val="BodyText"/>
        <w:spacing w:line="360" w:lineRule="auto" w:before="142"/>
        <w:ind w:left="100" w:right="119"/>
        <w:jc w:val="both"/>
      </w:pPr>
      <w:r>
        <w:rPr/>
        <w:t>Moilanen y Vadén (2012) muestran una encuesta realizada a desarrolladores de impresión 3D, donde se mostraron las preferencias de impresoras y cartucho de impresión, como muestra la </w:t>
      </w:r>
      <w:hyperlink w:history="true" w:anchor="_bookmark59">
        <w:r>
          <w:rPr/>
          <w:t>Figura 2.22</w:t>
        </w:r>
      </w:hyperlink>
      <w:r>
        <w:rPr/>
        <w:t> los resultaron mostraron que las más utilizadas: Rep Rap Project, MakerBot  y Objet.</w:t>
      </w:r>
    </w:p>
    <w:p>
      <w:pPr>
        <w:pStyle w:val="BodyText"/>
        <w:rPr>
          <w:sz w:val="20"/>
        </w:rPr>
      </w:pPr>
    </w:p>
    <w:p>
      <w:pPr>
        <w:pStyle w:val="BodyText"/>
        <w:spacing w:before="9"/>
        <w:rPr>
          <w:sz w:val="12"/>
        </w:rPr>
      </w:pPr>
      <w:r>
        <w:rPr/>
        <w:drawing>
          <wp:anchor distT="0" distB="0" distL="0" distR="0" allowOverlap="1" layoutInCell="1" locked="0" behindDoc="0" simplePos="0" relativeHeight="1360">
            <wp:simplePos x="0" y="0"/>
            <wp:positionH relativeFrom="page">
              <wp:posOffset>2476500</wp:posOffset>
            </wp:positionH>
            <wp:positionV relativeFrom="paragraph">
              <wp:posOffset>118553</wp:posOffset>
            </wp:positionV>
            <wp:extent cx="2799942" cy="1901570"/>
            <wp:effectExtent l="0" t="0" r="0" b="0"/>
            <wp:wrapTopAndBottom/>
            <wp:docPr id="55" name="image28.jpeg" descr=""/>
            <wp:cNvGraphicFramePr>
              <a:graphicFrameLocks noChangeAspect="1"/>
            </wp:cNvGraphicFramePr>
            <a:graphic>
              <a:graphicData uri="http://schemas.openxmlformats.org/drawingml/2006/picture">
                <pic:pic>
                  <pic:nvPicPr>
                    <pic:cNvPr id="56" name="image28.jpeg"/>
                    <pic:cNvPicPr/>
                  </pic:nvPicPr>
                  <pic:blipFill>
                    <a:blip r:embed="rId59" cstate="print"/>
                    <a:stretch>
                      <a:fillRect/>
                    </a:stretch>
                  </pic:blipFill>
                  <pic:spPr>
                    <a:xfrm>
                      <a:off x="0" y="0"/>
                      <a:ext cx="2799942" cy="1901570"/>
                    </a:xfrm>
                    <a:prstGeom prst="rect">
                      <a:avLst/>
                    </a:prstGeom>
                  </pic:spPr>
                </pic:pic>
              </a:graphicData>
            </a:graphic>
          </wp:anchor>
        </w:drawing>
      </w:r>
    </w:p>
    <w:p>
      <w:pPr>
        <w:spacing w:line="204" w:lineRule="exact" w:before="96"/>
        <w:ind w:left="4070" w:right="1197" w:hanging="2641"/>
        <w:jc w:val="left"/>
        <w:rPr>
          <w:sz w:val="18"/>
        </w:rPr>
      </w:pPr>
      <w:bookmarkStart w:name="_bookmark59" w:id="97"/>
      <w:bookmarkEnd w:id="97"/>
      <w:r>
        <w:rPr/>
      </w:r>
      <w:r>
        <w:rPr>
          <w:sz w:val="18"/>
        </w:rPr>
        <w:t>Figura 2.22. ¿Qué impresoras (qué fabricante) ha utilizado? (Fuente: Moilanen y Vadén, 2012).</w:t>
      </w:r>
    </w:p>
    <w:p>
      <w:pPr>
        <w:spacing w:after="0" w:line="204" w:lineRule="exact"/>
        <w:jc w:val="left"/>
        <w:rPr>
          <w:sz w:val="18"/>
        </w:rPr>
        <w:sectPr>
          <w:pgSz w:w="12240" w:h="15840"/>
          <w:pgMar w:header="0" w:footer="1031" w:top="1360" w:bottom="1220" w:left="1600" w:right="1580"/>
        </w:sectPr>
      </w:pPr>
    </w:p>
    <w:p>
      <w:pPr>
        <w:pStyle w:val="BodyText"/>
        <w:spacing w:line="362" w:lineRule="auto" w:before="55"/>
        <w:ind w:left="220" w:right="169"/>
        <w:jc w:val="both"/>
      </w:pPr>
      <w:r>
        <w:rPr/>
        <w:t>Respecto a los materiales de impresión, el resultado de la encuesta menciona que es el PLA, seguido por polímero y algún metal. Ver </w:t>
      </w:r>
      <w:hyperlink w:history="true" w:anchor="_bookmark60">
        <w:r>
          <w:rPr/>
          <w:t>Figura 2.23</w:t>
        </w:r>
      </w:hyperlink>
    </w:p>
    <w:p>
      <w:pPr>
        <w:pStyle w:val="BodyText"/>
        <w:rPr>
          <w:sz w:val="20"/>
        </w:rPr>
      </w:pPr>
    </w:p>
    <w:p>
      <w:pPr>
        <w:pStyle w:val="BodyText"/>
        <w:spacing w:before="8"/>
        <w:rPr>
          <w:sz w:val="12"/>
        </w:rPr>
      </w:pPr>
      <w:r>
        <w:rPr/>
        <w:drawing>
          <wp:anchor distT="0" distB="0" distL="0" distR="0" allowOverlap="1" layoutInCell="1" locked="0" behindDoc="0" simplePos="0" relativeHeight="1384">
            <wp:simplePos x="0" y="0"/>
            <wp:positionH relativeFrom="page">
              <wp:posOffset>2590800</wp:posOffset>
            </wp:positionH>
            <wp:positionV relativeFrom="paragraph">
              <wp:posOffset>117993</wp:posOffset>
            </wp:positionV>
            <wp:extent cx="2597099" cy="1932431"/>
            <wp:effectExtent l="0" t="0" r="0" b="0"/>
            <wp:wrapTopAndBottom/>
            <wp:docPr id="57" name="image29.jpeg" descr=""/>
            <wp:cNvGraphicFramePr>
              <a:graphicFrameLocks noChangeAspect="1"/>
            </wp:cNvGraphicFramePr>
            <a:graphic>
              <a:graphicData uri="http://schemas.openxmlformats.org/drawingml/2006/picture">
                <pic:pic>
                  <pic:nvPicPr>
                    <pic:cNvPr id="58" name="image29.jpeg"/>
                    <pic:cNvPicPr/>
                  </pic:nvPicPr>
                  <pic:blipFill>
                    <a:blip r:embed="rId60" cstate="print"/>
                    <a:stretch>
                      <a:fillRect/>
                    </a:stretch>
                  </pic:blipFill>
                  <pic:spPr>
                    <a:xfrm>
                      <a:off x="0" y="0"/>
                      <a:ext cx="2597099" cy="1932431"/>
                    </a:xfrm>
                    <a:prstGeom prst="rect">
                      <a:avLst/>
                    </a:prstGeom>
                  </pic:spPr>
                </pic:pic>
              </a:graphicData>
            </a:graphic>
          </wp:anchor>
        </w:drawing>
      </w:r>
    </w:p>
    <w:p>
      <w:pPr>
        <w:spacing w:before="60"/>
        <w:ind w:left="1516" w:right="1227" w:firstLine="0"/>
        <w:jc w:val="center"/>
        <w:rPr>
          <w:sz w:val="18"/>
        </w:rPr>
      </w:pPr>
      <w:bookmarkStart w:name="_bookmark60" w:id="98"/>
      <w:bookmarkEnd w:id="98"/>
      <w:r>
        <w:rPr/>
      </w:r>
      <w:r>
        <w:rPr>
          <w:sz w:val="18"/>
        </w:rPr>
        <w:t>Figura 2.23. ¿Qué tipo de material utiliza (ahora y en el pasado) en la impresión? (Fuente: Moilanen y Vadén, 2012).</w:t>
      </w:r>
    </w:p>
    <w:p>
      <w:pPr>
        <w:pStyle w:val="BodyText"/>
        <w:rPr>
          <w:sz w:val="18"/>
        </w:rPr>
      </w:pPr>
    </w:p>
    <w:p>
      <w:pPr>
        <w:pStyle w:val="BodyText"/>
        <w:spacing w:before="2"/>
        <w:rPr>
          <w:sz w:val="18"/>
        </w:rPr>
      </w:pPr>
    </w:p>
    <w:p>
      <w:pPr>
        <w:pStyle w:val="BodyText"/>
        <w:spacing w:line="360" w:lineRule="auto"/>
        <w:ind w:left="220" w:right="158"/>
        <w:jc w:val="both"/>
      </w:pPr>
      <w:r>
        <w:rPr/>
        <w:t>De acuerdo a lo anterior se realizó la siguiente tabla de impresoras con tecnología FDM que se pueden considerar más comunes, en el caso de las que imprimen en PLA por su bajo costo y sustentable al ser material biodegradable. Ver Siguiente </w:t>
      </w:r>
      <w:hyperlink w:history="true" w:anchor="_bookmark61">
        <w:r>
          <w:rPr/>
          <w:t>Tabla 2.6</w:t>
        </w:r>
      </w:hyperlink>
    </w:p>
    <w:p>
      <w:pPr>
        <w:pStyle w:val="BodyText"/>
      </w:pPr>
    </w:p>
    <w:p>
      <w:pPr>
        <w:spacing w:before="138" w:after="6"/>
        <w:ind w:left="1513" w:right="1227" w:firstLine="0"/>
        <w:jc w:val="center"/>
        <w:rPr>
          <w:sz w:val="18"/>
        </w:rPr>
      </w:pPr>
      <w:bookmarkStart w:name="_bookmark61" w:id="99"/>
      <w:bookmarkEnd w:id="99"/>
      <w:r>
        <w:rPr/>
      </w:r>
      <w:r>
        <w:rPr>
          <w:sz w:val="18"/>
        </w:rPr>
        <w:t>Tabla 2.6. Tabla de impresoras, material de impresión PLA.</w:t>
      </w: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668"/>
        <w:gridCol w:w="2693"/>
        <w:gridCol w:w="2373"/>
        <w:gridCol w:w="2249"/>
      </w:tblGrid>
      <w:tr>
        <w:trPr>
          <w:trHeight w:val="320" w:hRule="exact"/>
        </w:trPr>
        <w:tc>
          <w:tcPr>
            <w:tcW w:w="1668" w:type="dxa"/>
          </w:tcPr>
          <w:p>
            <w:pPr/>
          </w:p>
        </w:tc>
        <w:tc>
          <w:tcPr>
            <w:tcW w:w="2693" w:type="dxa"/>
          </w:tcPr>
          <w:p>
            <w:pPr>
              <w:pStyle w:val="TableParagraph"/>
              <w:spacing w:line="207" w:lineRule="exact"/>
              <w:ind w:left="446" w:right="446"/>
              <w:jc w:val="center"/>
              <w:rPr>
                <w:sz w:val="18"/>
              </w:rPr>
            </w:pPr>
            <w:r>
              <w:rPr>
                <w:sz w:val="18"/>
              </w:rPr>
              <w:t>Impresora 1</w:t>
            </w:r>
          </w:p>
        </w:tc>
        <w:tc>
          <w:tcPr>
            <w:tcW w:w="2373" w:type="dxa"/>
          </w:tcPr>
          <w:p>
            <w:pPr>
              <w:pStyle w:val="TableParagraph"/>
              <w:spacing w:line="207" w:lineRule="exact"/>
              <w:ind w:left="110" w:right="110"/>
              <w:jc w:val="center"/>
              <w:rPr>
                <w:sz w:val="18"/>
              </w:rPr>
            </w:pPr>
            <w:r>
              <w:rPr>
                <w:sz w:val="18"/>
              </w:rPr>
              <w:t>Impresora 2</w:t>
            </w:r>
          </w:p>
        </w:tc>
        <w:tc>
          <w:tcPr>
            <w:tcW w:w="2249" w:type="dxa"/>
          </w:tcPr>
          <w:p>
            <w:pPr>
              <w:pStyle w:val="TableParagraph"/>
              <w:spacing w:line="207" w:lineRule="exact"/>
              <w:ind w:left="258" w:right="260"/>
              <w:jc w:val="center"/>
              <w:rPr>
                <w:sz w:val="18"/>
              </w:rPr>
            </w:pPr>
            <w:r>
              <w:rPr>
                <w:sz w:val="18"/>
              </w:rPr>
              <w:t>Impresora 3</w:t>
            </w:r>
          </w:p>
        </w:tc>
      </w:tr>
      <w:tr>
        <w:trPr>
          <w:trHeight w:val="632" w:hRule="exact"/>
        </w:trPr>
        <w:tc>
          <w:tcPr>
            <w:tcW w:w="1668" w:type="dxa"/>
          </w:tcPr>
          <w:p>
            <w:pPr>
              <w:pStyle w:val="TableParagraph"/>
              <w:spacing w:line="206" w:lineRule="exact"/>
              <w:ind w:left="366" w:right="363"/>
              <w:jc w:val="center"/>
              <w:rPr>
                <w:sz w:val="18"/>
              </w:rPr>
            </w:pPr>
            <w:r>
              <w:rPr>
                <w:sz w:val="18"/>
              </w:rPr>
              <w:t>Tecnología</w:t>
            </w:r>
          </w:p>
        </w:tc>
        <w:tc>
          <w:tcPr>
            <w:tcW w:w="2693" w:type="dxa"/>
          </w:tcPr>
          <w:p>
            <w:pPr>
              <w:pStyle w:val="TableParagraph"/>
              <w:spacing w:line="206" w:lineRule="exact"/>
              <w:ind w:left="445" w:right="446"/>
              <w:jc w:val="center"/>
              <w:rPr>
                <w:sz w:val="18"/>
              </w:rPr>
            </w:pPr>
            <w:r>
              <w:rPr>
                <w:sz w:val="18"/>
              </w:rPr>
              <w:t>FDM</w:t>
            </w:r>
          </w:p>
        </w:tc>
        <w:tc>
          <w:tcPr>
            <w:tcW w:w="2373" w:type="dxa"/>
          </w:tcPr>
          <w:p>
            <w:pPr>
              <w:pStyle w:val="TableParagraph"/>
              <w:spacing w:line="206" w:lineRule="exact"/>
              <w:ind w:left="109" w:right="110"/>
              <w:jc w:val="center"/>
              <w:rPr>
                <w:sz w:val="18"/>
              </w:rPr>
            </w:pPr>
            <w:r>
              <w:rPr>
                <w:sz w:val="18"/>
              </w:rPr>
              <w:t>FDM</w:t>
            </w:r>
          </w:p>
        </w:tc>
        <w:tc>
          <w:tcPr>
            <w:tcW w:w="2249" w:type="dxa"/>
          </w:tcPr>
          <w:p>
            <w:pPr>
              <w:pStyle w:val="TableParagraph"/>
              <w:spacing w:line="206" w:lineRule="exact"/>
              <w:ind w:left="258" w:right="260"/>
              <w:jc w:val="center"/>
              <w:rPr>
                <w:sz w:val="18"/>
              </w:rPr>
            </w:pPr>
            <w:r>
              <w:rPr>
                <w:sz w:val="18"/>
              </w:rPr>
              <w:t>SLS</w:t>
            </w:r>
          </w:p>
        </w:tc>
      </w:tr>
      <w:tr>
        <w:trPr>
          <w:trHeight w:val="632" w:hRule="exact"/>
        </w:trPr>
        <w:tc>
          <w:tcPr>
            <w:tcW w:w="1668" w:type="dxa"/>
          </w:tcPr>
          <w:p>
            <w:pPr>
              <w:pStyle w:val="TableParagraph"/>
              <w:spacing w:line="202" w:lineRule="exact"/>
              <w:ind w:left="363" w:right="363"/>
              <w:jc w:val="center"/>
              <w:rPr>
                <w:sz w:val="18"/>
              </w:rPr>
            </w:pPr>
            <w:r>
              <w:rPr>
                <w:sz w:val="18"/>
              </w:rPr>
              <w:t>Marca</w:t>
            </w:r>
          </w:p>
        </w:tc>
        <w:tc>
          <w:tcPr>
            <w:tcW w:w="2693" w:type="dxa"/>
          </w:tcPr>
          <w:p>
            <w:pPr>
              <w:pStyle w:val="TableParagraph"/>
              <w:spacing w:line="202" w:lineRule="exact"/>
              <w:ind w:left="446" w:right="446"/>
              <w:jc w:val="center"/>
              <w:rPr>
                <w:sz w:val="18"/>
              </w:rPr>
            </w:pPr>
            <w:r>
              <w:rPr>
                <w:sz w:val="18"/>
              </w:rPr>
              <w:t>Rep Rap Project</w:t>
            </w:r>
          </w:p>
        </w:tc>
        <w:tc>
          <w:tcPr>
            <w:tcW w:w="2373" w:type="dxa"/>
          </w:tcPr>
          <w:p>
            <w:pPr>
              <w:pStyle w:val="TableParagraph"/>
              <w:spacing w:line="202" w:lineRule="exact"/>
              <w:ind w:left="110" w:right="110"/>
              <w:jc w:val="center"/>
              <w:rPr>
                <w:sz w:val="18"/>
              </w:rPr>
            </w:pPr>
            <w:r>
              <w:rPr>
                <w:sz w:val="18"/>
              </w:rPr>
              <w:t>Maker Bot</w:t>
            </w:r>
          </w:p>
        </w:tc>
        <w:tc>
          <w:tcPr>
            <w:tcW w:w="2249" w:type="dxa"/>
          </w:tcPr>
          <w:p>
            <w:pPr>
              <w:pStyle w:val="TableParagraph"/>
              <w:spacing w:line="202" w:lineRule="exact"/>
              <w:ind w:left="256" w:right="260"/>
              <w:jc w:val="center"/>
              <w:rPr>
                <w:sz w:val="18"/>
              </w:rPr>
            </w:pPr>
            <w:r>
              <w:rPr>
                <w:sz w:val="18"/>
              </w:rPr>
              <w:t>Matsuura Machinery</w:t>
            </w:r>
          </w:p>
        </w:tc>
      </w:tr>
      <w:tr>
        <w:trPr>
          <w:trHeight w:val="628" w:hRule="exact"/>
        </w:trPr>
        <w:tc>
          <w:tcPr>
            <w:tcW w:w="1668" w:type="dxa"/>
          </w:tcPr>
          <w:p>
            <w:pPr>
              <w:pStyle w:val="TableParagraph"/>
              <w:spacing w:line="202" w:lineRule="exact"/>
              <w:ind w:left="357" w:right="363"/>
              <w:jc w:val="center"/>
              <w:rPr>
                <w:sz w:val="18"/>
              </w:rPr>
            </w:pPr>
            <w:r>
              <w:rPr>
                <w:sz w:val="18"/>
              </w:rPr>
              <w:t>Modelo</w:t>
            </w:r>
          </w:p>
        </w:tc>
        <w:tc>
          <w:tcPr>
            <w:tcW w:w="2693" w:type="dxa"/>
          </w:tcPr>
          <w:p>
            <w:pPr>
              <w:pStyle w:val="TableParagraph"/>
              <w:spacing w:line="202" w:lineRule="exact"/>
              <w:ind w:left="446" w:right="446"/>
              <w:jc w:val="center"/>
              <w:rPr>
                <w:sz w:val="18"/>
              </w:rPr>
            </w:pPr>
            <w:r>
              <w:rPr>
                <w:sz w:val="18"/>
              </w:rPr>
              <w:t>BCN3D+</w:t>
            </w:r>
          </w:p>
        </w:tc>
        <w:tc>
          <w:tcPr>
            <w:tcW w:w="2373" w:type="dxa"/>
          </w:tcPr>
          <w:p>
            <w:pPr>
              <w:pStyle w:val="TableParagraph"/>
              <w:spacing w:line="202" w:lineRule="exact"/>
              <w:ind w:left="113" w:right="110"/>
              <w:jc w:val="center"/>
              <w:rPr>
                <w:sz w:val="18"/>
              </w:rPr>
            </w:pPr>
            <w:r>
              <w:rPr>
                <w:sz w:val="18"/>
              </w:rPr>
              <w:t>Maker Bot Replicator Z18”</w:t>
            </w:r>
          </w:p>
        </w:tc>
        <w:tc>
          <w:tcPr>
            <w:tcW w:w="2249" w:type="dxa"/>
          </w:tcPr>
          <w:p>
            <w:pPr>
              <w:pStyle w:val="TableParagraph"/>
              <w:spacing w:line="202" w:lineRule="exact"/>
              <w:ind w:left="258" w:right="260"/>
              <w:jc w:val="center"/>
              <w:rPr>
                <w:sz w:val="18"/>
              </w:rPr>
            </w:pPr>
            <w:r>
              <w:rPr>
                <w:sz w:val="18"/>
              </w:rPr>
              <w:t>Lumex Avance 25</w:t>
            </w:r>
          </w:p>
        </w:tc>
      </w:tr>
      <w:tr>
        <w:trPr>
          <w:trHeight w:val="632" w:hRule="exact"/>
        </w:trPr>
        <w:tc>
          <w:tcPr>
            <w:tcW w:w="1668" w:type="dxa"/>
          </w:tcPr>
          <w:p>
            <w:pPr>
              <w:pStyle w:val="TableParagraph"/>
              <w:spacing w:line="206" w:lineRule="exact"/>
              <w:ind w:left="359" w:right="363"/>
              <w:jc w:val="center"/>
              <w:rPr>
                <w:sz w:val="18"/>
              </w:rPr>
            </w:pPr>
            <w:r>
              <w:rPr>
                <w:sz w:val="18"/>
              </w:rPr>
              <w:t>Materiales</w:t>
            </w:r>
          </w:p>
        </w:tc>
        <w:tc>
          <w:tcPr>
            <w:tcW w:w="2693" w:type="dxa"/>
          </w:tcPr>
          <w:p>
            <w:pPr>
              <w:pStyle w:val="TableParagraph"/>
              <w:spacing w:line="362" w:lineRule="auto"/>
              <w:ind w:left="1004" w:right="304" w:hanging="685"/>
              <w:rPr>
                <w:sz w:val="18"/>
              </w:rPr>
            </w:pPr>
            <w:r>
              <w:rPr>
                <w:sz w:val="18"/>
              </w:rPr>
              <w:t>PLA</w:t>
            </w:r>
            <w:r>
              <w:rPr>
                <w:b/>
                <w:sz w:val="18"/>
              </w:rPr>
              <w:t>, </w:t>
            </w:r>
            <w:r>
              <w:rPr>
                <w:sz w:val="18"/>
              </w:rPr>
              <w:t>ABS, Nylon, Lawoo, Laybrick</w:t>
            </w:r>
          </w:p>
        </w:tc>
        <w:tc>
          <w:tcPr>
            <w:tcW w:w="2373" w:type="dxa"/>
          </w:tcPr>
          <w:p>
            <w:pPr>
              <w:pStyle w:val="TableParagraph"/>
              <w:spacing w:line="206" w:lineRule="exact"/>
              <w:ind w:left="110" w:right="110"/>
              <w:jc w:val="center"/>
              <w:rPr>
                <w:sz w:val="18"/>
              </w:rPr>
            </w:pPr>
            <w:r>
              <w:rPr>
                <w:sz w:val="18"/>
              </w:rPr>
              <w:t>PLA</w:t>
            </w:r>
          </w:p>
        </w:tc>
        <w:tc>
          <w:tcPr>
            <w:tcW w:w="2249" w:type="dxa"/>
          </w:tcPr>
          <w:p>
            <w:pPr>
              <w:pStyle w:val="TableParagraph"/>
              <w:spacing w:line="206" w:lineRule="exact"/>
              <w:ind w:left="254" w:right="260"/>
              <w:jc w:val="center"/>
              <w:rPr>
                <w:sz w:val="18"/>
              </w:rPr>
            </w:pPr>
            <w:r>
              <w:rPr>
                <w:sz w:val="18"/>
              </w:rPr>
              <w:t>Metal</w:t>
            </w:r>
          </w:p>
        </w:tc>
      </w:tr>
      <w:tr>
        <w:trPr>
          <w:trHeight w:val="632" w:hRule="exact"/>
        </w:trPr>
        <w:tc>
          <w:tcPr>
            <w:tcW w:w="1668" w:type="dxa"/>
          </w:tcPr>
          <w:p>
            <w:pPr>
              <w:pStyle w:val="TableParagraph"/>
              <w:spacing w:line="206" w:lineRule="exact"/>
              <w:ind w:left="361" w:right="363"/>
              <w:jc w:val="center"/>
              <w:rPr>
                <w:sz w:val="18"/>
              </w:rPr>
            </w:pPr>
            <w:r>
              <w:rPr>
                <w:sz w:val="18"/>
              </w:rPr>
              <w:t>Costo</w:t>
            </w:r>
          </w:p>
        </w:tc>
        <w:tc>
          <w:tcPr>
            <w:tcW w:w="2693" w:type="dxa"/>
          </w:tcPr>
          <w:p>
            <w:pPr>
              <w:pStyle w:val="TableParagraph"/>
              <w:spacing w:line="206" w:lineRule="exact"/>
              <w:ind w:left="446" w:right="442"/>
              <w:jc w:val="center"/>
              <w:rPr>
                <w:sz w:val="18"/>
              </w:rPr>
            </w:pPr>
            <w:r>
              <w:rPr>
                <w:sz w:val="18"/>
              </w:rPr>
              <w:t>MX $ 13,320°°</w:t>
            </w:r>
          </w:p>
          <w:p>
            <w:pPr>
              <w:pStyle w:val="TableParagraph"/>
              <w:spacing w:before="101"/>
              <w:ind w:right="3"/>
              <w:jc w:val="center"/>
              <w:rPr>
                <w:sz w:val="18"/>
              </w:rPr>
            </w:pPr>
            <w:r>
              <w:rPr>
                <w:w w:val="99"/>
                <w:sz w:val="18"/>
              </w:rPr>
              <w:t>*</w:t>
            </w:r>
          </w:p>
        </w:tc>
        <w:tc>
          <w:tcPr>
            <w:tcW w:w="2373" w:type="dxa"/>
          </w:tcPr>
          <w:p>
            <w:pPr>
              <w:pStyle w:val="TableParagraph"/>
              <w:spacing w:line="206" w:lineRule="exact"/>
              <w:ind w:left="113" w:right="110"/>
              <w:jc w:val="center"/>
              <w:rPr>
                <w:sz w:val="18"/>
              </w:rPr>
            </w:pPr>
            <w:r>
              <w:rPr>
                <w:sz w:val="18"/>
              </w:rPr>
              <w:t>MX $ 124,892.88</w:t>
            </w:r>
          </w:p>
        </w:tc>
        <w:tc>
          <w:tcPr>
            <w:tcW w:w="2249" w:type="dxa"/>
          </w:tcPr>
          <w:p>
            <w:pPr>
              <w:pStyle w:val="TableParagraph"/>
              <w:spacing w:line="206" w:lineRule="exact"/>
              <w:ind w:left="256" w:right="260"/>
              <w:jc w:val="center"/>
              <w:rPr>
                <w:sz w:val="18"/>
              </w:rPr>
            </w:pPr>
            <w:r>
              <w:rPr>
                <w:sz w:val="18"/>
              </w:rPr>
              <w:t>US $ 846,000.</w:t>
            </w:r>
          </w:p>
          <w:p>
            <w:pPr>
              <w:pStyle w:val="TableParagraph"/>
              <w:spacing w:before="101"/>
              <w:ind w:left="259" w:right="260"/>
              <w:jc w:val="center"/>
              <w:rPr>
                <w:sz w:val="18"/>
              </w:rPr>
            </w:pPr>
            <w:r>
              <w:rPr>
                <w:sz w:val="18"/>
              </w:rPr>
              <w:t>MX $ 12,690,000.</w:t>
            </w:r>
          </w:p>
        </w:tc>
      </w:tr>
      <w:tr>
        <w:trPr>
          <w:trHeight w:val="629" w:hRule="exact"/>
        </w:trPr>
        <w:tc>
          <w:tcPr>
            <w:tcW w:w="1668" w:type="dxa"/>
          </w:tcPr>
          <w:p>
            <w:pPr>
              <w:pStyle w:val="TableParagraph"/>
              <w:spacing w:line="362" w:lineRule="auto"/>
              <w:ind w:left="311" w:right="145" w:hanging="156"/>
              <w:rPr>
                <w:sz w:val="18"/>
              </w:rPr>
            </w:pPr>
            <w:r>
              <w:rPr>
                <w:sz w:val="18"/>
              </w:rPr>
              <w:t>Tamaño máximo de impresión</w:t>
            </w:r>
          </w:p>
        </w:tc>
        <w:tc>
          <w:tcPr>
            <w:tcW w:w="2693" w:type="dxa"/>
          </w:tcPr>
          <w:p>
            <w:pPr>
              <w:pStyle w:val="TableParagraph"/>
              <w:spacing w:line="202" w:lineRule="exact"/>
              <w:ind w:left="446" w:right="446"/>
              <w:jc w:val="center"/>
              <w:rPr>
                <w:sz w:val="18"/>
              </w:rPr>
            </w:pPr>
            <w:r>
              <w:rPr>
                <w:sz w:val="18"/>
              </w:rPr>
              <w:t>25.0 X 20.0 x 20.0 cm</w:t>
            </w:r>
          </w:p>
        </w:tc>
        <w:tc>
          <w:tcPr>
            <w:tcW w:w="2373" w:type="dxa"/>
          </w:tcPr>
          <w:p>
            <w:pPr>
              <w:pStyle w:val="TableParagraph"/>
              <w:spacing w:line="362" w:lineRule="auto"/>
              <w:ind w:left="224" w:right="209" w:firstLine="240"/>
              <w:rPr>
                <w:sz w:val="18"/>
              </w:rPr>
            </w:pPr>
            <w:r>
              <w:rPr>
                <w:sz w:val="18"/>
              </w:rPr>
              <w:t>30.5 ancho x 30.5 profundo X 45.7 cm alto</w:t>
            </w:r>
          </w:p>
        </w:tc>
        <w:tc>
          <w:tcPr>
            <w:tcW w:w="2249" w:type="dxa"/>
          </w:tcPr>
          <w:p>
            <w:pPr>
              <w:pStyle w:val="TableParagraph"/>
              <w:spacing w:line="202" w:lineRule="exact"/>
              <w:ind w:left="259" w:right="260"/>
              <w:jc w:val="center"/>
              <w:rPr>
                <w:sz w:val="18"/>
              </w:rPr>
            </w:pPr>
            <w:r>
              <w:rPr>
                <w:sz w:val="18"/>
              </w:rPr>
              <w:t>25.0 x 25.0 18.0 cm</w:t>
            </w:r>
          </w:p>
        </w:tc>
      </w:tr>
    </w:tbl>
    <w:p>
      <w:pPr>
        <w:spacing w:line="206" w:lineRule="exact" w:before="0"/>
        <w:ind w:left="2081" w:right="69" w:firstLine="0"/>
        <w:jc w:val="left"/>
        <w:rPr>
          <w:sz w:val="18"/>
        </w:rPr>
      </w:pPr>
      <w:r>
        <w:rPr>
          <w:sz w:val="18"/>
        </w:rPr>
        <w:t>(Fuente: Elaboración propia, 2015).*Precios de lista Mayo 2015.</w:t>
      </w:r>
    </w:p>
    <w:p>
      <w:pPr>
        <w:spacing w:after="0" w:line="206" w:lineRule="exact"/>
        <w:jc w:val="left"/>
        <w:rPr>
          <w:sz w:val="18"/>
        </w:rPr>
        <w:sectPr>
          <w:pgSz w:w="12240" w:h="15840"/>
          <w:pgMar w:header="0" w:footer="1031" w:top="1360" w:bottom="1220" w:left="1480" w:right="1540"/>
        </w:sectPr>
      </w:pPr>
    </w:p>
    <w:p>
      <w:pPr>
        <w:pStyle w:val="BodyText"/>
        <w:spacing w:line="360" w:lineRule="auto" w:before="55"/>
        <w:ind w:left="100" w:right="155"/>
        <w:jc w:val="both"/>
      </w:pPr>
      <w:r>
        <w:rPr/>
        <w:t>Aunque el PLA es un material común en las impresoras tridimensionales, cabe mencionar las impresoras de metal (que son menos comunes por el costo), podrían ser una opción de sustitución para el escultor que trabaja fundición a la cera pérdida. Cabe mencionar la opción de baño de metal de piezas en RP y FA, las empresas que ofrecen dicho servicio son </w:t>
      </w:r>
      <w:r>
        <w:rPr>
          <w:i/>
        </w:rPr>
        <w:t>Morganic metal solutions </w:t>
      </w:r>
      <w:r>
        <w:rPr/>
        <w:t>y</w:t>
      </w:r>
      <w:r>
        <w:rPr>
          <w:spacing w:val="-29"/>
        </w:rPr>
        <w:t> </w:t>
      </w:r>
      <w:r>
        <w:rPr>
          <w:i/>
        </w:rPr>
        <w:t>3ddc</w:t>
      </w:r>
      <w:r>
        <w:rPr/>
        <w:t>.</w:t>
      </w:r>
    </w:p>
    <w:p>
      <w:pPr>
        <w:pStyle w:val="BodyText"/>
      </w:pPr>
    </w:p>
    <w:p>
      <w:pPr>
        <w:pStyle w:val="BodyText"/>
        <w:spacing w:line="360" w:lineRule="auto" w:before="146"/>
        <w:ind w:left="100" w:right="159"/>
        <w:jc w:val="both"/>
      </w:pPr>
      <w:r>
        <w:rPr/>
        <w:t>El proceso de prototipado de una impresora 3D en metal utiliza el principio de fabricación de SLS mencionado en la Figura 2.10. y en la Tabla 2.3. Tecnologías de FA; que consiste en que un rodillo va colocando capas de polvo en una cama que va elevándose conforme las capas van fundiéndose por medio de rayo láser, como lo muestra la siguiente </w:t>
      </w:r>
      <w:hyperlink w:history="true" w:anchor="_bookmark62">
        <w:r>
          <w:rPr/>
          <w:t>Figura 2.24</w:t>
        </w:r>
      </w:hyperlink>
      <w:r>
        <w:rPr/>
        <w:t>.</w:t>
      </w:r>
    </w:p>
    <w:p>
      <w:pPr>
        <w:pStyle w:val="BodyText"/>
        <w:rPr>
          <w:sz w:val="20"/>
        </w:rPr>
      </w:pPr>
    </w:p>
    <w:p>
      <w:pPr>
        <w:pStyle w:val="BodyText"/>
        <w:rPr>
          <w:sz w:val="13"/>
        </w:rPr>
      </w:pPr>
      <w:r>
        <w:rPr/>
        <w:drawing>
          <wp:anchor distT="0" distB="0" distL="0" distR="0" allowOverlap="1" layoutInCell="1" locked="0" behindDoc="0" simplePos="0" relativeHeight="1408">
            <wp:simplePos x="0" y="0"/>
            <wp:positionH relativeFrom="page">
              <wp:posOffset>1080135</wp:posOffset>
            </wp:positionH>
            <wp:positionV relativeFrom="paragraph">
              <wp:posOffset>120077</wp:posOffset>
            </wp:positionV>
            <wp:extent cx="5669324" cy="3126962"/>
            <wp:effectExtent l="0" t="0" r="0" b="0"/>
            <wp:wrapTopAndBottom/>
            <wp:docPr id="59" name="image30.jpeg" descr=""/>
            <wp:cNvGraphicFramePr>
              <a:graphicFrameLocks noChangeAspect="1"/>
            </wp:cNvGraphicFramePr>
            <a:graphic>
              <a:graphicData uri="http://schemas.openxmlformats.org/drawingml/2006/picture">
                <pic:pic>
                  <pic:nvPicPr>
                    <pic:cNvPr id="60" name="image30.jpeg"/>
                    <pic:cNvPicPr/>
                  </pic:nvPicPr>
                  <pic:blipFill>
                    <a:blip r:embed="rId61" cstate="print"/>
                    <a:stretch>
                      <a:fillRect/>
                    </a:stretch>
                  </pic:blipFill>
                  <pic:spPr>
                    <a:xfrm>
                      <a:off x="0" y="0"/>
                      <a:ext cx="5669324" cy="3126962"/>
                    </a:xfrm>
                    <a:prstGeom prst="rect">
                      <a:avLst/>
                    </a:prstGeom>
                  </pic:spPr>
                </pic:pic>
              </a:graphicData>
            </a:graphic>
          </wp:anchor>
        </w:drawing>
      </w:r>
    </w:p>
    <w:p>
      <w:pPr>
        <w:spacing w:before="67"/>
        <w:ind w:left="1236" w:right="1063" w:hanging="9"/>
        <w:jc w:val="center"/>
        <w:rPr>
          <w:sz w:val="18"/>
        </w:rPr>
      </w:pPr>
      <w:bookmarkStart w:name="_bookmark62" w:id="100"/>
      <w:bookmarkEnd w:id="100"/>
      <w:r>
        <w:rPr/>
      </w:r>
      <w:r>
        <w:rPr>
          <w:sz w:val="18"/>
        </w:rPr>
        <w:t>Figura 2.24. Impresión en metal (Fuente: </w:t>
      </w:r>
      <w:hyperlink r:id="rId62">
        <w:r>
          <w:rPr>
            <w:sz w:val="18"/>
          </w:rPr>
          <w:t>http://www.extremetech.com/extreme/143552-3d-printing-with-metal-the-final-frontier-</w:t>
        </w:r>
      </w:hyperlink>
      <w:r>
        <w:rPr>
          <w:sz w:val="18"/>
        </w:rPr>
        <w:t> of-additive-manufacturing, consultado el 17 de mayo de 2015).</w:t>
      </w:r>
    </w:p>
    <w:p>
      <w:pPr>
        <w:pStyle w:val="BodyText"/>
        <w:rPr>
          <w:sz w:val="18"/>
        </w:rPr>
      </w:pPr>
    </w:p>
    <w:p>
      <w:pPr>
        <w:pStyle w:val="BodyText"/>
        <w:spacing w:before="2"/>
        <w:rPr>
          <w:sz w:val="18"/>
        </w:rPr>
      </w:pPr>
    </w:p>
    <w:p>
      <w:pPr>
        <w:pStyle w:val="BodyText"/>
        <w:spacing w:line="360" w:lineRule="auto"/>
        <w:ind w:left="100" w:right="166"/>
        <w:jc w:val="both"/>
      </w:pPr>
      <w:r>
        <w:rPr/>
        <w:t>Los beneficios de la impresión 3D como hemos visto en subcapítulos anteriores no solamente se ven reflejados en el uso de la escultura, sino también en otros sectores como lo muestra la siguiente </w:t>
      </w:r>
      <w:hyperlink w:history="true" w:anchor="_bookmark63">
        <w:r>
          <w:rPr/>
          <w:t>Tabla 2.7</w:t>
        </w:r>
      </w:hyperlink>
      <w:r>
        <w:rPr/>
        <w:t>.</w:t>
      </w:r>
    </w:p>
    <w:p>
      <w:pPr>
        <w:spacing w:after="0" w:line="360" w:lineRule="auto"/>
        <w:jc w:val="both"/>
        <w:sectPr>
          <w:pgSz w:w="12240" w:h="15840"/>
          <w:pgMar w:header="0" w:footer="1031" w:top="1360" w:bottom="1220" w:left="1600" w:right="1540"/>
        </w:sectPr>
      </w:pPr>
    </w:p>
    <w:p>
      <w:pPr>
        <w:spacing w:before="51" w:after="6"/>
        <w:ind w:left="2997" w:right="0" w:firstLine="0"/>
        <w:jc w:val="left"/>
        <w:rPr>
          <w:sz w:val="18"/>
        </w:rPr>
      </w:pPr>
      <w:bookmarkStart w:name="_bookmark63" w:id="101"/>
      <w:bookmarkEnd w:id="101"/>
      <w:r>
        <w:rPr/>
      </w:r>
      <w:r>
        <w:rPr>
          <w:sz w:val="18"/>
        </w:rPr>
        <w:t>Tabla 2.7. Aplicaciones de impresión 3D.</w:t>
      </w:r>
    </w:p>
    <w:tbl>
      <w:tblPr>
        <w:tblW w:w="0" w:type="auto"/>
        <w:jc w:val="left"/>
        <w:tblInd w:w="672"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621"/>
        <w:gridCol w:w="2804"/>
        <w:gridCol w:w="3262"/>
      </w:tblGrid>
      <w:tr>
        <w:trPr>
          <w:trHeight w:val="320" w:hRule="exact"/>
        </w:trPr>
        <w:tc>
          <w:tcPr>
            <w:tcW w:w="1621" w:type="dxa"/>
          </w:tcPr>
          <w:p>
            <w:pPr>
              <w:pStyle w:val="TableParagraph"/>
              <w:spacing w:line="206" w:lineRule="exact"/>
              <w:ind w:left="262" w:right="255"/>
              <w:jc w:val="center"/>
              <w:rPr>
                <w:sz w:val="18"/>
              </w:rPr>
            </w:pPr>
            <w:r>
              <w:rPr>
                <w:sz w:val="18"/>
              </w:rPr>
              <w:t>Sector</w:t>
            </w:r>
          </w:p>
        </w:tc>
        <w:tc>
          <w:tcPr>
            <w:tcW w:w="2804" w:type="dxa"/>
          </w:tcPr>
          <w:p>
            <w:pPr>
              <w:pStyle w:val="TableParagraph"/>
              <w:spacing w:line="206" w:lineRule="exact"/>
              <w:ind w:left="140" w:right="139"/>
              <w:jc w:val="center"/>
              <w:rPr>
                <w:sz w:val="18"/>
              </w:rPr>
            </w:pPr>
            <w:r>
              <w:rPr>
                <w:sz w:val="18"/>
              </w:rPr>
              <w:t>Presentes aplicaciones</w:t>
            </w:r>
          </w:p>
        </w:tc>
        <w:tc>
          <w:tcPr>
            <w:tcW w:w="3262" w:type="dxa"/>
          </w:tcPr>
          <w:p>
            <w:pPr>
              <w:pStyle w:val="TableParagraph"/>
              <w:spacing w:line="206" w:lineRule="exact"/>
              <w:ind w:left="800" w:right="429"/>
              <w:rPr>
                <w:sz w:val="18"/>
              </w:rPr>
            </w:pPr>
            <w:r>
              <w:rPr>
                <w:sz w:val="18"/>
              </w:rPr>
              <w:t>Futuras aplicaciones</w:t>
            </w:r>
          </w:p>
        </w:tc>
      </w:tr>
      <w:tr>
        <w:trPr>
          <w:trHeight w:val="944" w:hRule="exact"/>
        </w:trPr>
        <w:tc>
          <w:tcPr>
            <w:tcW w:w="1621" w:type="dxa"/>
          </w:tcPr>
          <w:p>
            <w:pPr>
              <w:pStyle w:val="TableParagraph"/>
              <w:spacing w:line="206" w:lineRule="exact"/>
              <w:ind w:left="259" w:right="259"/>
              <w:jc w:val="center"/>
              <w:rPr>
                <w:sz w:val="18"/>
              </w:rPr>
            </w:pPr>
            <w:r>
              <w:rPr>
                <w:sz w:val="18"/>
              </w:rPr>
              <w:t>Industria</w:t>
            </w:r>
          </w:p>
        </w:tc>
        <w:tc>
          <w:tcPr>
            <w:tcW w:w="2804" w:type="dxa"/>
          </w:tcPr>
          <w:p>
            <w:pPr>
              <w:pStyle w:val="TableParagraph"/>
              <w:spacing w:line="357" w:lineRule="auto"/>
              <w:ind w:left="140" w:right="141"/>
              <w:jc w:val="center"/>
              <w:rPr>
                <w:sz w:val="18"/>
              </w:rPr>
            </w:pPr>
            <w:r>
              <w:rPr>
                <w:sz w:val="18"/>
              </w:rPr>
              <w:t>Los componentes del producto, repuestos,</w:t>
            </w:r>
          </w:p>
          <w:p>
            <w:pPr>
              <w:pStyle w:val="TableParagraph"/>
              <w:spacing w:before="6"/>
              <w:ind w:left="140" w:right="139"/>
              <w:jc w:val="center"/>
              <w:rPr>
                <w:sz w:val="18"/>
              </w:rPr>
            </w:pPr>
            <w:r>
              <w:rPr>
                <w:sz w:val="18"/>
              </w:rPr>
              <w:t>reproducción de piezas</w:t>
            </w:r>
          </w:p>
        </w:tc>
        <w:tc>
          <w:tcPr>
            <w:tcW w:w="3262" w:type="dxa"/>
          </w:tcPr>
          <w:p>
            <w:pPr>
              <w:pStyle w:val="TableParagraph"/>
              <w:spacing w:line="360" w:lineRule="auto"/>
              <w:ind w:left="232" w:right="236" w:firstLine="5"/>
              <w:jc w:val="center"/>
              <w:rPr>
                <w:sz w:val="18"/>
              </w:rPr>
            </w:pPr>
            <w:r>
              <w:rPr>
                <w:sz w:val="18"/>
              </w:rPr>
              <w:t>Productos completos y complejos, lavadoras, teléfonos móvil, armas, aviones no tripulados</w:t>
            </w:r>
          </w:p>
        </w:tc>
      </w:tr>
      <w:tr>
        <w:trPr>
          <w:trHeight w:val="629" w:hRule="exact"/>
        </w:trPr>
        <w:tc>
          <w:tcPr>
            <w:tcW w:w="1621" w:type="dxa"/>
          </w:tcPr>
          <w:p>
            <w:pPr>
              <w:pStyle w:val="TableParagraph"/>
              <w:spacing w:line="203" w:lineRule="exact"/>
              <w:ind w:left="259" w:right="259"/>
              <w:jc w:val="center"/>
              <w:rPr>
                <w:sz w:val="18"/>
              </w:rPr>
            </w:pPr>
            <w:r>
              <w:rPr>
                <w:sz w:val="18"/>
              </w:rPr>
              <w:t>Salud</w:t>
            </w:r>
          </w:p>
        </w:tc>
        <w:tc>
          <w:tcPr>
            <w:tcW w:w="2804" w:type="dxa"/>
          </w:tcPr>
          <w:p>
            <w:pPr>
              <w:pStyle w:val="TableParagraph"/>
              <w:spacing w:line="362" w:lineRule="auto"/>
              <w:ind w:left="1080" w:right="244" w:hanging="820"/>
              <w:rPr>
                <w:sz w:val="18"/>
              </w:rPr>
            </w:pPr>
            <w:r>
              <w:rPr>
                <w:sz w:val="18"/>
              </w:rPr>
              <w:t>Puentes y coronas dentales, prótesis</w:t>
            </w:r>
          </w:p>
        </w:tc>
        <w:tc>
          <w:tcPr>
            <w:tcW w:w="3262" w:type="dxa"/>
          </w:tcPr>
          <w:p>
            <w:pPr>
              <w:pStyle w:val="TableParagraph"/>
              <w:spacing w:line="362" w:lineRule="auto"/>
              <w:ind w:left="1080" w:right="429" w:hanging="637"/>
              <w:rPr>
                <w:sz w:val="18"/>
              </w:rPr>
            </w:pPr>
            <w:r>
              <w:rPr>
                <w:sz w:val="18"/>
              </w:rPr>
              <w:t>tejidos vivos y órganos, oídos biónicos, ojos</w:t>
            </w:r>
          </w:p>
        </w:tc>
      </w:tr>
      <w:tr>
        <w:trPr>
          <w:trHeight w:val="944" w:hRule="exact"/>
        </w:trPr>
        <w:tc>
          <w:tcPr>
            <w:tcW w:w="1621" w:type="dxa"/>
          </w:tcPr>
          <w:p>
            <w:pPr>
              <w:pStyle w:val="TableParagraph"/>
              <w:spacing w:line="206" w:lineRule="exact"/>
              <w:ind w:left="258" w:right="259"/>
              <w:jc w:val="center"/>
              <w:rPr>
                <w:sz w:val="18"/>
              </w:rPr>
            </w:pPr>
            <w:r>
              <w:rPr>
                <w:sz w:val="18"/>
              </w:rPr>
              <w:t>Moda</w:t>
            </w:r>
          </w:p>
        </w:tc>
        <w:tc>
          <w:tcPr>
            <w:tcW w:w="2804" w:type="dxa"/>
          </w:tcPr>
          <w:p>
            <w:pPr>
              <w:pStyle w:val="TableParagraph"/>
              <w:spacing w:line="362" w:lineRule="auto"/>
              <w:ind w:left="972" w:right="525" w:hanging="432"/>
              <w:rPr>
                <w:sz w:val="18"/>
              </w:rPr>
            </w:pPr>
            <w:r>
              <w:rPr>
                <w:sz w:val="18"/>
              </w:rPr>
              <w:t>Joyas, ropa diseñada especiales</w:t>
            </w:r>
          </w:p>
        </w:tc>
        <w:tc>
          <w:tcPr>
            <w:tcW w:w="3262" w:type="dxa"/>
          </w:tcPr>
          <w:p>
            <w:pPr>
              <w:pStyle w:val="TableParagraph"/>
              <w:spacing w:line="360" w:lineRule="auto"/>
              <w:ind w:left="504" w:right="503" w:firstLine="1"/>
              <w:jc w:val="center"/>
              <w:rPr>
                <w:sz w:val="18"/>
              </w:rPr>
            </w:pPr>
            <w:r>
              <w:rPr>
                <w:sz w:val="18"/>
              </w:rPr>
              <w:t>Ropa, zapatos y accesorios personalizados para su talla y gusto</w:t>
            </w:r>
          </w:p>
        </w:tc>
      </w:tr>
      <w:tr>
        <w:trPr>
          <w:trHeight w:val="1253" w:hRule="exact"/>
        </w:trPr>
        <w:tc>
          <w:tcPr>
            <w:tcW w:w="1621" w:type="dxa"/>
          </w:tcPr>
          <w:p>
            <w:pPr>
              <w:pStyle w:val="TableParagraph"/>
              <w:spacing w:line="202" w:lineRule="exact"/>
              <w:ind w:left="259" w:right="259"/>
              <w:jc w:val="center"/>
              <w:rPr>
                <w:sz w:val="18"/>
              </w:rPr>
            </w:pPr>
            <w:r>
              <w:rPr>
                <w:sz w:val="18"/>
              </w:rPr>
              <w:t>Comida</w:t>
            </w:r>
          </w:p>
        </w:tc>
        <w:tc>
          <w:tcPr>
            <w:tcW w:w="2804" w:type="dxa"/>
          </w:tcPr>
          <w:p>
            <w:pPr>
              <w:pStyle w:val="TableParagraph"/>
              <w:spacing w:line="362" w:lineRule="auto"/>
              <w:ind w:left="1012" w:right="239" w:hanging="756"/>
              <w:rPr>
                <w:sz w:val="18"/>
              </w:rPr>
            </w:pPr>
            <w:r>
              <w:rPr>
                <w:sz w:val="18"/>
              </w:rPr>
              <w:t>Vista agradable de postres y aperitivos</w:t>
            </w:r>
          </w:p>
        </w:tc>
        <w:tc>
          <w:tcPr>
            <w:tcW w:w="3262" w:type="dxa"/>
          </w:tcPr>
          <w:p>
            <w:pPr>
              <w:pStyle w:val="TableParagraph"/>
              <w:spacing w:line="360" w:lineRule="auto"/>
              <w:ind w:left="192" w:right="185" w:hanging="9"/>
              <w:jc w:val="center"/>
              <w:rPr>
                <w:sz w:val="18"/>
              </w:rPr>
            </w:pPr>
            <w:r>
              <w:rPr>
                <w:sz w:val="18"/>
              </w:rPr>
              <w:t>La producción de alimentos (hamburguesas, patatas) personalizadas a tu dieta, calorías y sabor.</w:t>
            </w:r>
          </w:p>
        </w:tc>
      </w:tr>
      <w:tr>
        <w:trPr>
          <w:trHeight w:val="940" w:hRule="exact"/>
        </w:trPr>
        <w:tc>
          <w:tcPr>
            <w:tcW w:w="1621" w:type="dxa"/>
          </w:tcPr>
          <w:p>
            <w:pPr>
              <w:pStyle w:val="TableParagraph"/>
              <w:spacing w:line="202" w:lineRule="exact"/>
              <w:ind w:left="262" w:right="259"/>
              <w:jc w:val="center"/>
              <w:rPr>
                <w:sz w:val="18"/>
              </w:rPr>
            </w:pPr>
            <w:r>
              <w:rPr>
                <w:sz w:val="18"/>
              </w:rPr>
              <w:t>Construcción</w:t>
            </w:r>
          </w:p>
        </w:tc>
        <w:tc>
          <w:tcPr>
            <w:tcW w:w="2804" w:type="dxa"/>
          </w:tcPr>
          <w:p>
            <w:pPr>
              <w:pStyle w:val="TableParagraph"/>
              <w:spacing w:line="202" w:lineRule="exact"/>
              <w:ind w:left="140" w:right="140"/>
              <w:jc w:val="center"/>
              <w:rPr>
                <w:sz w:val="18"/>
              </w:rPr>
            </w:pPr>
            <w:r>
              <w:rPr>
                <w:sz w:val="18"/>
              </w:rPr>
              <w:t>Aún sin aplicaciones</w:t>
            </w:r>
          </w:p>
        </w:tc>
        <w:tc>
          <w:tcPr>
            <w:tcW w:w="3262" w:type="dxa"/>
          </w:tcPr>
          <w:p>
            <w:pPr>
              <w:pStyle w:val="TableParagraph"/>
              <w:spacing w:line="362" w:lineRule="auto"/>
              <w:ind w:left="131" w:right="134" w:firstLine="5"/>
              <w:jc w:val="center"/>
              <w:rPr>
                <w:sz w:val="18"/>
              </w:rPr>
            </w:pPr>
            <w:r>
              <w:rPr>
                <w:sz w:val="18"/>
              </w:rPr>
              <w:t>Piezas de construcción y completa edificios con un alto grado de libertad de diseño y futuros cambios</w:t>
            </w:r>
          </w:p>
        </w:tc>
      </w:tr>
      <w:tr>
        <w:trPr>
          <w:trHeight w:val="1252" w:hRule="exact"/>
        </w:trPr>
        <w:tc>
          <w:tcPr>
            <w:tcW w:w="1621" w:type="dxa"/>
          </w:tcPr>
          <w:p>
            <w:pPr>
              <w:pStyle w:val="TableParagraph"/>
              <w:spacing w:line="206" w:lineRule="exact"/>
              <w:ind w:left="258" w:right="259"/>
              <w:jc w:val="center"/>
              <w:rPr>
                <w:sz w:val="18"/>
              </w:rPr>
            </w:pPr>
            <w:r>
              <w:rPr>
                <w:sz w:val="18"/>
              </w:rPr>
              <w:t>Hogar</w:t>
            </w:r>
          </w:p>
        </w:tc>
        <w:tc>
          <w:tcPr>
            <w:tcW w:w="2804" w:type="dxa"/>
          </w:tcPr>
          <w:p>
            <w:pPr>
              <w:pStyle w:val="TableParagraph"/>
              <w:spacing w:line="357" w:lineRule="auto"/>
              <w:ind w:left="672" w:right="111" w:hanging="549"/>
              <w:rPr>
                <w:sz w:val="18"/>
              </w:rPr>
            </w:pPr>
            <w:r>
              <w:rPr>
                <w:sz w:val="18"/>
              </w:rPr>
              <w:t>Aparatos especiales diseñados, simples productos</w:t>
            </w:r>
          </w:p>
        </w:tc>
        <w:tc>
          <w:tcPr>
            <w:tcW w:w="3262" w:type="dxa"/>
          </w:tcPr>
          <w:p>
            <w:pPr>
              <w:pStyle w:val="TableParagraph"/>
              <w:spacing w:line="360" w:lineRule="auto"/>
              <w:ind w:left="240" w:right="236"/>
              <w:jc w:val="center"/>
              <w:rPr>
                <w:sz w:val="18"/>
              </w:rPr>
            </w:pPr>
            <w:r>
              <w:rPr>
                <w:sz w:val="18"/>
              </w:rPr>
              <w:t>Productos Ordenar e imprimir en el hogar, productos de reparación, diseño y productos</w:t>
            </w:r>
            <w:r>
              <w:rPr>
                <w:spacing w:val="-4"/>
                <w:sz w:val="18"/>
              </w:rPr>
              <w:t> </w:t>
            </w:r>
            <w:r>
              <w:rPr>
                <w:sz w:val="18"/>
              </w:rPr>
              <w:t>personalizados productos</w:t>
            </w:r>
          </w:p>
        </w:tc>
      </w:tr>
      <w:tr>
        <w:trPr>
          <w:trHeight w:val="1253" w:hRule="exact"/>
        </w:trPr>
        <w:tc>
          <w:tcPr>
            <w:tcW w:w="1621" w:type="dxa"/>
          </w:tcPr>
          <w:p>
            <w:pPr>
              <w:pStyle w:val="TableParagraph"/>
              <w:spacing w:line="206" w:lineRule="exact"/>
              <w:ind w:left="262" w:right="257"/>
              <w:jc w:val="center"/>
              <w:rPr>
                <w:sz w:val="18"/>
              </w:rPr>
            </w:pPr>
            <w:r>
              <w:rPr>
                <w:sz w:val="18"/>
              </w:rPr>
              <w:t>Otros</w:t>
            </w:r>
          </w:p>
        </w:tc>
        <w:tc>
          <w:tcPr>
            <w:tcW w:w="2804" w:type="dxa"/>
          </w:tcPr>
          <w:p>
            <w:pPr>
              <w:pStyle w:val="TableParagraph"/>
              <w:spacing w:line="206" w:lineRule="exact"/>
              <w:ind w:left="140" w:right="140"/>
              <w:jc w:val="center"/>
              <w:rPr>
                <w:sz w:val="18"/>
              </w:rPr>
            </w:pPr>
            <w:r>
              <w:rPr>
                <w:sz w:val="18"/>
              </w:rPr>
              <w:t>Construyendo en espacio</w:t>
            </w:r>
          </w:p>
        </w:tc>
        <w:tc>
          <w:tcPr>
            <w:tcW w:w="3262" w:type="dxa"/>
          </w:tcPr>
          <w:p>
            <w:pPr>
              <w:pStyle w:val="TableParagraph"/>
              <w:spacing w:line="357" w:lineRule="auto"/>
              <w:ind w:left="231" w:right="236"/>
              <w:jc w:val="center"/>
              <w:rPr>
                <w:sz w:val="18"/>
              </w:rPr>
            </w:pPr>
            <w:r>
              <w:rPr>
                <w:sz w:val="18"/>
              </w:rPr>
              <w:t>Química: la construcción de moléculas</w:t>
            </w:r>
          </w:p>
          <w:p>
            <w:pPr>
              <w:pStyle w:val="TableParagraph"/>
              <w:spacing w:line="357" w:lineRule="auto" w:before="6"/>
              <w:ind w:left="239" w:right="236"/>
              <w:jc w:val="center"/>
              <w:rPr>
                <w:sz w:val="18"/>
              </w:rPr>
            </w:pPr>
            <w:r>
              <w:rPr>
                <w:sz w:val="18"/>
              </w:rPr>
              <w:t>Farmacia: edificio personalizada medicina</w:t>
            </w:r>
          </w:p>
        </w:tc>
      </w:tr>
    </w:tbl>
    <w:p>
      <w:pPr>
        <w:spacing w:line="206" w:lineRule="exact" w:before="0"/>
        <w:ind w:left="1090" w:right="1089" w:firstLine="0"/>
        <w:jc w:val="center"/>
        <w:rPr>
          <w:sz w:val="18"/>
        </w:rPr>
      </w:pPr>
      <w:r>
        <w:rPr>
          <w:sz w:val="18"/>
        </w:rPr>
        <w:t>(Fuente: Wijk, 2015: 22).</w:t>
      </w:r>
    </w:p>
    <w:p>
      <w:pPr>
        <w:pStyle w:val="BodyText"/>
        <w:rPr>
          <w:sz w:val="18"/>
        </w:rPr>
      </w:pPr>
    </w:p>
    <w:p>
      <w:pPr>
        <w:pStyle w:val="BodyText"/>
        <w:spacing w:before="2"/>
        <w:rPr>
          <w:sz w:val="18"/>
        </w:rPr>
      </w:pPr>
    </w:p>
    <w:p>
      <w:pPr>
        <w:pStyle w:val="BodyText"/>
        <w:spacing w:line="357" w:lineRule="auto"/>
        <w:ind w:left="100"/>
      </w:pPr>
      <w:r>
        <w:rPr/>
        <w:t>Por otro lado Wijk (2015) menciona que en un futuro próximo, productos con las siguientes características serán fabricados por la impresión en 3D:</w:t>
      </w:r>
    </w:p>
    <w:p>
      <w:pPr>
        <w:pStyle w:val="BodyText"/>
      </w:pPr>
    </w:p>
    <w:p>
      <w:pPr>
        <w:pStyle w:val="BodyText"/>
        <w:spacing w:before="145"/>
        <w:ind w:left="100"/>
      </w:pPr>
      <w:r>
        <w:rPr/>
        <w:t>-Los productos producidos en pequeñas cantidades</w:t>
      </w:r>
    </w:p>
    <w:p>
      <w:pPr>
        <w:pStyle w:val="BodyText"/>
        <w:spacing w:before="140"/>
        <w:ind w:left="100"/>
      </w:pPr>
      <w:r>
        <w:rPr/>
        <w:t>-Los productos que necesitan para producir rápidamente</w:t>
      </w:r>
    </w:p>
    <w:p>
      <w:pPr>
        <w:pStyle w:val="BodyText"/>
        <w:spacing w:before="136"/>
        <w:ind w:left="100"/>
      </w:pPr>
      <w:r>
        <w:rPr/>
        <w:t>-Productos con una gran incertidumbre en el mercado volúmenes</w:t>
      </w:r>
    </w:p>
    <w:p>
      <w:pPr>
        <w:pStyle w:val="BodyText"/>
        <w:spacing w:before="140"/>
        <w:ind w:left="100"/>
      </w:pPr>
      <w:r>
        <w:rPr/>
        <w:t>-Productos con un corto ciclo de vida</w:t>
      </w:r>
    </w:p>
    <w:p>
      <w:pPr>
        <w:pStyle w:val="BodyText"/>
        <w:spacing w:before="136"/>
        <w:ind w:left="100"/>
      </w:pPr>
      <w:r>
        <w:rPr/>
        <w:t>-Productos con muchas variaciones, tamaños y colores</w:t>
      </w:r>
    </w:p>
    <w:p>
      <w:pPr>
        <w:pStyle w:val="BodyText"/>
        <w:spacing w:before="140"/>
        <w:ind w:left="100"/>
      </w:pPr>
      <w:r>
        <w:rPr/>
        <w:t>-Los productos complejos y personalizados.</w:t>
      </w:r>
    </w:p>
    <w:p>
      <w:pPr>
        <w:spacing w:after="0"/>
        <w:sectPr>
          <w:pgSz w:w="12240" w:h="15840"/>
          <w:pgMar w:header="0" w:footer="1031" w:top="1360" w:bottom="1220" w:left="1600" w:right="1600"/>
        </w:sectPr>
      </w:pPr>
    </w:p>
    <w:p>
      <w:pPr>
        <w:pStyle w:val="BodyText"/>
        <w:spacing w:line="360" w:lineRule="auto" w:before="55"/>
        <w:ind w:left="100" w:right="104"/>
        <w:jc w:val="both"/>
      </w:pPr>
      <w:r>
        <w:rPr/>
        <w:t>En la impresión 3D se pueden encontrar diversos materiales como la creada por Anthony Giannini para utilizarse en la construcción, como la madera y se puede apreciar en la  </w:t>
      </w:r>
      <w:hyperlink w:history="true" w:anchor="_bookmark64">
        <w:r>
          <w:rPr/>
          <w:t>Figura 2.25</w:t>
        </w:r>
      </w:hyperlink>
    </w:p>
    <w:p>
      <w:pPr>
        <w:pStyle w:val="BodyText"/>
        <w:rPr>
          <w:sz w:val="20"/>
        </w:rPr>
      </w:pPr>
    </w:p>
    <w:p>
      <w:pPr>
        <w:pStyle w:val="BodyText"/>
        <w:spacing w:before="2"/>
        <w:rPr>
          <w:sz w:val="13"/>
        </w:rPr>
      </w:pPr>
      <w:r>
        <w:rPr/>
        <w:drawing>
          <wp:anchor distT="0" distB="0" distL="0" distR="0" allowOverlap="1" layoutInCell="1" locked="0" behindDoc="0" simplePos="0" relativeHeight="1432">
            <wp:simplePos x="0" y="0"/>
            <wp:positionH relativeFrom="page">
              <wp:posOffset>2495550</wp:posOffset>
            </wp:positionH>
            <wp:positionV relativeFrom="paragraph">
              <wp:posOffset>121093</wp:posOffset>
            </wp:positionV>
            <wp:extent cx="2804048" cy="2160270"/>
            <wp:effectExtent l="0" t="0" r="0" b="0"/>
            <wp:wrapTopAndBottom/>
            <wp:docPr id="61" name="image31.jpeg" descr=""/>
            <wp:cNvGraphicFramePr>
              <a:graphicFrameLocks noChangeAspect="1"/>
            </wp:cNvGraphicFramePr>
            <a:graphic>
              <a:graphicData uri="http://schemas.openxmlformats.org/drawingml/2006/picture">
                <pic:pic>
                  <pic:nvPicPr>
                    <pic:cNvPr id="62" name="image31.jpeg"/>
                    <pic:cNvPicPr/>
                  </pic:nvPicPr>
                  <pic:blipFill>
                    <a:blip r:embed="rId63" cstate="print"/>
                    <a:stretch>
                      <a:fillRect/>
                    </a:stretch>
                  </pic:blipFill>
                  <pic:spPr>
                    <a:xfrm>
                      <a:off x="0" y="0"/>
                      <a:ext cx="2804048" cy="2160270"/>
                    </a:xfrm>
                    <a:prstGeom prst="rect">
                      <a:avLst/>
                    </a:prstGeom>
                  </pic:spPr>
                </pic:pic>
              </a:graphicData>
            </a:graphic>
          </wp:anchor>
        </w:drawing>
      </w:r>
    </w:p>
    <w:p>
      <w:pPr>
        <w:spacing w:before="43"/>
        <w:ind w:left="1316" w:right="1091" w:firstLine="6"/>
        <w:jc w:val="center"/>
        <w:rPr>
          <w:sz w:val="18"/>
        </w:rPr>
      </w:pPr>
      <w:bookmarkStart w:name="_bookmark64" w:id="102"/>
      <w:bookmarkEnd w:id="102"/>
      <w:r>
        <w:rPr/>
      </w:r>
      <w:r>
        <w:rPr>
          <w:sz w:val="18"/>
        </w:rPr>
        <w:t>Figura 2.25. Bloque de madera impresa en 3D, como material de construcción. La madera está hecha de residuos agrícolas reciclados. Creado por Anthony</w:t>
      </w:r>
      <w:r>
        <w:rPr>
          <w:spacing w:val="-23"/>
          <w:sz w:val="18"/>
        </w:rPr>
        <w:t> </w:t>
      </w:r>
      <w:r>
        <w:rPr>
          <w:sz w:val="18"/>
        </w:rPr>
        <w:t>Giannini. (Fuente: Bryden, 2014:</w:t>
      </w:r>
      <w:r>
        <w:rPr>
          <w:spacing w:val="-6"/>
          <w:sz w:val="18"/>
        </w:rPr>
        <w:t> </w:t>
      </w:r>
      <w:r>
        <w:rPr>
          <w:sz w:val="18"/>
        </w:rPr>
        <w:t>131).</w:t>
      </w:r>
    </w:p>
    <w:p>
      <w:pPr>
        <w:pStyle w:val="BodyText"/>
        <w:rPr>
          <w:sz w:val="18"/>
        </w:rPr>
      </w:pPr>
    </w:p>
    <w:p>
      <w:pPr>
        <w:pStyle w:val="BodyText"/>
        <w:rPr>
          <w:sz w:val="18"/>
        </w:rPr>
      </w:pPr>
    </w:p>
    <w:p>
      <w:pPr>
        <w:pStyle w:val="BodyText"/>
        <w:spacing w:before="1"/>
        <w:rPr>
          <w:sz w:val="17"/>
        </w:rPr>
      </w:pPr>
    </w:p>
    <w:p>
      <w:pPr>
        <w:pStyle w:val="Heading2"/>
        <w:numPr>
          <w:ilvl w:val="1"/>
          <w:numId w:val="23"/>
        </w:numPr>
        <w:tabs>
          <w:tab w:pos="677" w:val="left" w:leader="none"/>
        </w:tabs>
        <w:spacing w:line="240" w:lineRule="auto" w:before="0" w:after="0"/>
        <w:ind w:left="676" w:right="0" w:hanging="576"/>
        <w:jc w:val="both"/>
      </w:pPr>
      <w:bookmarkStart w:name="2.7. Escultura diseñada con Nuevas Tecno" w:id="103"/>
      <w:bookmarkEnd w:id="103"/>
      <w:r>
        <w:rPr/>
      </w:r>
      <w:bookmarkStart w:name="_bookmark65" w:id="104"/>
      <w:bookmarkEnd w:id="104"/>
      <w:r>
        <w:rPr/>
      </w:r>
      <w:bookmarkStart w:name="_bookmark65" w:id="105"/>
      <w:bookmarkEnd w:id="105"/>
      <w:r>
        <w:rPr/>
        <w:t>E</w:t>
      </w:r>
      <w:r>
        <w:rPr/>
        <w:t>scultura diseñada con Nuevas</w:t>
      </w:r>
      <w:r>
        <w:rPr>
          <w:spacing w:val="-10"/>
        </w:rPr>
        <w:t> </w:t>
      </w:r>
      <w:r>
        <w:rPr/>
        <w:t>Tecnologías</w:t>
      </w:r>
    </w:p>
    <w:p>
      <w:pPr>
        <w:pStyle w:val="BodyText"/>
        <w:rPr>
          <w:sz w:val="28"/>
        </w:rPr>
      </w:pPr>
    </w:p>
    <w:p>
      <w:pPr>
        <w:pStyle w:val="BodyText"/>
        <w:spacing w:before="4"/>
        <w:rPr>
          <w:sz w:val="22"/>
        </w:rPr>
      </w:pPr>
    </w:p>
    <w:p>
      <w:pPr>
        <w:pStyle w:val="BodyText"/>
        <w:spacing w:line="360" w:lineRule="auto"/>
        <w:ind w:left="100" w:right="98"/>
        <w:jc w:val="both"/>
      </w:pPr>
      <w:r>
        <w:rPr/>
        <w:t>En el apartado anterior se describieron los conceptos básicos de PR, el CNC,  corte con chorro de agua, corte láser, corte con plasma, escaner 3D y las impresoras 3D; todo ello con el objetivo de saber en qué consiste su funcionamiento para observar su intervención en procesos de fabricación de escultura en el presente</w:t>
      </w:r>
      <w:r>
        <w:rPr>
          <w:spacing w:val="-24"/>
        </w:rPr>
        <w:t> </w:t>
      </w:r>
      <w:r>
        <w:rPr/>
        <w:t>subcapítulo.</w:t>
      </w:r>
    </w:p>
    <w:p>
      <w:pPr>
        <w:pStyle w:val="BodyText"/>
      </w:pPr>
    </w:p>
    <w:p>
      <w:pPr>
        <w:pStyle w:val="BodyText"/>
        <w:spacing w:line="357" w:lineRule="auto" w:before="142"/>
        <w:ind w:left="100" w:right="109"/>
        <w:jc w:val="both"/>
      </w:pPr>
      <w:r>
        <w:rPr/>
        <w:t>Se partirá con la comprensión del concepto de escultura, se ejemplificará con esculturas que han sido intervenidas con estas herramientas tecnológicas.</w:t>
      </w:r>
    </w:p>
    <w:p>
      <w:pPr>
        <w:spacing w:after="0" w:line="357" w:lineRule="auto"/>
        <w:jc w:val="both"/>
        <w:sectPr>
          <w:pgSz w:w="12240" w:h="15840"/>
          <w:pgMar w:header="0" w:footer="1031" w:top="1360" w:bottom="1220" w:left="1600" w:right="1600"/>
        </w:sectPr>
      </w:pPr>
    </w:p>
    <w:p>
      <w:pPr>
        <w:pStyle w:val="Heading2"/>
        <w:numPr>
          <w:ilvl w:val="2"/>
          <w:numId w:val="26"/>
        </w:numPr>
        <w:tabs>
          <w:tab w:pos="897" w:val="left" w:leader="none"/>
        </w:tabs>
        <w:spacing w:line="240" w:lineRule="auto" w:before="49" w:after="0"/>
        <w:ind w:left="821" w:right="0" w:hanging="721"/>
        <w:jc w:val="both"/>
      </w:pPr>
      <w:bookmarkStart w:name="2.7.1.  Concepto de escultura" w:id="106"/>
      <w:bookmarkEnd w:id="106"/>
      <w:r>
        <w:rPr/>
      </w:r>
      <w:bookmarkStart w:name="_bookmark66" w:id="107"/>
      <w:bookmarkEnd w:id="107"/>
      <w:r>
        <w:rPr/>
        <w:t>C</w:t>
      </w:r>
      <w:r>
        <w:rPr/>
        <w:t>oncepto de</w:t>
      </w:r>
      <w:r>
        <w:rPr>
          <w:spacing w:val="-7"/>
        </w:rPr>
        <w:t> </w:t>
      </w:r>
      <w:r>
        <w:rPr/>
        <w:t>escultura</w:t>
      </w:r>
    </w:p>
    <w:p>
      <w:pPr>
        <w:pStyle w:val="BodyText"/>
        <w:rPr>
          <w:sz w:val="28"/>
        </w:rPr>
      </w:pPr>
    </w:p>
    <w:p>
      <w:pPr>
        <w:pStyle w:val="BodyText"/>
        <w:spacing w:before="8"/>
        <w:rPr>
          <w:sz w:val="22"/>
        </w:rPr>
      </w:pPr>
    </w:p>
    <w:p>
      <w:pPr>
        <w:pStyle w:val="BodyText"/>
        <w:spacing w:line="357" w:lineRule="auto"/>
        <w:ind w:left="100" w:right="101"/>
        <w:jc w:val="both"/>
      </w:pPr>
      <w:r>
        <w:rPr/>
        <w:t>Para conceptualizar escultura nos fundamentaremos en Martín, Fernández, Calvo y Matía.</w:t>
      </w:r>
    </w:p>
    <w:p>
      <w:pPr>
        <w:pStyle w:val="BodyText"/>
      </w:pPr>
    </w:p>
    <w:p>
      <w:pPr>
        <w:pStyle w:val="BodyText"/>
        <w:spacing w:line="360" w:lineRule="auto" w:before="141"/>
        <w:ind w:left="100" w:right="105"/>
        <w:jc w:val="both"/>
      </w:pPr>
      <w:r>
        <w:rPr/>
        <w:t>En su obra </w:t>
      </w:r>
      <w:r>
        <w:rPr>
          <w:i/>
        </w:rPr>
        <w:t>Las claves de la escultura</w:t>
      </w:r>
      <w:r>
        <w:rPr/>
        <w:t>, conceptualiza de manera tradicional a la Escultura como el proceso de representación de una figura en tres dimensiones, es sólido, tridimensional y ocupa un espacio (Martín, 1995). También suma los conceptos de agregar y quitar material con materiales blandos como la cera, arcilla y</w:t>
      </w:r>
      <w:r>
        <w:rPr>
          <w:spacing w:val="-9"/>
        </w:rPr>
        <w:t> </w:t>
      </w:r>
      <w:r>
        <w:rPr/>
        <w:t>yeso.</w:t>
      </w:r>
    </w:p>
    <w:p>
      <w:pPr>
        <w:pStyle w:val="BodyText"/>
      </w:pPr>
    </w:p>
    <w:p>
      <w:pPr>
        <w:pStyle w:val="BodyText"/>
        <w:spacing w:line="360" w:lineRule="auto" w:before="142"/>
        <w:ind w:left="100" w:right="107"/>
        <w:jc w:val="both"/>
      </w:pPr>
      <w:r>
        <w:rPr/>
        <w:t>Un concepto diferente que define a la escultura es como un juego de vacíos y llenos, de positivos y negativos, pero no de espacios (Fernández, 1996). Él concluye como formas tridimensionales sobre la materia.</w:t>
      </w:r>
    </w:p>
    <w:p>
      <w:pPr>
        <w:pStyle w:val="BodyText"/>
      </w:pPr>
    </w:p>
    <w:p>
      <w:pPr>
        <w:pStyle w:val="BodyText"/>
        <w:spacing w:line="360" w:lineRule="auto" w:before="142"/>
        <w:ind w:left="100" w:right="101"/>
        <w:jc w:val="both"/>
      </w:pPr>
      <w:r>
        <w:rPr/>
        <w:t>Con enfoque hacia las técnicas tradicionales Calvo (1997), la define como el arte de modelar o tallar figuras y objetos, en relieve o en bulto redondo (en sus tres dimensiones), en piedra, mármol, madera, barro, bronce, metales preciosos,  marfil, hueso y que de entre todos los materiales empleados en escultura, los </w:t>
      </w:r>
      <w:r>
        <w:rPr>
          <w:spacing w:val="-2"/>
        </w:rPr>
        <w:t>más </w:t>
      </w:r>
      <w:r>
        <w:rPr/>
        <w:t>importantes son la madera, la piedra o el mármol, y el</w:t>
      </w:r>
      <w:r>
        <w:rPr>
          <w:spacing w:val="-34"/>
        </w:rPr>
        <w:t> </w:t>
      </w:r>
      <w:r>
        <w:rPr/>
        <w:t>bronce.</w:t>
      </w:r>
    </w:p>
    <w:p>
      <w:pPr>
        <w:pStyle w:val="BodyText"/>
      </w:pPr>
    </w:p>
    <w:p>
      <w:pPr>
        <w:pStyle w:val="BodyText"/>
        <w:spacing w:line="360" w:lineRule="auto" w:before="142"/>
        <w:ind w:left="100" w:right="99"/>
        <w:jc w:val="both"/>
      </w:pPr>
      <w:r>
        <w:rPr/>
        <w:t>El término escultura sirve para nominar el arte de producir como la obra en sí misma (Matía et al., 2009: 9-11) ocupando las acepciones de modelar, tallar y esculpir. En la escultura son utilizados los materiales plásticos como se muestra  en la siguiente </w:t>
      </w:r>
      <w:hyperlink w:history="true" w:anchor="_bookmark67">
        <w:r>
          <w:rPr/>
          <w:t>Tabla</w:t>
        </w:r>
        <w:r>
          <w:rPr>
            <w:spacing w:val="-14"/>
          </w:rPr>
          <w:t> </w:t>
        </w:r>
        <w:r>
          <w:rPr/>
          <w:t>2.8</w:t>
        </w:r>
      </w:hyperlink>
      <w:r>
        <w:rPr/>
        <w:t>.</w:t>
      </w:r>
    </w:p>
    <w:p>
      <w:pPr>
        <w:pStyle w:val="BodyText"/>
      </w:pPr>
    </w:p>
    <w:p>
      <w:pPr>
        <w:spacing w:before="138"/>
        <w:ind w:left="2373" w:right="0" w:firstLine="0"/>
        <w:jc w:val="left"/>
        <w:rPr>
          <w:sz w:val="18"/>
        </w:rPr>
      </w:pPr>
      <w:bookmarkStart w:name="_bookmark67" w:id="108"/>
      <w:bookmarkEnd w:id="108"/>
      <w:r>
        <w:rPr/>
      </w:r>
      <w:r>
        <w:rPr>
          <w:sz w:val="18"/>
        </w:rPr>
        <w:t>Tabla 2.8. Forma de trabajo con los materiales plásticos.</w:t>
      </w:r>
    </w:p>
    <w:tbl>
      <w:tblPr>
        <w:tblW w:w="0" w:type="auto"/>
        <w:jc w:val="left"/>
        <w:tblInd w:w="151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985"/>
        <w:gridCol w:w="3685"/>
      </w:tblGrid>
      <w:tr>
        <w:trPr>
          <w:trHeight w:val="320" w:hRule="exact"/>
        </w:trPr>
        <w:tc>
          <w:tcPr>
            <w:tcW w:w="1985" w:type="dxa"/>
          </w:tcPr>
          <w:p>
            <w:pPr>
              <w:pStyle w:val="TableParagraph"/>
              <w:spacing w:line="206" w:lineRule="exact"/>
              <w:ind w:left="397" w:right="397"/>
              <w:jc w:val="center"/>
              <w:rPr>
                <w:sz w:val="18"/>
              </w:rPr>
            </w:pPr>
            <w:r>
              <w:rPr>
                <w:sz w:val="18"/>
              </w:rPr>
              <w:t>Material</w:t>
            </w:r>
          </w:p>
        </w:tc>
        <w:tc>
          <w:tcPr>
            <w:tcW w:w="3685" w:type="dxa"/>
          </w:tcPr>
          <w:p>
            <w:pPr>
              <w:pStyle w:val="TableParagraph"/>
              <w:spacing w:line="206" w:lineRule="exact"/>
              <w:ind w:left="1052" w:right="274"/>
              <w:rPr>
                <w:sz w:val="18"/>
              </w:rPr>
            </w:pPr>
            <w:r>
              <w:rPr>
                <w:sz w:val="18"/>
              </w:rPr>
              <w:t>Forma de trabajarlo</w:t>
            </w:r>
          </w:p>
        </w:tc>
      </w:tr>
      <w:tr>
        <w:trPr>
          <w:trHeight w:val="633" w:hRule="exact"/>
        </w:trPr>
        <w:tc>
          <w:tcPr>
            <w:tcW w:w="1985" w:type="dxa"/>
          </w:tcPr>
          <w:p>
            <w:pPr>
              <w:pStyle w:val="TableParagraph"/>
              <w:spacing w:line="206" w:lineRule="exact"/>
              <w:ind w:left="397" w:right="397"/>
              <w:jc w:val="center"/>
              <w:rPr>
                <w:sz w:val="18"/>
              </w:rPr>
            </w:pPr>
            <w:r>
              <w:rPr>
                <w:sz w:val="18"/>
              </w:rPr>
              <w:t>Acrílicos</w:t>
            </w:r>
          </w:p>
        </w:tc>
        <w:tc>
          <w:tcPr>
            <w:tcW w:w="3685" w:type="dxa"/>
          </w:tcPr>
          <w:p>
            <w:pPr>
              <w:pStyle w:val="TableParagraph"/>
              <w:spacing w:line="362" w:lineRule="auto"/>
              <w:ind w:left="700" w:right="274" w:hanging="408"/>
              <w:rPr>
                <w:sz w:val="18"/>
              </w:rPr>
            </w:pPr>
            <w:r>
              <w:rPr>
                <w:sz w:val="18"/>
              </w:rPr>
              <w:t>Formas líquidas, formas sólidas, corte, conformado, unión, acabado</w:t>
            </w:r>
          </w:p>
        </w:tc>
      </w:tr>
      <w:tr>
        <w:trPr>
          <w:trHeight w:val="940" w:hRule="exact"/>
        </w:trPr>
        <w:tc>
          <w:tcPr>
            <w:tcW w:w="1985" w:type="dxa"/>
          </w:tcPr>
          <w:p>
            <w:pPr>
              <w:pStyle w:val="TableParagraph"/>
              <w:spacing w:before="8"/>
              <w:rPr>
                <w:sz w:val="26"/>
              </w:rPr>
            </w:pPr>
          </w:p>
          <w:p>
            <w:pPr>
              <w:pStyle w:val="TableParagraph"/>
              <w:ind w:left="397" w:right="398"/>
              <w:jc w:val="center"/>
              <w:rPr>
                <w:sz w:val="18"/>
              </w:rPr>
            </w:pPr>
            <w:r>
              <w:rPr>
                <w:sz w:val="18"/>
              </w:rPr>
              <w:t>Fibra de vidrio</w:t>
            </w:r>
          </w:p>
        </w:tc>
        <w:tc>
          <w:tcPr>
            <w:tcW w:w="3685" w:type="dxa"/>
          </w:tcPr>
          <w:p>
            <w:pPr>
              <w:pStyle w:val="TableParagraph"/>
              <w:spacing w:line="360" w:lineRule="auto"/>
              <w:ind w:left="171" w:right="168" w:hanging="6"/>
              <w:jc w:val="center"/>
              <w:rPr>
                <w:sz w:val="18"/>
              </w:rPr>
            </w:pPr>
            <w:r>
              <w:rPr>
                <w:sz w:val="18"/>
              </w:rPr>
              <w:t>Fibra de vidrio, resina de poliéster, laminado, pulverización, trabajando sobre armaduras</w:t>
            </w:r>
          </w:p>
        </w:tc>
      </w:tr>
    </w:tbl>
    <w:p>
      <w:pPr>
        <w:spacing w:after="0" w:line="360" w:lineRule="auto"/>
        <w:jc w:val="center"/>
        <w:rPr>
          <w:sz w:val="18"/>
        </w:rPr>
        <w:sectPr>
          <w:pgSz w:w="12240" w:h="15840"/>
          <w:pgMar w:header="0" w:footer="1031" w:top="1360" w:bottom="1220" w:left="1600" w:right="1600"/>
        </w:sectPr>
      </w:pPr>
    </w:p>
    <w:tbl>
      <w:tblPr>
        <w:tblW w:w="0" w:type="auto"/>
        <w:jc w:val="left"/>
        <w:tblInd w:w="151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985"/>
        <w:gridCol w:w="3685"/>
      </w:tblGrid>
      <w:tr>
        <w:trPr>
          <w:trHeight w:val="1252" w:hRule="exact"/>
        </w:trPr>
        <w:tc>
          <w:tcPr>
            <w:tcW w:w="1985" w:type="dxa"/>
          </w:tcPr>
          <w:p>
            <w:pPr>
              <w:pStyle w:val="TableParagraph"/>
              <w:spacing w:before="8"/>
              <w:rPr>
                <w:sz w:val="26"/>
              </w:rPr>
            </w:pPr>
          </w:p>
          <w:p>
            <w:pPr>
              <w:pStyle w:val="TableParagraph"/>
              <w:ind w:right="624"/>
              <w:jc w:val="right"/>
              <w:rPr>
                <w:sz w:val="18"/>
              </w:rPr>
            </w:pPr>
            <w:r>
              <w:rPr>
                <w:sz w:val="18"/>
              </w:rPr>
              <w:t>Epóxicos</w:t>
            </w:r>
          </w:p>
        </w:tc>
        <w:tc>
          <w:tcPr>
            <w:tcW w:w="3685" w:type="dxa"/>
          </w:tcPr>
          <w:p>
            <w:pPr>
              <w:pStyle w:val="TableParagraph"/>
              <w:spacing w:line="360" w:lineRule="auto"/>
              <w:ind w:left="135" w:right="140"/>
              <w:jc w:val="center"/>
              <w:rPr>
                <w:sz w:val="18"/>
              </w:rPr>
            </w:pPr>
            <w:r>
              <w:rPr>
                <w:sz w:val="18"/>
              </w:rPr>
              <w:t>Masillas, revestimientos, espumas sólidas, escultura con espuma, modelos y escenarios, espumas líquidos, espumas flexibles</w:t>
            </w:r>
          </w:p>
        </w:tc>
      </w:tr>
      <w:tr>
        <w:trPr>
          <w:trHeight w:val="320" w:hRule="exact"/>
        </w:trPr>
        <w:tc>
          <w:tcPr>
            <w:tcW w:w="1985" w:type="dxa"/>
            <w:tcBorders>
              <w:bottom w:val="single" w:sz="3" w:space="0" w:color="000000"/>
            </w:tcBorders>
          </w:tcPr>
          <w:p>
            <w:pPr>
              <w:pStyle w:val="TableParagraph"/>
              <w:spacing w:line="203" w:lineRule="exact"/>
              <w:ind w:right="678"/>
              <w:jc w:val="right"/>
              <w:rPr>
                <w:sz w:val="18"/>
              </w:rPr>
            </w:pPr>
            <w:r>
              <w:rPr>
                <w:sz w:val="18"/>
              </w:rPr>
              <w:t>Caucho</w:t>
            </w:r>
          </w:p>
        </w:tc>
        <w:tc>
          <w:tcPr>
            <w:tcW w:w="3685" w:type="dxa"/>
            <w:tcBorders>
              <w:bottom w:val="single" w:sz="3" w:space="0" w:color="000000"/>
            </w:tcBorders>
          </w:tcPr>
          <w:p>
            <w:pPr>
              <w:pStyle w:val="TableParagraph"/>
              <w:spacing w:line="203" w:lineRule="exact"/>
              <w:ind w:left="1064" w:right="274"/>
              <w:rPr>
                <w:sz w:val="18"/>
              </w:rPr>
            </w:pPr>
            <w:r>
              <w:rPr>
                <w:sz w:val="18"/>
              </w:rPr>
              <w:t>Moldes y acabados</w:t>
            </w:r>
          </w:p>
        </w:tc>
      </w:tr>
    </w:tbl>
    <w:p>
      <w:pPr>
        <w:spacing w:line="203" w:lineRule="exact" w:before="0"/>
        <w:ind w:left="1008" w:right="1029" w:firstLine="0"/>
        <w:jc w:val="center"/>
        <w:rPr>
          <w:sz w:val="18"/>
        </w:rPr>
      </w:pPr>
      <w:r>
        <w:rPr>
          <w:sz w:val="18"/>
        </w:rPr>
        <w:t>(Fuente: Langland, 1999).</w:t>
      </w:r>
    </w:p>
    <w:p>
      <w:pPr>
        <w:pStyle w:val="BodyText"/>
        <w:rPr>
          <w:sz w:val="18"/>
        </w:rPr>
      </w:pPr>
    </w:p>
    <w:p>
      <w:pPr>
        <w:pStyle w:val="BodyText"/>
        <w:rPr>
          <w:sz w:val="18"/>
        </w:rPr>
      </w:pPr>
    </w:p>
    <w:p>
      <w:pPr>
        <w:pStyle w:val="BodyText"/>
        <w:spacing w:line="360" w:lineRule="auto" w:before="106"/>
        <w:ind w:left="100" w:right="118"/>
        <w:jc w:val="both"/>
      </w:pPr>
      <w:r>
        <w:rPr/>
        <w:t>Actualmente el término escultura integra conceptos como: arte-objeto, instalación, performance e intervenciones en el espacio. Comprender la escultura implica identificar sus principales valores como comunicación, emoción, creación e innovación. Pero no solo se cierra en ese tipo de escultura, Matía (2009) también dice que la escultura es como decía Lehmbruck “la esencia de las cosas, de la naturaleza y de lo eternamente humano”, las conexiones entre el hombre y el mundo, esto lo menciona por las posibilidades escultóricas que ofrece el </w:t>
      </w:r>
      <w:r>
        <w:rPr>
          <w:i/>
        </w:rPr>
        <w:t>Land Art </w:t>
      </w:r>
      <w:r>
        <w:rPr/>
        <w:t>y </w:t>
      </w:r>
      <w:r>
        <w:rPr>
          <w:i/>
        </w:rPr>
        <w:t>Earth</w:t>
      </w:r>
      <w:r>
        <w:rPr>
          <w:i/>
          <w:spacing w:val="-6"/>
        </w:rPr>
        <w:t> </w:t>
      </w:r>
      <w:r>
        <w:rPr>
          <w:i/>
        </w:rPr>
        <w:t>Works</w:t>
      </w:r>
      <w:r>
        <w:rPr/>
        <w:t>.</w:t>
      </w:r>
    </w:p>
    <w:p>
      <w:pPr>
        <w:pStyle w:val="BodyText"/>
      </w:pPr>
    </w:p>
    <w:p>
      <w:pPr>
        <w:pStyle w:val="BodyText"/>
        <w:spacing w:line="360" w:lineRule="auto" w:before="146"/>
        <w:ind w:left="100" w:right="128"/>
        <w:jc w:val="both"/>
      </w:pPr>
      <w:r>
        <w:rPr/>
        <w:t>La escultura la podemos clasificar por materiales, técnica, estilos, formas y formatos. En párrafos anteriores vimos los materiales tradicionales junto con las técnicas. En este apartado solamente se abordaran estilos, formas y formatos, puesto que están relacionados. Obsérvese la </w:t>
      </w:r>
      <w:hyperlink w:history="true" w:anchor="_bookmark68">
        <w:r>
          <w:rPr/>
          <w:t>Figura 2.26</w:t>
        </w:r>
      </w:hyperlink>
    </w:p>
    <w:p>
      <w:pPr>
        <w:pStyle w:val="BodyText"/>
        <w:rPr>
          <w:sz w:val="20"/>
        </w:rPr>
      </w:pPr>
    </w:p>
    <w:p>
      <w:pPr>
        <w:pStyle w:val="BodyText"/>
        <w:spacing w:before="10"/>
        <w:rPr>
          <w:sz w:val="12"/>
        </w:rPr>
      </w:pPr>
      <w:r>
        <w:rPr/>
        <w:drawing>
          <wp:anchor distT="0" distB="0" distL="0" distR="0" allowOverlap="1" layoutInCell="1" locked="0" behindDoc="0" simplePos="0" relativeHeight="1456">
            <wp:simplePos x="0" y="0"/>
            <wp:positionH relativeFrom="page">
              <wp:posOffset>2518664</wp:posOffset>
            </wp:positionH>
            <wp:positionV relativeFrom="paragraph">
              <wp:posOffset>118934</wp:posOffset>
            </wp:positionV>
            <wp:extent cx="2727750" cy="1576863"/>
            <wp:effectExtent l="0" t="0" r="0" b="0"/>
            <wp:wrapTopAndBottom/>
            <wp:docPr id="63" name="image32.png" descr=""/>
            <wp:cNvGraphicFramePr>
              <a:graphicFrameLocks noChangeAspect="1"/>
            </wp:cNvGraphicFramePr>
            <a:graphic>
              <a:graphicData uri="http://schemas.openxmlformats.org/drawingml/2006/picture">
                <pic:pic>
                  <pic:nvPicPr>
                    <pic:cNvPr id="64" name="image32.png"/>
                    <pic:cNvPicPr/>
                  </pic:nvPicPr>
                  <pic:blipFill>
                    <a:blip r:embed="rId64" cstate="print"/>
                    <a:stretch>
                      <a:fillRect/>
                    </a:stretch>
                  </pic:blipFill>
                  <pic:spPr>
                    <a:xfrm>
                      <a:off x="0" y="0"/>
                      <a:ext cx="2727750" cy="1576863"/>
                    </a:xfrm>
                    <a:prstGeom prst="rect">
                      <a:avLst/>
                    </a:prstGeom>
                  </pic:spPr>
                </pic:pic>
              </a:graphicData>
            </a:graphic>
          </wp:anchor>
        </w:drawing>
      </w:r>
    </w:p>
    <w:p>
      <w:pPr>
        <w:spacing w:before="77"/>
        <w:ind w:left="1497" w:right="235" w:firstLine="0"/>
        <w:jc w:val="left"/>
        <w:rPr>
          <w:sz w:val="18"/>
        </w:rPr>
      </w:pPr>
      <w:bookmarkStart w:name="_bookmark68" w:id="109"/>
      <w:bookmarkEnd w:id="109"/>
      <w:r>
        <w:rPr/>
      </w:r>
      <w:r>
        <w:rPr>
          <w:sz w:val="18"/>
        </w:rPr>
        <w:t>Figura 2.26. Clasificación de estilos de escultura. (Fuente: elaboración propia).</w:t>
      </w:r>
    </w:p>
    <w:p>
      <w:pPr>
        <w:pStyle w:val="BodyText"/>
        <w:rPr>
          <w:sz w:val="18"/>
        </w:rPr>
      </w:pPr>
    </w:p>
    <w:p>
      <w:pPr>
        <w:pStyle w:val="BodyText"/>
        <w:spacing w:before="6"/>
        <w:rPr>
          <w:sz w:val="18"/>
        </w:rPr>
      </w:pPr>
    </w:p>
    <w:p>
      <w:pPr>
        <w:pStyle w:val="BodyText"/>
        <w:spacing w:line="360" w:lineRule="auto"/>
        <w:ind w:left="100" w:right="117"/>
        <w:jc w:val="both"/>
      </w:pPr>
      <w:r>
        <w:rPr/>
        <w:t>De acuerdo a las formas que manifiesta la escultura son: formas abiertas y cerradas. Los formatos son tres: pequeño formato (o de escritorio) que va de los 30</w:t>
      </w:r>
      <w:r>
        <w:rPr>
          <w:spacing w:val="16"/>
        </w:rPr>
        <w:t> </w:t>
      </w:r>
      <w:r>
        <w:rPr/>
        <w:t>cm</w:t>
      </w:r>
      <w:r>
        <w:rPr>
          <w:spacing w:val="18"/>
        </w:rPr>
        <w:t> </w:t>
      </w:r>
      <w:r>
        <w:rPr/>
        <w:t>hacia</w:t>
      </w:r>
      <w:r>
        <w:rPr>
          <w:spacing w:val="16"/>
        </w:rPr>
        <w:t> </w:t>
      </w:r>
      <w:r>
        <w:rPr/>
        <w:t>abajo,</w:t>
      </w:r>
      <w:r>
        <w:rPr>
          <w:spacing w:val="22"/>
        </w:rPr>
        <w:t> </w:t>
      </w:r>
      <w:r>
        <w:rPr/>
        <w:t>mediano</w:t>
      </w:r>
      <w:r>
        <w:rPr>
          <w:spacing w:val="16"/>
        </w:rPr>
        <w:t> </w:t>
      </w:r>
      <w:r>
        <w:rPr/>
        <w:t>formato</w:t>
      </w:r>
      <w:r>
        <w:rPr>
          <w:spacing w:val="23"/>
        </w:rPr>
        <w:t> </w:t>
      </w:r>
      <w:r>
        <w:rPr/>
        <w:t>(o</w:t>
      </w:r>
      <w:r>
        <w:rPr>
          <w:spacing w:val="16"/>
        </w:rPr>
        <w:t> </w:t>
      </w:r>
      <w:r>
        <w:rPr/>
        <w:t>de</w:t>
      </w:r>
      <w:r>
        <w:rPr>
          <w:spacing w:val="16"/>
        </w:rPr>
        <w:t> </w:t>
      </w:r>
      <w:r>
        <w:rPr/>
        <w:t>chimenea),</w:t>
      </w:r>
      <w:r>
        <w:rPr>
          <w:spacing w:val="19"/>
        </w:rPr>
        <w:t> </w:t>
      </w:r>
      <w:r>
        <w:rPr/>
        <w:t>de</w:t>
      </w:r>
      <w:r>
        <w:rPr>
          <w:spacing w:val="16"/>
        </w:rPr>
        <w:t> </w:t>
      </w:r>
      <w:r>
        <w:rPr/>
        <w:t>pedestal</w:t>
      </w:r>
      <w:r>
        <w:rPr>
          <w:spacing w:val="16"/>
        </w:rPr>
        <w:t> </w:t>
      </w:r>
      <w:r>
        <w:rPr/>
        <w:t>que</w:t>
      </w:r>
      <w:r>
        <w:rPr>
          <w:spacing w:val="16"/>
        </w:rPr>
        <w:t> </w:t>
      </w:r>
      <w:r>
        <w:rPr/>
        <w:t>va</w:t>
      </w:r>
      <w:r>
        <w:rPr>
          <w:spacing w:val="20"/>
        </w:rPr>
        <w:t> </w:t>
      </w:r>
      <w:r>
        <w:rPr/>
        <w:t>de</w:t>
      </w:r>
      <w:r>
        <w:rPr>
          <w:spacing w:val="16"/>
        </w:rPr>
        <w:t> </w:t>
      </w:r>
      <w:r>
        <w:rPr/>
        <w:t>los</w:t>
      </w:r>
    </w:p>
    <w:p>
      <w:pPr>
        <w:spacing w:after="0" w:line="360" w:lineRule="auto"/>
        <w:jc w:val="both"/>
        <w:sectPr>
          <w:pgSz w:w="12240" w:h="15840"/>
          <w:pgMar w:header="0" w:footer="1031" w:top="1420" w:bottom="1220" w:left="1600" w:right="1580"/>
        </w:sectPr>
      </w:pPr>
    </w:p>
    <w:p>
      <w:pPr>
        <w:pStyle w:val="BodyText"/>
        <w:spacing w:line="362" w:lineRule="auto" w:before="55"/>
        <w:ind w:left="100" w:right="235"/>
      </w:pPr>
      <w:r>
        <w:rPr/>
        <w:t>30 cm a 1 m., y tamaño natural (parte del tamaño de una figura humana a monumental). Ver </w:t>
      </w:r>
      <w:hyperlink w:history="true" w:anchor="_bookmark69">
        <w:r>
          <w:rPr/>
          <w:t>Tabla 2.9</w:t>
        </w:r>
      </w:hyperlink>
    </w:p>
    <w:p>
      <w:pPr>
        <w:pStyle w:val="BodyText"/>
        <w:spacing w:before="8"/>
        <w:rPr>
          <w:sz w:val="35"/>
        </w:rPr>
      </w:pPr>
    </w:p>
    <w:p>
      <w:pPr>
        <w:spacing w:before="1"/>
        <w:ind w:left="4246" w:right="1195" w:hanging="2825"/>
        <w:jc w:val="left"/>
        <w:rPr>
          <w:sz w:val="18"/>
        </w:rPr>
      </w:pPr>
      <w:bookmarkStart w:name="_bookmark69" w:id="110"/>
      <w:bookmarkEnd w:id="110"/>
      <w:r>
        <w:rPr/>
      </w:r>
      <w:r>
        <w:rPr>
          <w:sz w:val="18"/>
        </w:rPr>
        <w:t>Tabla 2.9. . Recomendación de sistemas de copiado de acuerdo a las formas de escultura.</w:t>
      </w:r>
    </w:p>
    <w:tbl>
      <w:tblPr>
        <w:tblW w:w="0" w:type="auto"/>
        <w:jc w:val="left"/>
        <w:tblInd w:w="76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084"/>
        <w:gridCol w:w="1317"/>
        <w:gridCol w:w="2757"/>
        <w:gridCol w:w="2244"/>
      </w:tblGrid>
      <w:tr>
        <w:trPr>
          <w:trHeight w:val="632" w:hRule="exact"/>
        </w:trPr>
        <w:tc>
          <w:tcPr>
            <w:tcW w:w="1084" w:type="dxa"/>
          </w:tcPr>
          <w:p>
            <w:pPr>
              <w:pStyle w:val="TableParagraph"/>
              <w:spacing w:line="362" w:lineRule="auto"/>
              <w:ind w:left="308" w:right="219" w:hanging="72"/>
              <w:rPr>
                <w:sz w:val="18"/>
              </w:rPr>
            </w:pPr>
            <w:r>
              <w:rPr>
                <w:sz w:val="18"/>
              </w:rPr>
              <w:t>Tipo de forma</w:t>
            </w:r>
          </w:p>
        </w:tc>
        <w:tc>
          <w:tcPr>
            <w:tcW w:w="1317" w:type="dxa"/>
          </w:tcPr>
          <w:p>
            <w:pPr>
              <w:pStyle w:val="TableParagraph"/>
              <w:spacing w:line="206" w:lineRule="exact"/>
              <w:ind w:left="236" w:right="230"/>
              <w:jc w:val="center"/>
              <w:rPr>
                <w:sz w:val="18"/>
              </w:rPr>
            </w:pPr>
            <w:r>
              <w:rPr>
                <w:sz w:val="18"/>
              </w:rPr>
              <w:t>Técnica</w:t>
            </w:r>
          </w:p>
        </w:tc>
        <w:tc>
          <w:tcPr>
            <w:tcW w:w="2757" w:type="dxa"/>
          </w:tcPr>
          <w:p>
            <w:pPr>
              <w:pStyle w:val="TableParagraph"/>
              <w:spacing w:line="206" w:lineRule="exact"/>
              <w:ind w:left="772"/>
              <w:rPr>
                <w:sz w:val="18"/>
              </w:rPr>
            </w:pPr>
            <w:r>
              <w:rPr>
                <w:sz w:val="18"/>
              </w:rPr>
              <w:t>Características</w:t>
            </w:r>
          </w:p>
        </w:tc>
        <w:tc>
          <w:tcPr>
            <w:tcW w:w="2244" w:type="dxa"/>
          </w:tcPr>
          <w:p>
            <w:pPr>
              <w:pStyle w:val="TableParagraph"/>
              <w:spacing w:line="362" w:lineRule="auto"/>
              <w:ind w:left="547" w:right="312" w:hanging="224"/>
              <w:rPr>
                <w:sz w:val="18"/>
              </w:rPr>
            </w:pPr>
            <w:r>
              <w:rPr>
                <w:sz w:val="18"/>
              </w:rPr>
              <w:t>Sistema de copiado recomendable</w:t>
            </w:r>
          </w:p>
        </w:tc>
      </w:tr>
      <w:tr>
        <w:trPr>
          <w:trHeight w:val="944" w:hRule="exact"/>
        </w:trPr>
        <w:tc>
          <w:tcPr>
            <w:tcW w:w="1084" w:type="dxa"/>
          </w:tcPr>
          <w:p>
            <w:pPr>
              <w:pStyle w:val="TableParagraph"/>
              <w:spacing w:before="8"/>
              <w:rPr>
                <w:sz w:val="26"/>
              </w:rPr>
            </w:pPr>
          </w:p>
          <w:p>
            <w:pPr>
              <w:pStyle w:val="TableParagraph"/>
              <w:ind w:left="251"/>
              <w:rPr>
                <w:sz w:val="18"/>
              </w:rPr>
            </w:pPr>
            <w:r>
              <w:rPr>
                <w:sz w:val="18"/>
              </w:rPr>
              <w:t>Abierta</w:t>
            </w:r>
          </w:p>
        </w:tc>
        <w:tc>
          <w:tcPr>
            <w:tcW w:w="1317" w:type="dxa"/>
          </w:tcPr>
          <w:p>
            <w:pPr>
              <w:pStyle w:val="TableParagraph"/>
              <w:spacing w:before="8"/>
              <w:rPr>
                <w:sz w:val="26"/>
              </w:rPr>
            </w:pPr>
          </w:p>
          <w:p>
            <w:pPr>
              <w:pStyle w:val="TableParagraph"/>
              <w:ind w:left="230" w:right="230"/>
              <w:jc w:val="center"/>
              <w:rPr>
                <w:sz w:val="18"/>
              </w:rPr>
            </w:pPr>
            <w:r>
              <w:rPr>
                <w:sz w:val="18"/>
              </w:rPr>
              <w:t>Modelado</w:t>
            </w:r>
          </w:p>
        </w:tc>
        <w:tc>
          <w:tcPr>
            <w:tcW w:w="2757" w:type="dxa"/>
          </w:tcPr>
          <w:p>
            <w:pPr>
              <w:pStyle w:val="TableParagraph"/>
              <w:spacing w:line="360" w:lineRule="auto"/>
              <w:ind w:left="168" w:right="176"/>
              <w:jc w:val="center"/>
              <w:rPr>
                <w:sz w:val="18"/>
              </w:rPr>
            </w:pPr>
            <w:r>
              <w:rPr>
                <w:sz w:val="18"/>
              </w:rPr>
              <w:t>Porque ésta indica la posibilidad de adherir material a esta forma</w:t>
            </w:r>
          </w:p>
        </w:tc>
        <w:tc>
          <w:tcPr>
            <w:tcW w:w="2244" w:type="dxa"/>
          </w:tcPr>
          <w:p>
            <w:pPr>
              <w:pStyle w:val="TableParagraph"/>
              <w:spacing w:before="8"/>
              <w:rPr>
                <w:sz w:val="26"/>
              </w:rPr>
            </w:pPr>
          </w:p>
          <w:p>
            <w:pPr>
              <w:pStyle w:val="TableParagraph"/>
              <w:ind w:left="272" w:right="272"/>
              <w:jc w:val="center"/>
              <w:rPr>
                <w:sz w:val="18"/>
              </w:rPr>
            </w:pPr>
            <w:r>
              <w:rPr>
                <w:sz w:val="18"/>
              </w:rPr>
              <w:t>Ejes coordenados</w:t>
            </w:r>
          </w:p>
        </w:tc>
      </w:tr>
      <w:tr>
        <w:trPr>
          <w:trHeight w:val="940" w:hRule="exact"/>
        </w:trPr>
        <w:tc>
          <w:tcPr>
            <w:tcW w:w="1084" w:type="dxa"/>
          </w:tcPr>
          <w:p>
            <w:pPr>
              <w:pStyle w:val="TableParagraph"/>
              <w:spacing w:before="8"/>
              <w:rPr>
                <w:sz w:val="26"/>
              </w:rPr>
            </w:pPr>
          </w:p>
          <w:p>
            <w:pPr>
              <w:pStyle w:val="TableParagraph"/>
              <w:ind w:left="211"/>
              <w:rPr>
                <w:sz w:val="18"/>
              </w:rPr>
            </w:pPr>
            <w:r>
              <w:rPr>
                <w:sz w:val="18"/>
              </w:rPr>
              <w:t>Cerrada</w:t>
            </w:r>
          </w:p>
        </w:tc>
        <w:tc>
          <w:tcPr>
            <w:tcW w:w="1317" w:type="dxa"/>
          </w:tcPr>
          <w:p>
            <w:pPr>
              <w:pStyle w:val="TableParagraph"/>
              <w:spacing w:before="8"/>
              <w:rPr>
                <w:sz w:val="26"/>
              </w:rPr>
            </w:pPr>
          </w:p>
          <w:p>
            <w:pPr>
              <w:pStyle w:val="TableParagraph"/>
              <w:ind w:left="234" w:right="230"/>
              <w:jc w:val="center"/>
              <w:rPr>
                <w:sz w:val="18"/>
              </w:rPr>
            </w:pPr>
            <w:r>
              <w:rPr>
                <w:sz w:val="18"/>
              </w:rPr>
              <w:t>Talla</w:t>
            </w:r>
          </w:p>
        </w:tc>
        <w:tc>
          <w:tcPr>
            <w:tcW w:w="2757" w:type="dxa"/>
          </w:tcPr>
          <w:p>
            <w:pPr>
              <w:pStyle w:val="TableParagraph"/>
              <w:spacing w:line="360" w:lineRule="auto"/>
              <w:ind w:left="216" w:right="215" w:hanging="5"/>
              <w:jc w:val="center"/>
              <w:rPr>
                <w:sz w:val="18"/>
              </w:rPr>
            </w:pPr>
            <w:r>
              <w:rPr>
                <w:sz w:val="18"/>
              </w:rPr>
              <w:t>Porque al tallar no atenta contra el material, solamente se extrae material</w:t>
            </w:r>
          </w:p>
        </w:tc>
        <w:tc>
          <w:tcPr>
            <w:tcW w:w="2244" w:type="dxa"/>
          </w:tcPr>
          <w:p>
            <w:pPr>
              <w:pStyle w:val="TableParagraph"/>
              <w:spacing w:line="362" w:lineRule="auto"/>
              <w:ind w:left="179" w:right="152" w:hanging="16"/>
              <w:rPr>
                <w:sz w:val="18"/>
              </w:rPr>
            </w:pPr>
            <w:r>
              <w:rPr>
                <w:sz w:val="18"/>
              </w:rPr>
              <w:t>Ángulo de Miguel Ángel y Sistema de Tetraedro</w:t>
            </w:r>
          </w:p>
        </w:tc>
      </w:tr>
      <w:tr>
        <w:trPr>
          <w:trHeight w:val="940" w:hRule="exact"/>
        </w:trPr>
        <w:tc>
          <w:tcPr>
            <w:tcW w:w="1084" w:type="dxa"/>
          </w:tcPr>
          <w:p>
            <w:pPr>
              <w:pStyle w:val="TableParagraph"/>
              <w:spacing w:before="8"/>
              <w:rPr>
                <w:sz w:val="26"/>
              </w:rPr>
            </w:pPr>
          </w:p>
          <w:p>
            <w:pPr>
              <w:pStyle w:val="TableParagraph"/>
              <w:ind w:left="251"/>
              <w:rPr>
                <w:sz w:val="18"/>
              </w:rPr>
            </w:pPr>
            <w:r>
              <w:rPr>
                <w:sz w:val="18"/>
              </w:rPr>
              <w:t>Abierta</w:t>
            </w:r>
          </w:p>
        </w:tc>
        <w:tc>
          <w:tcPr>
            <w:tcW w:w="1317" w:type="dxa"/>
          </w:tcPr>
          <w:p>
            <w:pPr>
              <w:pStyle w:val="TableParagraph"/>
              <w:spacing w:before="8"/>
              <w:rPr>
                <w:sz w:val="26"/>
              </w:rPr>
            </w:pPr>
          </w:p>
          <w:p>
            <w:pPr>
              <w:pStyle w:val="TableParagraph"/>
              <w:ind w:left="237" w:right="230"/>
              <w:jc w:val="center"/>
              <w:rPr>
                <w:sz w:val="18"/>
              </w:rPr>
            </w:pPr>
            <w:r>
              <w:rPr>
                <w:sz w:val="18"/>
              </w:rPr>
              <w:t>Ensamble</w:t>
            </w:r>
          </w:p>
        </w:tc>
        <w:tc>
          <w:tcPr>
            <w:tcW w:w="2757" w:type="dxa"/>
          </w:tcPr>
          <w:p>
            <w:pPr>
              <w:pStyle w:val="TableParagraph"/>
              <w:spacing w:line="362" w:lineRule="auto"/>
              <w:ind w:left="148" w:right="156" w:firstLine="36"/>
              <w:jc w:val="both"/>
              <w:rPr>
                <w:sz w:val="18"/>
              </w:rPr>
            </w:pPr>
            <w:r>
              <w:rPr>
                <w:sz w:val="18"/>
              </w:rPr>
              <w:t>Es constructivo, por medio de uniones de varios materiales o el mismo utilizando plantillas</w:t>
            </w:r>
          </w:p>
        </w:tc>
        <w:tc>
          <w:tcPr>
            <w:tcW w:w="2244" w:type="dxa"/>
          </w:tcPr>
          <w:p>
            <w:pPr>
              <w:pStyle w:val="TableParagraph"/>
              <w:spacing w:line="202" w:lineRule="exact"/>
              <w:ind w:left="272" w:right="272"/>
              <w:jc w:val="center"/>
              <w:rPr>
                <w:sz w:val="18"/>
              </w:rPr>
            </w:pPr>
            <w:r>
              <w:rPr>
                <w:sz w:val="18"/>
              </w:rPr>
              <w:t>Sistema de plantillas</w:t>
            </w:r>
          </w:p>
        </w:tc>
      </w:tr>
    </w:tbl>
    <w:p>
      <w:pPr>
        <w:spacing w:line="206" w:lineRule="exact" w:before="0"/>
        <w:ind w:left="1014" w:right="1029" w:firstLine="0"/>
        <w:jc w:val="center"/>
        <w:rPr>
          <w:sz w:val="18"/>
        </w:rPr>
      </w:pPr>
      <w:r>
        <w:rPr>
          <w:sz w:val="18"/>
        </w:rPr>
        <w:t>(Fuente: García, 2004: 80).</w:t>
      </w:r>
    </w:p>
    <w:p>
      <w:pPr>
        <w:pStyle w:val="BodyText"/>
        <w:rPr>
          <w:sz w:val="18"/>
        </w:rPr>
      </w:pPr>
    </w:p>
    <w:p>
      <w:pPr>
        <w:pStyle w:val="BodyText"/>
        <w:rPr>
          <w:sz w:val="18"/>
        </w:rPr>
      </w:pPr>
    </w:p>
    <w:p>
      <w:pPr>
        <w:pStyle w:val="BodyText"/>
        <w:spacing w:line="360" w:lineRule="auto" w:before="107"/>
        <w:ind w:left="100" w:right="113"/>
        <w:jc w:val="both"/>
      </w:pPr>
      <w:r>
        <w:rPr/>
        <w:t>En dicha tabla se observa que la fabricación o modelado de la escultura requiere de sistemas de copiado ya sea para escala 1:1 o para realizar ampliaciones. Esto es una visión muy clásica de la escultura.</w:t>
      </w:r>
    </w:p>
    <w:p>
      <w:pPr>
        <w:pStyle w:val="BodyText"/>
      </w:pPr>
    </w:p>
    <w:p>
      <w:pPr>
        <w:pStyle w:val="BodyText"/>
        <w:spacing w:before="3"/>
        <w:rPr>
          <w:sz w:val="29"/>
        </w:rPr>
      </w:pPr>
    </w:p>
    <w:p>
      <w:pPr>
        <w:pStyle w:val="Heading2"/>
        <w:numPr>
          <w:ilvl w:val="2"/>
          <w:numId w:val="26"/>
        </w:numPr>
        <w:tabs>
          <w:tab w:pos="897" w:val="left" w:leader="none"/>
          <w:tab w:pos="2276" w:val="left" w:leader="none"/>
          <w:tab w:pos="2883" w:val="left" w:leader="none"/>
          <w:tab w:pos="3739" w:val="left" w:leader="none"/>
          <w:tab w:pos="4498" w:val="left" w:leader="none"/>
          <w:tab w:pos="5518" w:val="left" w:leader="none"/>
          <w:tab w:pos="7102" w:val="left" w:leader="none"/>
          <w:tab w:pos="7706" w:val="left" w:leader="none"/>
        </w:tabs>
        <w:spacing w:line="360" w:lineRule="auto" w:before="0" w:after="0"/>
        <w:ind w:left="821" w:right="117" w:hanging="721"/>
        <w:jc w:val="left"/>
      </w:pPr>
      <w:bookmarkStart w:name="2.7.2.  Casos  de obra que utiliza tecno" w:id="111"/>
      <w:bookmarkEnd w:id="111"/>
      <w:r>
        <w:rPr/>
      </w:r>
      <w:bookmarkStart w:name="_bookmark70" w:id="112"/>
      <w:bookmarkEnd w:id="112"/>
      <w:r>
        <w:rPr/>
        <w:t>C</w:t>
      </w:r>
      <w:r>
        <w:rPr/>
        <w:t>asos</w:t>
        <w:tab/>
        <w:t>de</w:t>
        <w:tab/>
        <w:t>obra</w:t>
        <w:tab/>
        <w:t>que</w:t>
        <w:tab/>
        <w:t>utiliza</w:t>
        <w:tab/>
        <w:t>tecnología</w:t>
        <w:tab/>
        <w:t>de</w:t>
        <w:tab/>
        <w:t>modelado tridimensional</w:t>
      </w:r>
    </w:p>
    <w:p>
      <w:pPr>
        <w:pStyle w:val="BodyText"/>
        <w:spacing w:before="9"/>
        <w:rPr>
          <w:sz w:val="36"/>
        </w:rPr>
      </w:pPr>
    </w:p>
    <w:p>
      <w:pPr>
        <w:pStyle w:val="BodyText"/>
        <w:spacing w:line="357" w:lineRule="auto"/>
        <w:ind w:left="100" w:right="124"/>
        <w:jc w:val="both"/>
      </w:pPr>
      <w:r>
        <w:rPr/>
        <w:t>Iniciaremos mencionando el software, mencionaremos los ejemplos de obra escultórica donde utiliza tecnología de modelado tridimensional.</w:t>
      </w:r>
    </w:p>
    <w:p>
      <w:pPr>
        <w:pStyle w:val="BodyText"/>
      </w:pPr>
    </w:p>
    <w:p>
      <w:pPr>
        <w:pStyle w:val="BodyText"/>
        <w:spacing w:line="360" w:lineRule="auto" w:before="144"/>
        <w:ind w:left="100" w:right="119"/>
        <w:jc w:val="both"/>
      </w:pPr>
      <w:r>
        <w:rPr/>
        <w:t>Makharadza (2013) menciona que la escultura digital ha supuesto un gran avance, tanto ontológico como tecnológico. El autor conceptualiza que los  mundos virtuales que estaban separados del mundo real, a partir de unos programas digitales empiezan a conectarse entre ellos. Finalmente teoriza que los escultores digitales ejecutan sus piezas mediante software de modelado en 3D, como el </w:t>
      </w:r>
      <w:r>
        <w:rPr>
          <w:spacing w:val="53"/>
        </w:rPr>
        <w:t> </w:t>
      </w:r>
      <w:r>
        <w:rPr/>
        <w:t>RP,</w:t>
      </w:r>
    </w:p>
    <w:p>
      <w:pPr>
        <w:spacing w:after="0" w:line="360" w:lineRule="auto"/>
        <w:jc w:val="both"/>
        <w:sectPr>
          <w:pgSz w:w="12240" w:h="15840"/>
          <w:pgMar w:header="0" w:footer="1031" w:top="1360" w:bottom="1220" w:left="1600" w:right="1580"/>
        </w:sectPr>
      </w:pPr>
    </w:p>
    <w:p>
      <w:pPr>
        <w:pStyle w:val="BodyText"/>
        <w:spacing w:line="362" w:lineRule="auto" w:before="55"/>
        <w:ind w:left="100" w:right="121"/>
        <w:jc w:val="both"/>
      </w:pPr>
      <w:r>
        <w:rPr/>
        <w:t>el CNC y otras máquinas que ahora forman parte del equipo estándar de los laboratorios de ingeniería y diseño industrial.</w:t>
      </w:r>
    </w:p>
    <w:p>
      <w:pPr>
        <w:pStyle w:val="BodyText"/>
      </w:pPr>
    </w:p>
    <w:p>
      <w:pPr>
        <w:pStyle w:val="BodyText"/>
        <w:spacing w:line="360" w:lineRule="auto" w:before="139"/>
        <w:ind w:left="100" w:right="120"/>
        <w:jc w:val="both"/>
      </w:pPr>
      <w:r>
        <w:rPr/>
        <w:t>La tecnología de modelado tridimensional es variada, entonces a continuación se enuncian las principales por apartados, únicamente en las que se encontraron obras de tipo escultórico.</w:t>
      </w:r>
    </w:p>
    <w:p>
      <w:pPr>
        <w:pStyle w:val="BodyText"/>
      </w:pPr>
    </w:p>
    <w:p>
      <w:pPr>
        <w:pStyle w:val="BodyText"/>
        <w:spacing w:before="3"/>
        <w:rPr>
          <w:sz w:val="29"/>
        </w:rPr>
      </w:pPr>
    </w:p>
    <w:p>
      <w:pPr>
        <w:pStyle w:val="Heading2"/>
        <w:numPr>
          <w:ilvl w:val="3"/>
          <w:numId w:val="26"/>
        </w:numPr>
        <w:tabs>
          <w:tab w:pos="1593" w:val="left" w:leader="none"/>
        </w:tabs>
        <w:spacing w:line="240" w:lineRule="auto" w:before="0" w:after="0"/>
        <w:ind w:left="1593" w:right="0" w:hanging="1493"/>
        <w:jc w:val="both"/>
      </w:pPr>
      <w:bookmarkStart w:name="2.7.2.1.  Software para modelado tridime" w:id="113"/>
      <w:bookmarkEnd w:id="113"/>
      <w:r>
        <w:rPr/>
      </w:r>
      <w:bookmarkStart w:name="_bookmark71" w:id="114"/>
      <w:bookmarkEnd w:id="114"/>
      <w:r>
        <w:rPr/>
        <w:t>So</w:t>
      </w:r>
      <w:r>
        <w:rPr/>
        <w:t>ftware para modelado</w:t>
      </w:r>
      <w:r>
        <w:rPr>
          <w:spacing w:val="-9"/>
        </w:rPr>
        <w:t> </w:t>
      </w:r>
      <w:r>
        <w:rPr/>
        <w:t>tridimensional</w:t>
      </w:r>
    </w:p>
    <w:p>
      <w:pPr>
        <w:pStyle w:val="BodyText"/>
        <w:rPr>
          <w:sz w:val="28"/>
        </w:rPr>
      </w:pPr>
    </w:p>
    <w:p>
      <w:pPr>
        <w:pStyle w:val="BodyText"/>
        <w:spacing w:before="5"/>
        <w:rPr>
          <w:sz w:val="22"/>
        </w:rPr>
      </w:pPr>
    </w:p>
    <w:p>
      <w:pPr>
        <w:pStyle w:val="BodyText"/>
        <w:spacing w:line="360" w:lineRule="auto"/>
        <w:ind w:left="100" w:right="123"/>
        <w:jc w:val="both"/>
      </w:pPr>
      <w:r>
        <w:rPr/>
        <w:t>En este apartado solamente mencionaremos la herramienta de trabajo o proceso que propone el artista para consumar la obra. Algunos plantean el problema y solución, otros solo se divierten con dichas herramientas digitales.</w:t>
      </w:r>
    </w:p>
    <w:p>
      <w:pPr>
        <w:pStyle w:val="BodyText"/>
      </w:pPr>
    </w:p>
    <w:p>
      <w:pPr>
        <w:pStyle w:val="BodyText"/>
        <w:spacing w:line="360" w:lineRule="auto" w:before="142"/>
        <w:ind w:left="100" w:right="116"/>
        <w:jc w:val="both"/>
      </w:pPr>
      <w:r>
        <w:rPr/>
        <w:t>Fisher (2013) menciona que el cambio de escala del modelo al trabajo real afecta  a una obra de forma tan notable que los intentos de imaginarla mediante los sistemas habituales de modelado resultan con frecuencia engañosos. Este problema se agrava aún </w:t>
      </w:r>
      <w:r>
        <w:rPr>
          <w:spacing w:val="-2"/>
        </w:rPr>
        <w:t>más </w:t>
      </w:r>
      <w:r>
        <w:rPr/>
        <w:t>en el caso de esculturas situadas en espacios interiores cuya contemplación sólo es posible desde ciertas posiciones. El autor reitera que si todavía se agrega a ello añadir los problemas del emplazamiento y del diseño físico de la estructura podremos percibir la dificultad de imaginar, en una fase muy inicial del diseño, lo que será exactamente la obra de arte. Sin embargo, eso es precisamente lo que el artista debe hacer en el caso de </w:t>
      </w:r>
      <w:r>
        <w:rPr>
          <w:spacing w:val="4"/>
        </w:rPr>
        <w:t>la </w:t>
      </w:r>
      <w:r>
        <w:rPr/>
        <w:t>escultura relacionada con la arquitectura</w:t>
      </w:r>
      <w:r>
        <w:rPr>
          <w:spacing w:val="-29"/>
        </w:rPr>
        <w:t> </w:t>
      </w:r>
      <w:r>
        <w:rPr/>
        <w:t>circundante.</w:t>
      </w:r>
    </w:p>
    <w:p>
      <w:pPr>
        <w:pStyle w:val="BodyText"/>
      </w:pPr>
    </w:p>
    <w:p>
      <w:pPr>
        <w:pStyle w:val="BodyText"/>
        <w:spacing w:line="360" w:lineRule="auto" w:before="142"/>
        <w:ind w:left="100" w:right="122"/>
        <w:jc w:val="both"/>
      </w:pPr>
      <w:r>
        <w:rPr/>
        <w:t>Otra desventaja que comenta Fisher es que considera que las maquetas y los demás modos de presentación tradicionales constituyen impedimentos al proceso creativo, que por ejemplo la maqueta tradicional se petrifica y limita un concepto  en una fase muy temprana. Por eso el autor propone la simulación digital  mediante ordenador para que sustituya a la maqueta </w:t>
      </w:r>
      <w:r>
        <w:rPr>
          <w:spacing w:val="-3"/>
        </w:rPr>
        <w:t>y, </w:t>
      </w:r>
      <w:r>
        <w:rPr/>
        <w:t>al mismo tiempo, estar al servicio de la naturaleza abierta del proceso de</w:t>
      </w:r>
      <w:r>
        <w:rPr>
          <w:spacing w:val="-32"/>
        </w:rPr>
        <w:t> </w:t>
      </w:r>
      <w:r>
        <w:rPr/>
        <w:t>diseño.</w:t>
      </w:r>
    </w:p>
    <w:p>
      <w:pPr>
        <w:spacing w:after="0" w:line="360" w:lineRule="auto"/>
        <w:jc w:val="both"/>
        <w:sectPr>
          <w:pgSz w:w="12240" w:h="15840"/>
          <w:pgMar w:header="0" w:footer="1031" w:top="1360" w:bottom="1220" w:left="1600" w:right="1580"/>
        </w:sectPr>
      </w:pPr>
    </w:p>
    <w:p>
      <w:pPr>
        <w:pStyle w:val="BodyText"/>
        <w:spacing w:line="360" w:lineRule="auto" w:before="55"/>
        <w:ind w:left="100" w:right="98"/>
        <w:jc w:val="both"/>
      </w:pPr>
      <w:r>
        <w:rPr/>
        <w:t>Como conclusión a Fisher piensa que le es posible el proceso de diseño de las grandes obras por medio del CAD, en lugar de emplear el tiempo en construir un sólo modelo detallado; él dice "construí" un modelo virtual como simulación visual preliminar fácilmente manipulable y transformable. Él concluye que las aplicaciones realizadas del diseño asistido por ordenador a la escultura se encuentran en fase de evolución. Ejemplo en obra impresa en SLA que se  muestra en la </w:t>
      </w:r>
      <w:hyperlink w:history="true" w:anchor="_bookmark72">
        <w:r>
          <w:rPr/>
          <w:t>Figura 2.27</w:t>
        </w:r>
      </w:hyperlink>
      <w:r>
        <w:rPr/>
        <w:t>, de Kevin</w:t>
      </w:r>
      <w:r>
        <w:rPr>
          <w:spacing w:val="-15"/>
        </w:rPr>
        <w:t> </w:t>
      </w:r>
      <w:r>
        <w:rPr/>
        <w:t>Mack.</w:t>
      </w:r>
    </w:p>
    <w:p>
      <w:pPr>
        <w:pStyle w:val="BodyText"/>
        <w:rPr>
          <w:sz w:val="20"/>
        </w:rPr>
      </w:pPr>
    </w:p>
    <w:p>
      <w:pPr>
        <w:pStyle w:val="BodyText"/>
        <w:spacing w:before="1"/>
        <w:rPr>
          <w:sz w:val="13"/>
        </w:rPr>
      </w:pPr>
      <w:r>
        <w:rPr/>
        <w:drawing>
          <wp:anchor distT="0" distB="0" distL="0" distR="0" allowOverlap="1" layoutInCell="1" locked="0" behindDoc="0" simplePos="0" relativeHeight="1480">
            <wp:simplePos x="0" y="0"/>
            <wp:positionH relativeFrom="page">
              <wp:posOffset>2343150</wp:posOffset>
            </wp:positionH>
            <wp:positionV relativeFrom="paragraph">
              <wp:posOffset>120458</wp:posOffset>
            </wp:positionV>
            <wp:extent cx="3094594" cy="2382774"/>
            <wp:effectExtent l="0" t="0" r="0" b="0"/>
            <wp:wrapTopAndBottom/>
            <wp:docPr id="65" name="image33.jpeg" descr=""/>
            <wp:cNvGraphicFramePr>
              <a:graphicFrameLocks noChangeAspect="1"/>
            </wp:cNvGraphicFramePr>
            <a:graphic>
              <a:graphicData uri="http://schemas.openxmlformats.org/drawingml/2006/picture">
                <pic:pic>
                  <pic:nvPicPr>
                    <pic:cNvPr id="66" name="image33.jpeg"/>
                    <pic:cNvPicPr/>
                  </pic:nvPicPr>
                  <pic:blipFill>
                    <a:blip r:embed="rId65" cstate="print"/>
                    <a:stretch>
                      <a:fillRect/>
                    </a:stretch>
                  </pic:blipFill>
                  <pic:spPr>
                    <a:xfrm>
                      <a:off x="0" y="0"/>
                      <a:ext cx="3094594" cy="2382774"/>
                    </a:xfrm>
                    <a:prstGeom prst="rect">
                      <a:avLst/>
                    </a:prstGeom>
                  </pic:spPr>
                </pic:pic>
              </a:graphicData>
            </a:graphic>
          </wp:anchor>
        </w:drawing>
      </w:r>
    </w:p>
    <w:p>
      <w:pPr>
        <w:spacing w:line="240" w:lineRule="auto" w:before="54"/>
        <w:ind w:left="1425" w:right="1194" w:firstLine="6"/>
        <w:jc w:val="center"/>
        <w:rPr>
          <w:sz w:val="18"/>
        </w:rPr>
      </w:pPr>
      <w:bookmarkStart w:name="_bookmark72" w:id="115"/>
      <w:bookmarkEnd w:id="115"/>
      <w:r>
        <w:rPr/>
      </w:r>
      <w:r>
        <w:rPr>
          <w:sz w:val="18"/>
        </w:rPr>
        <w:t>Figura 2.27. Obra de Kevin Mack llamada Mente permanente sobre la materia, 14x19x7", Impresión 3D en sinterización láser (Fuente: </w:t>
      </w:r>
      <w:hyperlink r:id="rId66">
        <w:r>
          <w:rPr>
            <w:sz w:val="18"/>
          </w:rPr>
          <w:t>http://www.kevinmackart.com/standing-mind-over-matter.html,</w:t>
        </w:r>
      </w:hyperlink>
      <w:r>
        <w:rPr>
          <w:sz w:val="18"/>
        </w:rPr>
        <w:t> consultado 25 de junio de 2013).</w:t>
      </w:r>
    </w:p>
    <w:p>
      <w:pPr>
        <w:pStyle w:val="BodyText"/>
        <w:rPr>
          <w:sz w:val="18"/>
        </w:rPr>
      </w:pPr>
    </w:p>
    <w:p>
      <w:pPr>
        <w:pStyle w:val="BodyText"/>
        <w:spacing w:before="6"/>
        <w:rPr>
          <w:sz w:val="18"/>
        </w:rPr>
      </w:pPr>
    </w:p>
    <w:p>
      <w:pPr>
        <w:pStyle w:val="BodyText"/>
        <w:spacing w:line="360" w:lineRule="auto"/>
        <w:ind w:left="100" w:right="99"/>
        <w:jc w:val="both"/>
      </w:pPr>
      <w:r>
        <w:rPr/>
        <w:t>Schwartz, M. (2011), un caso creativo de cómo utiliza estas herramientas NT es la muestra de instalación escultórica del artista en “</w:t>
      </w:r>
      <w:r>
        <w:rPr>
          <w:i/>
        </w:rPr>
        <w:t>Sculptural Motion Gallery </w:t>
      </w:r>
      <w:r>
        <w:rPr>
          <w:i/>
        </w:rPr>
        <w:t>Installation</w:t>
      </w:r>
      <w:r>
        <w:rPr/>
        <w:t>”, (Instalación escultórica galería en movimiento), que consistió en colocar las piezas sobre pedestales y un monitor mostrando el video del proceso de digitalizado de las personas, bailarines en movimiento. Ver </w:t>
      </w:r>
      <w:hyperlink w:history="true" w:anchor="_bookmark73">
        <w:r>
          <w:rPr/>
          <w:t>Figura 2.28</w:t>
        </w:r>
      </w:hyperlink>
    </w:p>
    <w:p>
      <w:pPr>
        <w:spacing w:after="0" w:line="360" w:lineRule="auto"/>
        <w:jc w:val="both"/>
        <w:sectPr>
          <w:pgSz w:w="12240" w:h="15840"/>
          <w:pgMar w:header="0" w:footer="1031" w:top="1360" w:bottom="1220" w:left="1600" w:right="1600"/>
        </w:sectPr>
      </w:pPr>
    </w:p>
    <w:p>
      <w:pPr>
        <w:pStyle w:val="BodyText"/>
        <w:ind w:left="2462"/>
        <w:rPr>
          <w:sz w:val="20"/>
        </w:rPr>
      </w:pPr>
      <w:r>
        <w:rPr>
          <w:sz w:val="20"/>
        </w:rPr>
        <w:drawing>
          <wp:inline distT="0" distB="0" distL="0" distR="0">
            <wp:extent cx="2621190" cy="1752980"/>
            <wp:effectExtent l="0" t="0" r="0" b="0"/>
            <wp:docPr id="67" name="image34.jpeg" descr=""/>
            <wp:cNvGraphicFramePr>
              <a:graphicFrameLocks noChangeAspect="1"/>
            </wp:cNvGraphicFramePr>
            <a:graphic>
              <a:graphicData uri="http://schemas.openxmlformats.org/drawingml/2006/picture">
                <pic:pic>
                  <pic:nvPicPr>
                    <pic:cNvPr id="68" name="image34.jpeg"/>
                    <pic:cNvPicPr/>
                  </pic:nvPicPr>
                  <pic:blipFill>
                    <a:blip r:embed="rId67" cstate="print"/>
                    <a:stretch>
                      <a:fillRect/>
                    </a:stretch>
                  </pic:blipFill>
                  <pic:spPr>
                    <a:xfrm>
                      <a:off x="0" y="0"/>
                      <a:ext cx="2621190" cy="1752980"/>
                    </a:xfrm>
                    <a:prstGeom prst="rect">
                      <a:avLst/>
                    </a:prstGeom>
                  </pic:spPr>
                </pic:pic>
              </a:graphicData>
            </a:graphic>
          </wp:inline>
        </w:drawing>
      </w:r>
      <w:r>
        <w:rPr>
          <w:sz w:val="20"/>
        </w:rPr>
      </w:r>
    </w:p>
    <w:p>
      <w:pPr>
        <w:spacing w:before="95"/>
        <w:ind w:left="1901" w:right="1688" w:hanging="10"/>
        <w:jc w:val="center"/>
        <w:rPr>
          <w:sz w:val="18"/>
        </w:rPr>
      </w:pPr>
      <w:bookmarkStart w:name="_bookmark73" w:id="116"/>
      <w:bookmarkEnd w:id="116"/>
      <w:r>
        <w:rPr/>
      </w:r>
      <w:r>
        <w:rPr>
          <w:sz w:val="18"/>
        </w:rPr>
        <w:t>Figura 2.28. Instalación escultórica galería en movimiento (Fuente: </w:t>
      </w:r>
      <w:hyperlink r:id="rId68">
        <w:r>
          <w:rPr>
            <w:sz w:val="18"/>
          </w:rPr>
          <w:t>http://www.smartsculpture.com/2011/04/sculptural-motion-gallery-</w:t>
        </w:r>
      </w:hyperlink>
      <w:r>
        <w:rPr>
          <w:sz w:val="18"/>
        </w:rPr>
        <w:t> </w:t>
      </w:r>
      <w:hyperlink r:id="rId68">
        <w:r>
          <w:rPr>
            <w:sz w:val="18"/>
          </w:rPr>
          <w:t>installation.html?view=classic,</w:t>
        </w:r>
      </w:hyperlink>
      <w:r>
        <w:rPr>
          <w:sz w:val="18"/>
        </w:rPr>
        <w:t>  consultado el  28 de marzo de 2014).</w:t>
      </w:r>
    </w:p>
    <w:p>
      <w:pPr>
        <w:pStyle w:val="BodyText"/>
        <w:rPr>
          <w:sz w:val="18"/>
        </w:rPr>
      </w:pPr>
    </w:p>
    <w:p>
      <w:pPr>
        <w:pStyle w:val="BodyText"/>
        <w:spacing w:before="10"/>
        <w:rPr>
          <w:sz w:val="17"/>
        </w:rPr>
      </w:pPr>
    </w:p>
    <w:p>
      <w:pPr>
        <w:spacing w:line="362" w:lineRule="auto" w:before="0"/>
        <w:ind w:left="100" w:right="119" w:firstLine="0"/>
        <w:jc w:val="both"/>
        <w:rPr>
          <w:sz w:val="24"/>
        </w:rPr>
      </w:pPr>
      <w:r>
        <w:rPr>
          <w:sz w:val="24"/>
        </w:rPr>
        <w:t>El video se puede consultar en línea en YouTube con el título </w:t>
      </w:r>
      <w:r>
        <w:rPr>
          <w:i/>
          <w:sz w:val="22"/>
        </w:rPr>
        <w:t>de </w:t>
      </w:r>
      <w:r>
        <w:rPr>
          <w:i/>
          <w:sz w:val="24"/>
        </w:rPr>
        <w:t>Sculptural  </w:t>
      </w:r>
      <w:r>
        <w:rPr>
          <w:i/>
          <w:sz w:val="24"/>
        </w:rPr>
        <w:t>Motion: A look at performative movements as sculpture, </w:t>
      </w:r>
      <w:r>
        <w:rPr>
          <w:sz w:val="24"/>
        </w:rPr>
        <w:t>donde se muestra el trabajo de software para obtener dicho camino que muestra el movimiento de pies y</w:t>
      </w:r>
      <w:r>
        <w:rPr>
          <w:spacing w:val="-6"/>
          <w:sz w:val="24"/>
        </w:rPr>
        <w:t> </w:t>
      </w:r>
      <w:r>
        <w:rPr>
          <w:sz w:val="24"/>
        </w:rPr>
        <w:t>manos.</w:t>
      </w:r>
    </w:p>
    <w:p>
      <w:pPr>
        <w:pStyle w:val="BodyText"/>
        <w:rPr>
          <w:sz w:val="20"/>
        </w:rPr>
      </w:pPr>
    </w:p>
    <w:p>
      <w:pPr>
        <w:pStyle w:val="BodyText"/>
        <w:spacing w:before="8"/>
        <w:rPr>
          <w:sz w:val="12"/>
        </w:rPr>
      </w:pPr>
      <w:r>
        <w:rPr/>
        <w:drawing>
          <wp:anchor distT="0" distB="0" distL="0" distR="0" allowOverlap="1" layoutInCell="1" locked="0" behindDoc="0" simplePos="0" relativeHeight="1504">
            <wp:simplePos x="0" y="0"/>
            <wp:positionH relativeFrom="page">
              <wp:posOffset>1524000</wp:posOffset>
            </wp:positionH>
            <wp:positionV relativeFrom="paragraph">
              <wp:posOffset>117485</wp:posOffset>
            </wp:positionV>
            <wp:extent cx="4703950" cy="1048512"/>
            <wp:effectExtent l="0" t="0" r="0" b="0"/>
            <wp:wrapTopAndBottom/>
            <wp:docPr id="69" name="image35.png" descr=""/>
            <wp:cNvGraphicFramePr>
              <a:graphicFrameLocks noChangeAspect="1"/>
            </wp:cNvGraphicFramePr>
            <a:graphic>
              <a:graphicData uri="http://schemas.openxmlformats.org/drawingml/2006/picture">
                <pic:pic>
                  <pic:nvPicPr>
                    <pic:cNvPr id="70" name="image35.png"/>
                    <pic:cNvPicPr/>
                  </pic:nvPicPr>
                  <pic:blipFill>
                    <a:blip r:embed="rId69" cstate="print"/>
                    <a:stretch>
                      <a:fillRect/>
                    </a:stretch>
                  </pic:blipFill>
                  <pic:spPr>
                    <a:xfrm>
                      <a:off x="0" y="0"/>
                      <a:ext cx="4703950" cy="1048512"/>
                    </a:xfrm>
                    <a:prstGeom prst="rect">
                      <a:avLst/>
                    </a:prstGeom>
                  </pic:spPr>
                </pic:pic>
              </a:graphicData>
            </a:graphic>
          </wp:anchor>
        </w:drawing>
      </w:r>
    </w:p>
    <w:p>
      <w:pPr>
        <w:spacing w:line="240" w:lineRule="auto" w:before="77"/>
        <w:ind w:left="1240" w:right="1031" w:firstLine="3"/>
        <w:jc w:val="center"/>
        <w:rPr>
          <w:sz w:val="18"/>
        </w:rPr>
      </w:pPr>
      <w:bookmarkStart w:name="_bookmark74" w:id="117"/>
      <w:bookmarkEnd w:id="117"/>
      <w:r>
        <w:rPr/>
      </w:r>
      <w:r>
        <w:rPr>
          <w:sz w:val="18"/>
        </w:rPr>
        <w:t>Figura 2.29. Primera imagen es un seguimiento de las manos de la bailarina SusieThiel, segunda seguimiento de los pies de Schwartz haciendo una patada de división, y tercera seguimiento de los pies para una patada girando por Jorge Renato Peña. (Fuente: </w:t>
      </w:r>
      <w:hyperlink r:id="rId70">
        <w:r>
          <w:rPr>
            <w:sz w:val="18"/>
          </w:rPr>
          <w:t>http://www</w:t>
        </w:r>
      </w:hyperlink>
      <w:hyperlink r:id="rId68">
        <w:r>
          <w:rPr>
            <w:sz w:val="18"/>
          </w:rPr>
          <w:t>.smartsculpture.com/2011/04/sculptural-motion-gallery-</w:t>
        </w:r>
      </w:hyperlink>
      <w:r>
        <w:rPr>
          <w:sz w:val="18"/>
        </w:rPr>
        <w:t> </w:t>
      </w:r>
      <w:hyperlink r:id="rId68">
        <w:r>
          <w:rPr>
            <w:sz w:val="18"/>
          </w:rPr>
          <w:t>installation.html?view=classic,</w:t>
        </w:r>
      </w:hyperlink>
      <w:r>
        <w:rPr>
          <w:sz w:val="18"/>
        </w:rPr>
        <w:t> consultado el  28 de marzo de 2014).</w:t>
      </w:r>
    </w:p>
    <w:p>
      <w:pPr>
        <w:pStyle w:val="BodyText"/>
        <w:rPr>
          <w:sz w:val="18"/>
        </w:rPr>
      </w:pPr>
    </w:p>
    <w:p>
      <w:pPr>
        <w:pStyle w:val="BodyText"/>
        <w:spacing w:before="6"/>
        <w:rPr>
          <w:sz w:val="18"/>
        </w:rPr>
      </w:pPr>
    </w:p>
    <w:p>
      <w:pPr>
        <w:pStyle w:val="BodyText"/>
        <w:spacing w:line="357" w:lineRule="auto" w:before="1"/>
        <w:ind w:left="100" w:right="117"/>
        <w:jc w:val="both"/>
      </w:pPr>
      <w:r>
        <w:rPr/>
        <w:t>Para poder comprender y apreciar el concepto de las piezas escultóricas de la </w:t>
      </w:r>
      <w:hyperlink w:history="true" w:anchor="_bookmark74">
        <w:r>
          <w:rPr/>
          <w:t>Figura 2.29</w:t>
        </w:r>
      </w:hyperlink>
      <w:r>
        <w:rPr/>
        <w:t> de manera completa, es recomendable ver el video mencionado.</w:t>
      </w:r>
    </w:p>
    <w:p>
      <w:pPr>
        <w:pStyle w:val="BodyText"/>
      </w:pPr>
    </w:p>
    <w:p>
      <w:pPr>
        <w:spacing w:line="360" w:lineRule="auto" w:before="142"/>
        <w:ind w:left="809" w:right="120" w:firstLine="0"/>
        <w:jc w:val="both"/>
        <w:rPr>
          <w:i/>
          <w:sz w:val="20"/>
        </w:rPr>
      </w:pPr>
      <w:r>
        <w:rPr>
          <w:i/>
          <w:sz w:val="20"/>
        </w:rPr>
        <w:t>Personas como Étienne-Jules Marey y Eadweard Muybridge hicieron estudios científicos  </w:t>
      </w:r>
      <w:r>
        <w:rPr>
          <w:i/>
          <w:sz w:val="20"/>
        </w:rPr>
        <w:t>de movimiento capturando con una increíble atractivo artístico, y más tarde fue siguiendo, Marcel Duchamp, Peter Jansen, Raphael y Geoffrey Perret Mann. En la era de las computadoras, la más reciente investigación científica es más acerca de la comprensión no sólo cómo las personas entienden el movimiento, sino también cómo las computadoras pueden entender. Mi trabajo es una exploración de cómo vemos el tiempo y el movimiento. Para  explorar  este  concepto, tomé  las artes marciales  como  un movimiento  de  base</w:t>
      </w:r>
      <w:r>
        <w:rPr>
          <w:i/>
          <w:spacing w:val="47"/>
          <w:sz w:val="20"/>
        </w:rPr>
        <w:t> </w:t>
      </w:r>
      <w:r>
        <w:rPr>
          <w:i/>
          <w:sz w:val="20"/>
        </w:rPr>
        <w:t>y</w:t>
      </w:r>
    </w:p>
    <w:p>
      <w:pPr>
        <w:spacing w:after="0" w:line="360" w:lineRule="auto"/>
        <w:jc w:val="both"/>
        <w:rPr>
          <w:sz w:val="20"/>
        </w:rPr>
        <w:sectPr>
          <w:pgSz w:w="12240" w:h="15840"/>
          <w:pgMar w:header="0" w:footer="1031" w:top="1420" w:bottom="1220" w:left="1600" w:right="1580"/>
        </w:sectPr>
      </w:pPr>
    </w:p>
    <w:p>
      <w:pPr>
        <w:spacing w:before="53"/>
        <w:ind w:left="809" w:right="0" w:firstLine="0"/>
        <w:jc w:val="both"/>
        <w:rPr>
          <w:i/>
          <w:sz w:val="20"/>
        </w:rPr>
      </w:pPr>
      <w:r>
        <w:rPr>
          <w:i/>
          <w:sz w:val="20"/>
        </w:rPr>
        <w:t>presta especial atención no sólo a la ruta, pero la velocidad a lo largo de ese camino.</w:t>
      </w:r>
    </w:p>
    <w:p>
      <w:pPr>
        <w:pStyle w:val="BodyText"/>
        <w:spacing w:before="120"/>
        <w:ind w:left="809"/>
        <w:jc w:val="both"/>
      </w:pPr>
      <w:hyperlink r:id="rId71">
        <w:r>
          <w:rPr/>
          <w:t>(Schwartz</w:t>
        </w:r>
      </w:hyperlink>
      <w:r>
        <w:rPr/>
        <w:t>, 2010).</w:t>
      </w:r>
    </w:p>
    <w:p>
      <w:pPr>
        <w:pStyle w:val="BodyText"/>
      </w:pPr>
    </w:p>
    <w:p>
      <w:pPr>
        <w:pStyle w:val="BodyText"/>
      </w:pPr>
    </w:p>
    <w:p>
      <w:pPr>
        <w:pStyle w:val="BodyText"/>
        <w:spacing w:line="357" w:lineRule="auto" w:after="9"/>
        <w:ind w:left="100"/>
      </w:pPr>
      <w:r>
        <w:rPr/>
        <w:t>Ejemplo de la escultura que él propone las vemos en la </w:t>
      </w:r>
      <w:hyperlink w:history="true" w:anchor="_bookmark75">
        <w:r>
          <w:rPr/>
          <w:t>Figura 2.30</w:t>
        </w:r>
      </w:hyperlink>
      <w:r>
        <w:rPr/>
        <w:t>, donde se observan movimientos congelados.</w:t>
      </w:r>
    </w:p>
    <w:p>
      <w:pPr>
        <w:pStyle w:val="BodyText"/>
        <w:ind w:left="1505"/>
        <w:rPr>
          <w:sz w:val="20"/>
        </w:rPr>
      </w:pPr>
      <w:r>
        <w:rPr>
          <w:sz w:val="20"/>
        </w:rPr>
        <w:drawing>
          <wp:inline distT="0" distB="0" distL="0" distR="0">
            <wp:extent cx="3820731" cy="2543175"/>
            <wp:effectExtent l="0" t="0" r="0" b="0"/>
            <wp:docPr id="71" name="image36.jpeg" descr=""/>
            <wp:cNvGraphicFramePr>
              <a:graphicFrameLocks noChangeAspect="1"/>
            </wp:cNvGraphicFramePr>
            <a:graphic>
              <a:graphicData uri="http://schemas.openxmlformats.org/drawingml/2006/picture">
                <pic:pic>
                  <pic:nvPicPr>
                    <pic:cNvPr id="72" name="image36.jpeg"/>
                    <pic:cNvPicPr/>
                  </pic:nvPicPr>
                  <pic:blipFill>
                    <a:blip r:embed="rId72" cstate="print"/>
                    <a:stretch>
                      <a:fillRect/>
                    </a:stretch>
                  </pic:blipFill>
                  <pic:spPr>
                    <a:xfrm>
                      <a:off x="0" y="0"/>
                      <a:ext cx="3820731" cy="2543175"/>
                    </a:xfrm>
                    <a:prstGeom prst="rect">
                      <a:avLst/>
                    </a:prstGeom>
                  </pic:spPr>
                </pic:pic>
              </a:graphicData>
            </a:graphic>
          </wp:inline>
        </w:drawing>
      </w:r>
      <w:r>
        <w:rPr>
          <w:sz w:val="20"/>
        </w:rPr>
      </w:r>
    </w:p>
    <w:p>
      <w:pPr>
        <w:spacing w:line="240" w:lineRule="auto" w:before="116"/>
        <w:ind w:left="1321" w:right="1089" w:firstLine="0"/>
        <w:jc w:val="center"/>
        <w:rPr>
          <w:sz w:val="18"/>
        </w:rPr>
      </w:pPr>
      <w:bookmarkStart w:name="_bookmark75" w:id="118"/>
      <w:bookmarkEnd w:id="118"/>
      <w:r>
        <w:rPr/>
      </w:r>
      <w:r>
        <w:rPr>
          <w:sz w:val="18"/>
        </w:rPr>
        <w:t>Figura 2.30. Esculturas de movimientos congelados de Mathew Schwartz. (Fuente: </w:t>
      </w:r>
      <w:hyperlink r:id="rId73">
        <w:r>
          <w:rPr>
            <w:sz w:val="18"/>
          </w:rPr>
          <w:t>http://www.smartsculpture.com/2010/12/frozen-motion-sculpture-model.html,</w:t>
        </w:r>
      </w:hyperlink>
      <w:r>
        <w:rPr>
          <w:sz w:val="18"/>
        </w:rPr>
        <w:t> consultado el  8 de noviembre de 2013).</w:t>
      </w:r>
    </w:p>
    <w:p>
      <w:pPr>
        <w:pStyle w:val="BodyText"/>
        <w:rPr>
          <w:sz w:val="18"/>
        </w:rPr>
      </w:pPr>
    </w:p>
    <w:p>
      <w:pPr>
        <w:pStyle w:val="BodyText"/>
        <w:spacing w:before="2"/>
        <w:rPr>
          <w:sz w:val="18"/>
        </w:rPr>
      </w:pPr>
    </w:p>
    <w:p>
      <w:pPr>
        <w:pStyle w:val="BodyText"/>
        <w:spacing w:line="362" w:lineRule="auto"/>
        <w:ind w:left="100" w:right="104"/>
      </w:pPr>
      <w:r>
        <w:rPr/>
        <w:t>Otra propuesta de trabajar la escultura con programas de software lo muestra Duffy:</w:t>
      </w:r>
    </w:p>
    <w:p>
      <w:pPr>
        <w:pStyle w:val="BodyText"/>
        <w:spacing w:before="10"/>
        <w:rPr>
          <w:sz w:val="35"/>
        </w:rPr>
      </w:pPr>
    </w:p>
    <w:p>
      <w:pPr>
        <w:spacing w:line="360" w:lineRule="auto" w:before="0"/>
        <w:ind w:left="809" w:right="99" w:firstLine="0"/>
        <w:jc w:val="both"/>
        <w:rPr>
          <w:sz w:val="24"/>
        </w:rPr>
      </w:pPr>
      <w:r>
        <w:rPr>
          <w:i/>
          <w:sz w:val="20"/>
        </w:rPr>
        <w:t>En los últimos quince años, Duffy ha estado investigando gráficos computacionales 3D  </w:t>
      </w:r>
      <w:r>
        <w:rPr>
          <w:i/>
          <w:sz w:val="20"/>
        </w:rPr>
        <w:t>para delimitar y representar las formas subyacentes en la naturaleza. A través de </w:t>
      </w:r>
      <w:r>
        <w:rPr>
          <w:i/>
          <w:spacing w:val="-3"/>
          <w:sz w:val="20"/>
        </w:rPr>
        <w:t>la </w:t>
      </w:r>
      <w:r>
        <w:rPr>
          <w:i/>
          <w:sz w:val="20"/>
        </w:rPr>
        <w:t>observación, el desarrollo de una nueva serie de esculturas matemáticas intuitivas, Duffy utiliza un híbrido de geometría diferencial y ecuaciones algebraicas para definir superficies mínimas y complejas. Mathematica es uno de los programas de software que Duffy utiliza para generar estas superficies digitales 3D para superficies paramétricas tales como espacios de Calabi-Yau. Para generar esculturas matemáticas él utiliza principalmente ecuaciones implícitas, paramétricas, en forma de programas de código fuente en Mathematica, Surf-X, K3DSurf, y una serie de software CAD-CAM adicional con el fin de preparar los archivos 3D en última instancia, para la fabricación de esculturas utilizando prototipado rápido y las técnicas de fresado CNC. El pensamiento que sigue Duffy es creer que la nueva ola de los gráficos 3D computacionales en las artes y ciencias será el puente inminente de la información y las nanotecnologías. </w:t>
      </w:r>
      <w:r>
        <w:rPr>
          <w:sz w:val="24"/>
        </w:rPr>
        <w:t>(Duffy,</w:t>
      </w:r>
      <w:r>
        <w:rPr>
          <w:spacing w:val="-23"/>
          <w:sz w:val="24"/>
        </w:rPr>
        <w:t> </w:t>
      </w:r>
      <w:r>
        <w:rPr>
          <w:sz w:val="24"/>
        </w:rPr>
        <w:t>2006).</w:t>
      </w:r>
    </w:p>
    <w:p>
      <w:pPr>
        <w:spacing w:after="0" w:line="360" w:lineRule="auto"/>
        <w:jc w:val="both"/>
        <w:rPr>
          <w:sz w:val="24"/>
        </w:rPr>
        <w:sectPr>
          <w:pgSz w:w="12240" w:h="15840"/>
          <w:pgMar w:header="0" w:footer="1031" w:top="1360" w:bottom="1220" w:left="1600" w:right="1600"/>
        </w:sectPr>
      </w:pPr>
    </w:p>
    <w:p>
      <w:pPr>
        <w:pStyle w:val="BodyText"/>
        <w:spacing w:line="362" w:lineRule="auto" w:before="55"/>
        <w:ind w:left="100" w:right="118"/>
        <w:jc w:val="both"/>
      </w:pPr>
      <w:r>
        <w:rPr/>
        <w:t>El autor menciona el software con el que dibujó su obra titulada </w:t>
      </w:r>
      <w:r>
        <w:rPr>
          <w:sz w:val="19"/>
        </w:rPr>
        <w:t>CY-N=5</w:t>
      </w:r>
      <w:r>
        <w:rPr/>
        <w:t>, como se puede observar en la </w:t>
      </w:r>
      <w:hyperlink w:history="true" w:anchor="_bookmark76">
        <w:r>
          <w:rPr/>
          <w:t>Figura 2.31</w:t>
        </w:r>
      </w:hyperlink>
    </w:p>
    <w:p>
      <w:pPr>
        <w:pStyle w:val="BodyText"/>
        <w:spacing w:before="10"/>
        <w:rPr>
          <w:sz w:val="35"/>
        </w:rPr>
      </w:pPr>
    </w:p>
    <w:p>
      <w:pPr>
        <w:spacing w:line="360" w:lineRule="auto" w:before="0"/>
        <w:ind w:left="809" w:right="115" w:firstLine="0"/>
        <w:jc w:val="both"/>
        <w:rPr>
          <w:sz w:val="24"/>
        </w:rPr>
      </w:pPr>
      <w:r>
        <w:rPr>
          <w:i/>
          <w:sz w:val="20"/>
        </w:rPr>
        <w:t>Mathematica es el programa de software </w:t>
      </w:r>
      <w:r>
        <w:rPr>
          <w:i/>
          <w:spacing w:val="-3"/>
          <w:sz w:val="20"/>
        </w:rPr>
        <w:t>que </w:t>
      </w:r>
      <w:r>
        <w:rPr>
          <w:i/>
          <w:sz w:val="20"/>
        </w:rPr>
        <w:t>uso para generar esta escultura digital, por </w:t>
      </w:r>
      <w:r>
        <w:rPr>
          <w:i/>
          <w:sz w:val="20"/>
        </w:rPr>
        <w:t>medio de un diagrama paramétrico 3D de Calabi-Yau espacio de una ecuación en la forma de programación de código fuente. Una matríz de software CAD-CAM fue utilizado con el fin de preparar el archivo 3D para fabricar esta escultura mediante el uso de técnicas de prototipado rápido. Este es la primera de una nueva serie de ampliación a escala de prototipado rápido  3D contribuyendo así a las bellas artes y las ciencias. </w:t>
      </w:r>
      <w:r>
        <w:rPr>
          <w:sz w:val="24"/>
        </w:rPr>
        <w:t>(Duffy,</w:t>
      </w:r>
      <w:r>
        <w:rPr>
          <w:spacing w:val="-23"/>
          <w:sz w:val="24"/>
        </w:rPr>
        <w:t> </w:t>
      </w:r>
      <w:r>
        <w:rPr>
          <w:sz w:val="24"/>
        </w:rPr>
        <w:t>2006).</w:t>
      </w:r>
    </w:p>
    <w:p>
      <w:pPr>
        <w:pStyle w:val="BodyText"/>
      </w:pPr>
    </w:p>
    <w:p>
      <w:pPr>
        <w:pStyle w:val="BodyText"/>
        <w:spacing w:line="360" w:lineRule="auto" w:before="142"/>
        <w:ind w:left="100" w:right="127"/>
        <w:jc w:val="both"/>
      </w:pPr>
      <w:r>
        <w:rPr/>
        <w:t>La forma de diseñar escultura de este autor aventaja la ampliación de la escala de la pieza modelada en 3D. Aunque dicho software es utilizado para cuestiones ingenieriles ver </w:t>
      </w:r>
      <w:hyperlink w:history="true" w:anchor="_bookmark76">
        <w:r>
          <w:rPr/>
          <w:t>Figura 2.31</w:t>
        </w:r>
      </w:hyperlink>
      <w:r>
        <w:rPr/>
        <w:t>.</w:t>
      </w:r>
    </w:p>
    <w:p>
      <w:pPr>
        <w:pStyle w:val="BodyText"/>
        <w:rPr>
          <w:sz w:val="20"/>
        </w:rPr>
      </w:pPr>
    </w:p>
    <w:p>
      <w:pPr>
        <w:pStyle w:val="BodyText"/>
        <w:spacing w:before="11"/>
        <w:rPr>
          <w:sz w:val="12"/>
        </w:rPr>
      </w:pPr>
      <w:r>
        <w:rPr/>
        <w:drawing>
          <wp:anchor distT="0" distB="0" distL="0" distR="0" allowOverlap="1" layoutInCell="1" locked="0" behindDoc="0" simplePos="0" relativeHeight="1528">
            <wp:simplePos x="0" y="0"/>
            <wp:positionH relativeFrom="page">
              <wp:posOffset>2606675</wp:posOffset>
            </wp:positionH>
            <wp:positionV relativeFrom="paragraph">
              <wp:posOffset>119569</wp:posOffset>
            </wp:positionV>
            <wp:extent cx="2571774" cy="2220277"/>
            <wp:effectExtent l="0" t="0" r="0" b="0"/>
            <wp:wrapTopAndBottom/>
            <wp:docPr id="73" name="image37.png" descr=""/>
            <wp:cNvGraphicFramePr>
              <a:graphicFrameLocks noChangeAspect="1"/>
            </wp:cNvGraphicFramePr>
            <a:graphic>
              <a:graphicData uri="http://schemas.openxmlformats.org/drawingml/2006/picture">
                <pic:pic>
                  <pic:nvPicPr>
                    <pic:cNvPr id="74" name="image37.png"/>
                    <pic:cNvPicPr/>
                  </pic:nvPicPr>
                  <pic:blipFill>
                    <a:blip r:embed="rId74" cstate="print"/>
                    <a:stretch>
                      <a:fillRect/>
                    </a:stretch>
                  </pic:blipFill>
                  <pic:spPr>
                    <a:xfrm>
                      <a:off x="0" y="0"/>
                      <a:ext cx="2571774" cy="2220277"/>
                    </a:xfrm>
                    <a:prstGeom prst="rect">
                      <a:avLst/>
                    </a:prstGeom>
                  </pic:spPr>
                </pic:pic>
              </a:graphicData>
            </a:graphic>
          </wp:anchor>
        </w:drawing>
      </w:r>
    </w:p>
    <w:p>
      <w:pPr>
        <w:spacing w:line="240" w:lineRule="auto" w:before="55"/>
        <w:ind w:left="1541" w:right="1333" w:firstLine="0"/>
        <w:jc w:val="center"/>
        <w:rPr>
          <w:sz w:val="18"/>
        </w:rPr>
      </w:pPr>
      <w:bookmarkStart w:name="_bookmark76" w:id="119"/>
      <w:bookmarkEnd w:id="119"/>
      <w:r>
        <w:rPr/>
      </w:r>
      <w:r>
        <w:rPr>
          <w:sz w:val="18"/>
        </w:rPr>
        <w:t>Figura 2.31. Duffy, CY-N=5, 24" x18" x 20", Hydro-stone FGR, 2011. (Fuente: </w:t>
      </w:r>
      <w:hyperlink r:id="rId20">
        <w:r>
          <w:rPr>
            <w:sz w:val="18"/>
          </w:rPr>
          <w:t>http://gallery.bridgesmathart.org/exhibitions/2012-bridges-conference/wduffy,</w:t>
        </w:r>
      </w:hyperlink>
      <w:r>
        <w:rPr>
          <w:sz w:val="18"/>
        </w:rPr>
        <w:t> consultado el  26 de junio de 2013).</w:t>
      </w:r>
    </w:p>
    <w:p>
      <w:pPr>
        <w:pStyle w:val="BodyText"/>
        <w:rPr>
          <w:sz w:val="18"/>
        </w:rPr>
      </w:pPr>
    </w:p>
    <w:p>
      <w:pPr>
        <w:pStyle w:val="BodyText"/>
        <w:spacing w:before="6"/>
        <w:rPr>
          <w:sz w:val="18"/>
        </w:rPr>
      </w:pPr>
    </w:p>
    <w:p>
      <w:pPr>
        <w:pStyle w:val="BodyText"/>
        <w:spacing w:line="360" w:lineRule="auto"/>
        <w:ind w:left="100" w:right="124"/>
        <w:jc w:val="both"/>
      </w:pPr>
      <w:r>
        <w:rPr/>
        <w:t>De la Flor (2010) menciona que cuando se trabaja en Mudbox, se tiene que trabajar con un modelo poligonal. Los modelos poligonales pueden ser los  modelos de plantilla que se ofrecen en Mudbox o modelos que han sido creados en otros programas de modelado en tres dimensiones (3D), como 3ds Max, Maya, Carrara, Houdini, o</w:t>
      </w:r>
      <w:r>
        <w:rPr>
          <w:spacing w:val="-21"/>
        </w:rPr>
        <w:t> </w:t>
      </w:r>
      <w:r>
        <w:rPr/>
        <w:t>Blender.</w:t>
      </w:r>
    </w:p>
    <w:p>
      <w:pPr>
        <w:spacing w:after="0" w:line="360" w:lineRule="auto"/>
        <w:jc w:val="both"/>
        <w:sectPr>
          <w:pgSz w:w="12240" w:h="15840"/>
          <w:pgMar w:header="0" w:footer="1031" w:top="1360" w:bottom="1220" w:left="1600" w:right="1580"/>
        </w:sectPr>
      </w:pPr>
    </w:p>
    <w:p>
      <w:pPr>
        <w:pStyle w:val="BodyText"/>
        <w:spacing w:line="360" w:lineRule="auto" w:before="55"/>
        <w:ind w:left="100" w:right="102"/>
        <w:jc w:val="both"/>
      </w:pPr>
      <w:r>
        <w:rPr/>
        <w:t>Elona Van-Gent (2013) piensa que el diseño digital y las tecnologías de  fabricación que utilizo (3D modelado y animación, simulación y efectos especiales, fresado CNC y RP) son otro eje de temas entretejidos con los relacionados con los monstruos, como se muestra su obra en la </w:t>
      </w:r>
      <w:hyperlink w:history="true" w:anchor="_bookmark77">
        <w:r>
          <w:rPr/>
          <w:t>Figura</w:t>
        </w:r>
        <w:r>
          <w:rPr>
            <w:spacing w:val="-23"/>
          </w:rPr>
          <w:t> </w:t>
        </w:r>
        <w:r>
          <w:rPr/>
          <w:t>2.32</w:t>
        </w:r>
      </w:hyperlink>
    </w:p>
    <w:p>
      <w:pPr>
        <w:pStyle w:val="BodyText"/>
        <w:rPr>
          <w:sz w:val="20"/>
        </w:rPr>
      </w:pPr>
    </w:p>
    <w:p>
      <w:pPr>
        <w:pStyle w:val="BodyText"/>
        <w:rPr>
          <w:sz w:val="13"/>
        </w:rPr>
      </w:pPr>
      <w:r>
        <w:rPr/>
        <w:drawing>
          <wp:anchor distT="0" distB="0" distL="0" distR="0" allowOverlap="1" layoutInCell="1" locked="0" behindDoc="0" simplePos="0" relativeHeight="1552">
            <wp:simplePos x="0" y="0"/>
            <wp:positionH relativeFrom="page">
              <wp:posOffset>1980310</wp:posOffset>
            </wp:positionH>
            <wp:positionV relativeFrom="paragraph">
              <wp:posOffset>119823</wp:posOffset>
            </wp:positionV>
            <wp:extent cx="3820949" cy="1682496"/>
            <wp:effectExtent l="0" t="0" r="0" b="0"/>
            <wp:wrapTopAndBottom/>
            <wp:docPr id="75" name="image38.jpeg" descr=""/>
            <wp:cNvGraphicFramePr>
              <a:graphicFrameLocks noChangeAspect="1"/>
            </wp:cNvGraphicFramePr>
            <a:graphic>
              <a:graphicData uri="http://schemas.openxmlformats.org/drawingml/2006/picture">
                <pic:pic>
                  <pic:nvPicPr>
                    <pic:cNvPr id="76" name="image38.jpeg"/>
                    <pic:cNvPicPr/>
                  </pic:nvPicPr>
                  <pic:blipFill>
                    <a:blip r:embed="rId75" cstate="print"/>
                    <a:stretch>
                      <a:fillRect/>
                    </a:stretch>
                  </pic:blipFill>
                  <pic:spPr>
                    <a:xfrm>
                      <a:off x="0" y="0"/>
                      <a:ext cx="3820949" cy="1682496"/>
                    </a:xfrm>
                    <a:prstGeom prst="rect">
                      <a:avLst/>
                    </a:prstGeom>
                  </pic:spPr>
                </pic:pic>
              </a:graphicData>
            </a:graphic>
          </wp:anchor>
        </w:drawing>
      </w:r>
    </w:p>
    <w:p>
      <w:pPr>
        <w:spacing w:line="237" w:lineRule="auto" w:before="68"/>
        <w:ind w:left="1240" w:right="1008" w:firstLine="0"/>
        <w:jc w:val="center"/>
        <w:rPr>
          <w:sz w:val="18"/>
        </w:rPr>
      </w:pPr>
      <w:bookmarkStart w:name="_bookmark77" w:id="120"/>
      <w:bookmarkEnd w:id="120"/>
      <w:r>
        <w:rPr/>
      </w:r>
      <w:r>
        <w:rPr>
          <w:sz w:val="18"/>
        </w:rPr>
        <w:t>Figura 2.32. Títulada All fall down, primera imagen dibujo computalizado rendereado, segunda objeto de prototipo rápido en estereolitografía material Époxico. (Fuente: </w:t>
      </w:r>
      <w:hyperlink r:id="rId76">
        <w:r>
          <w:rPr>
            <w:sz w:val="18"/>
          </w:rPr>
          <w:t>http://un-tethered.net/eevege/,</w:t>
        </w:r>
      </w:hyperlink>
      <w:r>
        <w:rPr>
          <w:sz w:val="18"/>
        </w:rPr>
        <w:t>  consultado el 8 de noviembre de 2013).</w:t>
      </w:r>
    </w:p>
    <w:p>
      <w:pPr>
        <w:pStyle w:val="BodyText"/>
        <w:rPr>
          <w:sz w:val="18"/>
        </w:rPr>
      </w:pPr>
    </w:p>
    <w:p>
      <w:pPr>
        <w:pStyle w:val="BodyText"/>
        <w:spacing w:before="3"/>
        <w:rPr>
          <w:sz w:val="18"/>
        </w:rPr>
      </w:pPr>
    </w:p>
    <w:p>
      <w:pPr>
        <w:pStyle w:val="BodyText"/>
        <w:spacing w:line="360" w:lineRule="auto"/>
        <w:ind w:left="100" w:right="98"/>
        <w:jc w:val="both"/>
      </w:pPr>
      <w:r>
        <w:rPr/>
        <w:t>El escultor mexicano que también trabaja con herramientas digitales, es  Sebastián; combina sus procesos de creación y producción final. En entrevista con Matías Carbajal (dibujante del escultor) asegura que primero trabaja un boceto en papel, luego la maqueta en cartón o materiales similares de manera artesanal.  Una vez que lo tiene lo digitaliza para tomar decisiones. Modela en virtual en el software Rhinoceros® como lo muestra la siguiente animación. Posteriormente la pieza es fabricada por trabajadores del escultor en el caso de monumental. Ver </w:t>
      </w:r>
      <w:hyperlink w:history="true" w:anchor="_bookmark78">
        <w:r>
          <w:rPr/>
          <w:t>Figura</w:t>
        </w:r>
        <w:r>
          <w:rPr>
            <w:spacing w:val="-3"/>
          </w:rPr>
          <w:t> </w:t>
        </w:r>
        <w:r>
          <w:rPr/>
          <w:t>2.33</w:t>
        </w:r>
      </w:hyperlink>
    </w:p>
    <w:p>
      <w:pPr>
        <w:spacing w:after="0" w:line="360" w:lineRule="auto"/>
        <w:jc w:val="both"/>
        <w:sectPr>
          <w:pgSz w:w="12240" w:h="15840"/>
          <w:pgMar w:header="0" w:footer="1031" w:top="1360" w:bottom="1220" w:left="1600" w:right="1600"/>
        </w:sectPr>
      </w:pPr>
    </w:p>
    <w:p>
      <w:pPr>
        <w:pStyle w:val="BodyText"/>
        <w:ind w:left="2491"/>
        <w:rPr>
          <w:sz w:val="20"/>
        </w:rPr>
      </w:pPr>
      <w:r>
        <w:rPr>
          <w:sz w:val="20"/>
        </w:rPr>
        <w:drawing>
          <wp:inline distT="0" distB="0" distL="0" distR="0">
            <wp:extent cx="2560319" cy="1920239"/>
            <wp:effectExtent l="0" t="0" r="0" b="0"/>
            <wp:docPr id="77" name="image39.jpeg" descr=""/>
            <wp:cNvGraphicFramePr>
              <a:graphicFrameLocks noChangeAspect="1"/>
            </wp:cNvGraphicFramePr>
            <a:graphic>
              <a:graphicData uri="http://schemas.openxmlformats.org/drawingml/2006/picture">
                <pic:pic>
                  <pic:nvPicPr>
                    <pic:cNvPr id="78" name="image39.jpeg"/>
                    <pic:cNvPicPr/>
                  </pic:nvPicPr>
                  <pic:blipFill>
                    <a:blip r:embed="rId77" cstate="print"/>
                    <a:stretch>
                      <a:fillRect/>
                    </a:stretch>
                  </pic:blipFill>
                  <pic:spPr>
                    <a:xfrm>
                      <a:off x="0" y="0"/>
                      <a:ext cx="2560319" cy="1920239"/>
                    </a:xfrm>
                    <a:prstGeom prst="rect">
                      <a:avLst/>
                    </a:prstGeom>
                  </pic:spPr>
                </pic:pic>
              </a:graphicData>
            </a:graphic>
          </wp:inline>
        </w:drawing>
      </w:r>
      <w:r>
        <w:rPr>
          <w:sz w:val="20"/>
        </w:rPr>
      </w:r>
    </w:p>
    <w:p>
      <w:pPr>
        <w:spacing w:line="240" w:lineRule="auto" w:before="116"/>
        <w:ind w:left="1368" w:right="1137" w:firstLine="2"/>
        <w:jc w:val="center"/>
        <w:rPr>
          <w:sz w:val="18"/>
        </w:rPr>
      </w:pPr>
      <w:bookmarkStart w:name="_bookmark78" w:id="121"/>
      <w:bookmarkEnd w:id="121"/>
      <w:r>
        <w:rPr/>
      </w:r>
      <w:r>
        <w:rPr>
          <w:sz w:val="18"/>
        </w:rPr>
        <w:t>Figura 2.33. Animación por computadora sobre el proceso geométrico de la "cinta sebastina" creada por el escultor Sebastián y su transformación espacial para generar el modelo escultórico "Calabi-Yau" (Fuente: </w:t>
      </w:r>
      <w:hyperlink r:id="rId78">
        <w:r>
          <w:rPr>
            <w:sz w:val="18"/>
          </w:rPr>
          <w:t>http://www.youtube.com/watch?v=aFq15otTjjs,</w:t>
        </w:r>
      </w:hyperlink>
      <w:r>
        <w:rPr>
          <w:sz w:val="18"/>
        </w:rPr>
        <w:t>  consultado el 4 de junio de 2014).</w:t>
      </w:r>
    </w:p>
    <w:p>
      <w:pPr>
        <w:pStyle w:val="BodyText"/>
        <w:rPr>
          <w:sz w:val="18"/>
        </w:rPr>
      </w:pPr>
    </w:p>
    <w:p>
      <w:pPr>
        <w:pStyle w:val="BodyText"/>
        <w:rPr>
          <w:sz w:val="18"/>
        </w:rPr>
      </w:pPr>
    </w:p>
    <w:p>
      <w:pPr>
        <w:pStyle w:val="BodyText"/>
        <w:spacing w:before="1"/>
        <w:rPr>
          <w:sz w:val="17"/>
        </w:rPr>
      </w:pPr>
    </w:p>
    <w:p>
      <w:pPr>
        <w:pStyle w:val="Heading2"/>
        <w:numPr>
          <w:ilvl w:val="3"/>
          <w:numId w:val="26"/>
        </w:numPr>
        <w:tabs>
          <w:tab w:pos="1593" w:val="left" w:leader="none"/>
        </w:tabs>
        <w:spacing w:line="240" w:lineRule="auto" w:before="1" w:after="0"/>
        <w:ind w:left="1593" w:right="0" w:hanging="1493"/>
        <w:jc w:val="both"/>
      </w:pPr>
      <w:bookmarkStart w:name="2.7.2.2.  Obra con impresión 3D" w:id="122"/>
      <w:bookmarkEnd w:id="122"/>
      <w:r>
        <w:rPr/>
      </w:r>
      <w:bookmarkStart w:name="_bookmark79" w:id="123"/>
      <w:bookmarkEnd w:id="123"/>
      <w:r>
        <w:rPr/>
        <w:t>O</w:t>
      </w:r>
      <w:r>
        <w:rPr/>
        <w:t>bra con impresión</w:t>
      </w:r>
      <w:r>
        <w:rPr>
          <w:spacing w:val="-1"/>
        </w:rPr>
        <w:t> </w:t>
      </w:r>
      <w:r>
        <w:rPr/>
        <w:t>3D</w:t>
      </w:r>
    </w:p>
    <w:p>
      <w:pPr>
        <w:pStyle w:val="BodyText"/>
        <w:rPr>
          <w:sz w:val="28"/>
        </w:rPr>
      </w:pPr>
    </w:p>
    <w:p>
      <w:pPr>
        <w:pStyle w:val="BodyText"/>
        <w:spacing w:before="9"/>
        <w:rPr>
          <w:sz w:val="22"/>
        </w:rPr>
      </w:pPr>
    </w:p>
    <w:p>
      <w:pPr>
        <w:pStyle w:val="BodyText"/>
        <w:spacing w:line="360" w:lineRule="auto"/>
        <w:ind w:left="100" w:right="98"/>
        <w:jc w:val="both"/>
      </w:pPr>
      <w:r>
        <w:rPr/>
        <w:t>Tortosa (2013) menciona que están emergiendo una serie de estructuras que van a alimentar modos novedosos y creativos con influencia en áreas de acción infinitamente más amplias debido a la conectividad </w:t>
      </w:r>
      <w:r>
        <w:rPr>
          <w:spacing w:val="-3"/>
        </w:rPr>
        <w:t>y, </w:t>
      </w:r>
      <w:r>
        <w:rPr/>
        <w:t>sobre todo, a la pertenencia a una comunidad flexible, siendo éste un concepto clave, manifestándose en términos concretos en el rápido y cómodo desenvolvimiento de relaciones entre personas y proyectos, conectando diferentes campos como la ingeniería, la informática, el diseño, el arte, la ciencia, etc. Agrega que comparten no sólo las mismas herramientas sino también similares inquietudes y campos de investigación y</w:t>
      </w:r>
      <w:r>
        <w:rPr>
          <w:spacing w:val="-25"/>
        </w:rPr>
        <w:t> </w:t>
      </w:r>
      <w:r>
        <w:rPr/>
        <w:t>experimentación.</w:t>
      </w:r>
    </w:p>
    <w:p>
      <w:pPr>
        <w:pStyle w:val="BodyText"/>
      </w:pPr>
    </w:p>
    <w:p>
      <w:pPr>
        <w:pStyle w:val="BodyText"/>
        <w:spacing w:line="360" w:lineRule="auto" w:before="138"/>
        <w:ind w:left="100" w:right="98"/>
        <w:jc w:val="both"/>
      </w:pPr>
      <w:r>
        <w:rPr/>
        <w:t>Tortosa refiriéndose a las impresoras 3D, para él son dispositivos que pueden crear un objeto tridimensional a partir del diseño realizado en un ordenador y contenido en un fichero informático, o de una maqueta escaneada.</w:t>
      </w:r>
    </w:p>
    <w:p>
      <w:pPr>
        <w:pStyle w:val="BodyText"/>
      </w:pPr>
    </w:p>
    <w:p>
      <w:pPr>
        <w:pStyle w:val="BodyText"/>
        <w:spacing w:line="357" w:lineRule="auto" w:before="142"/>
        <w:ind w:left="100" w:right="98"/>
        <w:jc w:val="both"/>
      </w:pPr>
      <w:r>
        <w:rPr/>
        <w:t>El aporte de Tortosa a la escultura en el uso de este tipo de tecnologías, lo menciona con sus propias palabras, que en el proyecto </w:t>
      </w:r>
      <w:r>
        <w:rPr>
          <w:i/>
        </w:rPr>
        <w:t>Lleona </w:t>
      </w:r>
      <w:r>
        <w:rPr/>
        <w:t>se inspira en el proyecto  </w:t>
      </w:r>
      <w:r>
        <w:rPr>
          <w:i/>
        </w:rPr>
        <w:t>RepRap  </w:t>
      </w:r>
      <w:r>
        <w:rPr/>
        <w:t>pero  fija  su  objetivo  en  la  creación  de  esculturas      cuyas</w:t>
      </w:r>
    </w:p>
    <w:p>
      <w:pPr>
        <w:spacing w:after="0" w:line="357" w:lineRule="auto"/>
        <w:jc w:val="both"/>
        <w:sectPr>
          <w:pgSz w:w="12240" w:h="15840"/>
          <w:pgMar w:header="0" w:footer="1031" w:top="1420" w:bottom="1220" w:left="1600" w:right="1600"/>
        </w:sectPr>
      </w:pPr>
    </w:p>
    <w:p>
      <w:pPr>
        <w:pStyle w:val="BodyText"/>
        <w:spacing w:line="357" w:lineRule="auto" w:before="55"/>
        <w:ind w:left="100" w:right="126"/>
        <w:jc w:val="both"/>
      </w:pPr>
      <w:r>
        <w:rPr/>
        <w:t>dimensiones se miden en metros y no en milímetros, y donde el coste de los materiales y su </w:t>
      </w:r>
      <w:r>
        <w:rPr>
          <w:i/>
        </w:rPr>
        <w:t>sustentabilidad </w:t>
      </w:r>
      <w:r>
        <w:rPr/>
        <w:t>son aspectos a tener muy en cuenta.</w:t>
      </w:r>
    </w:p>
    <w:p>
      <w:pPr>
        <w:pStyle w:val="BodyText"/>
      </w:pPr>
    </w:p>
    <w:p>
      <w:pPr>
        <w:pStyle w:val="BodyText"/>
        <w:spacing w:line="360" w:lineRule="auto" w:before="148"/>
        <w:ind w:left="100" w:right="117"/>
        <w:jc w:val="both"/>
      </w:pPr>
      <w:r>
        <w:rPr/>
        <w:t>Anteriormente mencionamos los problemas que presenta la escultura como el tiempo prolongado que se genera que el costo de la pieza se eleve. Por eso Tortosa (2013) enlista algunos de los medios tecnológicos que se están implementado en los talleres y que permiten ahorrar tiempo son:</w:t>
      </w:r>
    </w:p>
    <w:p>
      <w:pPr>
        <w:pStyle w:val="BodyText"/>
      </w:pPr>
    </w:p>
    <w:p>
      <w:pPr>
        <w:pStyle w:val="ListParagraph"/>
        <w:numPr>
          <w:ilvl w:val="4"/>
          <w:numId w:val="26"/>
        </w:numPr>
        <w:tabs>
          <w:tab w:pos="820" w:val="left" w:leader="none"/>
          <w:tab w:pos="821" w:val="left" w:leader="none"/>
        </w:tabs>
        <w:spacing w:line="240" w:lineRule="auto" w:before="142" w:after="0"/>
        <w:ind w:left="821" w:right="0" w:hanging="361"/>
        <w:jc w:val="left"/>
        <w:rPr>
          <w:sz w:val="24"/>
        </w:rPr>
      </w:pPr>
      <w:r>
        <w:rPr>
          <w:sz w:val="24"/>
        </w:rPr>
        <w:t>El empleo de máquinas manuales de corte de hilo</w:t>
      </w:r>
      <w:r>
        <w:rPr>
          <w:spacing w:val="-32"/>
          <w:sz w:val="24"/>
        </w:rPr>
        <w:t> </w:t>
      </w:r>
      <w:r>
        <w:rPr>
          <w:sz w:val="24"/>
        </w:rPr>
        <w:t>caliente.</w:t>
      </w:r>
    </w:p>
    <w:p>
      <w:pPr>
        <w:pStyle w:val="ListParagraph"/>
        <w:numPr>
          <w:ilvl w:val="4"/>
          <w:numId w:val="26"/>
        </w:numPr>
        <w:tabs>
          <w:tab w:pos="821" w:val="left" w:leader="none"/>
        </w:tabs>
        <w:spacing w:line="360" w:lineRule="auto" w:before="140" w:after="0"/>
        <w:ind w:left="821" w:right="121" w:hanging="361"/>
        <w:jc w:val="both"/>
        <w:rPr>
          <w:sz w:val="24"/>
        </w:rPr>
      </w:pPr>
      <w:r>
        <w:rPr>
          <w:sz w:val="24"/>
        </w:rPr>
        <w:t>El escaneado 3D de la maqueta o de una escultura, permite obtener un modelo numérico de un objeto en forma de archivo informático. Ese modelo se puede "rebanar" empleando máquinas computalizadas de hilo caliente y máquinas computalizadas de corte y fresado, por lo que es posible obtener una secuencia de lonchas o rebanadas de un volumen sin tener que partir físicamente el</w:t>
      </w:r>
      <w:r>
        <w:rPr>
          <w:spacing w:val="-15"/>
          <w:sz w:val="24"/>
        </w:rPr>
        <w:t> </w:t>
      </w:r>
      <w:r>
        <w:rPr>
          <w:sz w:val="24"/>
        </w:rPr>
        <w:t>modelo.</w:t>
      </w:r>
    </w:p>
    <w:p>
      <w:pPr>
        <w:pStyle w:val="ListParagraph"/>
        <w:numPr>
          <w:ilvl w:val="4"/>
          <w:numId w:val="26"/>
        </w:numPr>
        <w:tabs>
          <w:tab w:pos="821" w:val="left" w:leader="none"/>
        </w:tabs>
        <w:spacing w:line="357" w:lineRule="auto" w:before="6" w:after="0"/>
        <w:ind w:left="821" w:right="120" w:hanging="361"/>
        <w:jc w:val="both"/>
        <w:rPr>
          <w:sz w:val="24"/>
        </w:rPr>
      </w:pPr>
      <w:r>
        <w:rPr>
          <w:sz w:val="24"/>
        </w:rPr>
        <w:t>El empleo de un ordenador y de modelos 3D de los objetos permite realizar el proceso de escalado</w:t>
      </w:r>
      <w:r>
        <w:rPr>
          <w:spacing w:val="-22"/>
          <w:sz w:val="24"/>
        </w:rPr>
        <w:t> </w:t>
      </w:r>
      <w:r>
        <w:rPr>
          <w:sz w:val="24"/>
        </w:rPr>
        <w:t>sencillamente.</w:t>
      </w:r>
    </w:p>
    <w:p>
      <w:pPr>
        <w:pStyle w:val="ListParagraph"/>
        <w:numPr>
          <w:ilvl w:val="4"/>
          <w:numId w:val="26"/>
        </w:numPr>
        <w:tabs>
          <w:tab w:pos="821" w:val="left" w:leader="none"/>
        </w:tabs>
        <w:spacing w:line="360" w:lineRule="auto" w:before="8" w:after="0"/>
        <w:ind w:left="821" w:right="126" w:hanging="361"/>
        <w:jc w:val="both"/>
        <w:rPr>
          <w:sz w:val="24"/>
        </w:rPr>
      </w:pPr>
      <w:r>
        <w:rPr>
          <w:sz w:val="24"/>
        </w:rPr>
        <w:t>Las nuevas técnicas de impresión 3D permiten realizar modelos, generalmente a escala reducida, de objetos en tres</w:t>
      </w:r>
      <w:r>
        <w:rPr>
          <w:spacing w:val="-36"/>
          <w:sz w:val="24"/>
        </w:rPr>
        <w:t> </w:t>
      </w:r>
      <w:r>
        <w:rPr>
          <w:sz w:val="24"/>
        </w:rPr>
        <w:t>dimensiones.</w:t>
      </w:r>
    </w:p>
    <w:p>
      <w:pPr>
        <w:pStyle w:val="ListParagraph"/>
        <w:numPr>
          <w:ilvl w:val="4"/>
          <w:numId w:val="26"/>
        </w:numPr>
        <w:tabs>
          <w:tab w:pos="821" w:val="left" w:leader="none"/>
        </w:tabs>
        <w:spacing w:line="360" w:lineRule="auto" w:before="5" w:after="0"/>
        <w:ind w:left="821" w:right="125" w:hanging="361"/>
        <w:jc w:val="both"/>
        <w:rPr>
          <w:sz w:val="24"/>
        </w:rPr>
      </w:pPr>
      <w:r>
        <w:rPr>
          <w:sz w:val="24"/>
        </w:rPr>
        <w:t>Los programas de modelado 3D permiten ahora realizar la operación de "escultura digital" en un ordenador de modo que el artista puede retocar y repetir el proceso hasta estar completamente satisfecho. Deshacer y rehacer es mucho </w:t>
      </w:r>
      <w:r>
        <w:rPr>
          <w:spacing w:val="-2"/>
          <w:sz w:val="24"/>
        </w:rPr>
        <w:t>más </w:t>
      </w:r>
      <w:r>
        <w:rPr>
          <w:sz w:val="24"/>
        </w:rPr>
        <w:t>fácil y barato en el mundo virtual que en el mundo real, también ensucia bastante</w:t>
      </w:r>
      <w:r>
        <w:rPr>
          <w:spacing w:val="-21"/>
          <w:sz w:val="24"/>
        </w:rPr>
        <w:t> </w:t>
      </w:r>
      <w:r>
        <w:rPr>
          <w:sz w:val="24"/>
        </w:rPr>
        <w:t>menos.</w:t>
      </w:r>
    </w:p>
    <w:p>
      <w:pPr>
        <w:pStyle w:val="ListParagraph"/>
        <w:numPr>
          <w:ilvl w:val="4"/>
          <w:numId w:val="26"/>
        </w:numPr>
        <w:tabs>
          <w:tab w:pos="821" w:val="left" w:leader="none"/>
        </w:tabs>
        <w:spacing w:line="362" w:lineRule="auto" w:before="2" w:after="0"/>
        <w:ind w:left="821" w:right="128" w:hanging="361"/>
        <w:jc w:val="both"/>
        <w:rPr>
          <w:sz w:val="24"/>
        </w:rPr>
      </w:pPr>
      <w:r>
        <w:rPr>
          <w:sz w:val="24"/>
        </w:rPr>
        <w:t>El empleo de robots computalizados, que siendo efectivos son extremadamente</w:t>
      </w:r>
      <w:r>
        <w:rPr>
          <w:spacing w:val="-13"/>
          <w:sz w:val="24"/>
        </w:rPr>
        <w:t> </w:t>
      </w:r>
      <w:r>
        <w:rPr>
          <w:sz w:val="24"/>
        </w:rPr>
        <w:t>caros.</w:t>
      </w:r>
    </w:p>
    <w:p>
      <w:pPr>
        <w:pStyle w:val="BodyText"/>
      </w:pPr>
    </w:p>
    <w:p>
      <w:pPr>
        <w:pStyle w:val="BodyText"/>
        <w:spacing w:line="360" w:lineRule="auto" w:before="139"/>
        <w:ind w:left="100" w:right="120"/>
        <w:jc w:val="both"/>
      </w:pPr>
      <w:r>
        <w:rPr/>
        <w:t>El objetivo de Tortosa es como él mismo afirma, el desarrollo de nuevas técnicas y la adaptación de otras existentes, con el espíritu de ayudar al artista tradicional con</w:t>
      </w:r>
      <w:r>
        <w:rPr>
          <w:spacing w:val="19"/>
        </w:rPr>
        <w:t> </w:t>
      </w:r>
      <w:r>
        <w:rPr/>
        <w:t>nuevas</w:t>
      </w:r>
      <w:r>
        <w:rPr>
          <w:spacing w:val="21"/>
        </w:rPr>
        <w:t> </w:t>
      </w:r>
      <w:r>
        <w:rPr/>
        <w:t>herramientas</w:t>
      </w:r>
      <w:r>
        <w:rPr>
          <w:spacing w:val="21"/>
        </w:rPr>
        <w:t> </w:t>
      </w:r>
      <w:r>
        <w:rPr/>
        <w:t>de</w:t>
      </w:r>
      <w:r>
        <w:rPr>
          <w:spacing w:val="19"/>
        </w:rPr>
        <w:t> </w:t>
      </w:r>
      <w:r>
        <w:rPr/>
        <w:t>bajo</w:t>
      </w:r>
      <w:r>
        <w:rPr>
          <w:spacing w:val="19"/>
        </w:rPr>
        <w:t> </w:t>
      </w:r>
      <w:r>
        <w:rPr/>
        <w:t>coste;</w:t>
      </w:r>
      <w:r>
        <w:rPr>
          <w:spacing w:val="21"/>
        </w:rPr>
        <w:t> </w:t>
      </w:r>
      <w:r>
        <w:rPr/>
        <w:t>para</w:t>
      </w:r>
      <w:r>
        <w:rPr>
          <w:spacing w:val="19"/>
        </w:rPr>
        <w:t> </w:t>
      </w:r>
      <w:r>
        <w:rPr/>
        <w:t>que</w:t>
      </w:r>
      <w:r>
        <w:rPr>
          <w:spacing w:val="19"/>
        </w:rPr>
        <w:t> </w:t>
      </w:r>
      <w:r>
        <w:rPr/>
        <w:t>la</w:t>
      </w:r>
      <w:r>
        <w:rPr>
          <w:spacing w:val="19"/>
        </w:rPr>
        <w:t> </w:t>
      </w:r>
      <w:r>
        <w:rPr/>
        <w:t>combinación</w:t>
      </w:r>
      <w:r>
        <w:rPr>
          <w:spacing w:val="19"/>
        </w:rPr>
        <w:t> </w:t>
      </w:r>
      <w:r>
        <w:rPr/>
        <w:t>de</w:t>
      </w:r>
      <w:r>
        <w:rPr>
          <w:spacing w:val="19"/>
        </w:rPr>
        <w:t> </w:t>
      </w:r>
      <w:r>
        <w:rPr/>
        <w:t>técnicas</w:t>
      </w:r>
      <w:r>
        <w:rPr>
          <w:spacing w:val="21"/>
        </w:rPr>
        <w:t> </w:t>
      </w:r>
      <w:r>
        <w:rPr/>
        <w:t>de</w:t>
      </w:r>
    </w:p>
    <w:p>
      <w:pPr>
        <w:spacing w:after="0" w:line="360" w:lineRule="auto"/>
        <w:jc w:val="both"/>
        <w:sectPr>
          <w:pgSz w:w="12240" w:h="15840"/>
          <w:pgMar w:header="0" w:footer="1031" w:top="1360" w:bottom="1220" w:left="1600" w:right="1580"/>
        </w:sectPr>
      </w:pPr>
    </w:p>
    <w:p>
      <w:pPr>
        <w:pStyle w:val="BodyText"/>
        <w:spacing w:line="362" w:lineRule="auto" w:before="55"/>
        <w:ind w:left="100" w:right="122"/>
        <w:jc w:val="both"/>
      </w:pPr>
      <w:r>
        <w:rPr/>
        <w:t>modelado 3D, fotogrametría e impresión en tres dimensiones pueden ayudar al artista para ser más eficaz en su trabajo.</w:t>
      </w:r>
    </w:p>
    <w:p>
      <w:pPr>
        <w:pStyle w:val="BodyText"/>
      </w:pPr>
    </w:p>
    <w:p>
      <w:pPr>
        <w:pStyle w:val="BodyText"/>
        <w:spacing w:line="360" w:lineRule="auto" w:before="139"/>
        <w:ind w:left="100" w:right="119"/>
        <w:jc w:val="both"/>
      </w:pPr>
      <w:r>
        <w:rPr/>
        <w:t>Otro posible material de impresión, el azúcar, como se puede observar en la  </w:t>
      </w:r>
      <w:hyperlink w:history="true" w:anchor="_bookmark80">
        <w:r>
          <w:rPr/>
          <w:t>Figura 2.34</w:t>
        </w:r>
      </w:hyperlink>
      <w:r>
        <w:rPr/>
        <w:t>, la idea surge de un matrimonio que abre el Laboratorio de azúcar en Silver Lake en</w:t>
      </w:r>
      <w:r>
        <w:rPr>
          <w:spacing w:val="50"/>
        </w:rPr>
        <w:t> </w:t>
      </w:r>
      <w:r>
        <w:rPr/>
        <w:t>California.</w:t>
      </w:r>
    </w:p>
    <w:p>
      <w:pPr>
        <w:pStyle w:val="BodyText"/>
        <w:rPr>
          <w:sz w:val="20"/>
        </w:rPr>
      </w:pPr>
    </w:p>
    <w:p>
      <w:pPr>
        <w:pStyle w:val="BodyText"/>
        <w:spacing w:before="11"/>
        <w:rPr>
          <w:sz w:val="12"/>
        </w:rPr>
      </w:pPr>
      <w:r>
        <w:rPr/>
        <w:drawing>
          <wp:anchor distT="0" distB="0" distL="0" distR="0" allowOverlap="1" layoutInCell="1" locked="0" behindDoc="0" simplePos="0" relativeHeight="1576">
            <wp:simplePos x="0" y="0"/>
            <wp:positionH relativeFrom="page">
              <wp:posOffset>2381250</wp:posOffset>
            </wp:positionH>
            <wp:positionV relativeFrom="paragraph">
              <wp:posOffset>119441</wp:posOffset>
            </wp:positionV>
            <wp:extent cx="3017986" cy="2146744"/>
            <wp:effectExtent l="0" t="0" r="0" b="0"/>
            <wp:wrapTopAndBottom/>
            <wp:docPr id="79" name="image40.jpeg" descr=""/>
            <wp:cNvGraphicFramePr>
              <a:graphicFrameLocks noChangeAspect="1"/>
            </wp:cNvGraphicFramePr>
            <a:graphic>
              <a:graphicData uri="http://schemas.openxmlformats.org/drawingml/2006/picture">
                <pic:pic>
                  <pic:nvPicPr>
                    <pic:cNvPr id="80" name="image40.jpeg"/>
                    <pic:cNvPicPr/>
                  </pic:nvPicPr>
                  <pic:blipFill>
                    <a:blip r:embed="rId79" cstate="print"/>
                    <a:stretch>
                      <a:fillRect/>
                    </a:stretch>
                  </pic:blipFill>
                  <pic:spPr>
                    <a:xfrm>
                      <a:off x="0" y="0"/>
                      <a:ext cx="3017986" cy="2146744"/>
                    </a:xfrm>
                    <a:prstGeom prst="rect">
                      <a:avLst/>
                    </a:prstGeom>
                  </pic:spPr>
                </pic:pic>
              </a:graphicData>
            </a:graphic>
          </wp:anchor>
        </w:drawing>
      </w:r>
    </w:p>
    <w:p>
      <w:pPr>
        <w:spacing w:line="240" w:lineRule="auto" w:before="59"/>
        <w:ind w:left="1309" w:right="1091" w:hanging="4"/>
        <w:jc w:val="center"/>
        <w:rPr>
          <w:sz w:val="18"/>
        </w:rPr>
      </w:pPr>
      <w:bookmarkStart w:name="_bookmark80" w:id="124"/>
      <w:bookmarkEnd w:id="124"/>
      <w:r>
        <w:rPr/>
      </w:r>
      <w:r>
        <w:rPr>
          <w:sz w:val="18"/>
        </w:rPr>
        <w:t>Figura 2.34. Pieza impresa en azúcar (Fuente: </w:t>
      </w:r>
      <w:hyperlink r:id="rId80">
        <w:r>
          <w:rPr>
            <w:sz w:val="18"/>
          </w:rPr>
          <w:t>http://inhabitat.com/the-sugar-lab-</w:t>
        </w:r>
      </w:hyperlink>
      <w:r>
        <w:rPr>
          <w:sz w:val="18"/>
        </w:rPr>
        <w:t> </w:t>
      </w:r>
      <w:hyperlink r:id="rId80">
        <w:r>
          <w:rPr>
            <w:sz w:val="18"/>
          </w:rPr>
          <w:t>uses-a-3d-printer-to-create-sweet-edible-geometric-sculptures/,</w:t>
        </w:r>
      </w:hyperlink>
      <w:r>
        <w:rPr>
          <w:sz w:val="18"/>
        </w:rPr>
        <w:t> consultado el 16 de marzo de 2013).</w:t>
      </w:r>
    </w:p>
    <w:p>
      <w:pPr>
        <w:pStyle w:val="BodyText"/>
        <w:rPr>
          <w:sz w:val="18"/>
        </w:rPr>
      </w:pPr>
    </w:p>
    <w:p>
      <w:pPr>
        <w:pStyle w:val="BodyText"/>
        <w:spacing w:before="7"/>
        <w:rPr>
          <w:sz w:val="18"/>
        </w:rPr>
      </w:pPr>
    </w:p>
    <w:p>
      <w:pPr>
        <w:pStyle w:val="BodyText"/>
        <w:spacing w:line="360" w:lineRule="auto"/>
        <w:ind w:left="100" w:right="117"/>
        <w:jc w:val="both"/>
      </w:pPr>
      <w:r>
        <w:rPr/>
        <w:t>Liggett (2010) menciona que la obra de Wieki Somers sólo podría haber encontrado el siguiente nuevo material de construcción renovable - cenizas humanas. Para el Gran Hornu galería Imágenes exposición "En curso", ella utilizó una impresora 3D para convertir las cenizas humanas en el arte. Afirma que Somers diseñó tres piezas - una tostadora, un mini aspirador y una escala - para  la exposición que se supone que tienen los diseñadores de repensar la idea de progreso. En su opinión las piezas inquietantes, que se puede ver con detalle sobre en Designboom, eran una manera de preguntar cómo podemos llegar a ser </w:t>
      </w:r>
      <w:r>
        <w:rPr>
          <w:spacing w:val="-2"/>
        </w:rPr>
        <w:t>más </w:t>
      </w:r>
      <w:r>
        <w:rPr/>
        <w:t>apegados a los objetos con el fin de alejarse de la cultura de consumo; como se muestra en la </w:t>
      </w:r>
      <w:hyperlink w:history="true" w:anchor="_bookmark81">
        <w:r>
          <w:rPr/>
          <w:t>Figura</w:t>
        </w:r>
        <w:r>
          <w:rPr>
            <w:spacing w:val="-12"/>
          </w:rPr>
          <w:t> </w:t>
        </w:r>
        <w:r>
          <w:rPr/>
          <w:t>2.35</w:t>
        </w:r>
      </w:hyperlink>
      <w:r>
        <w:rPr/>
        <w:t>.</w:t>
      </w:r>
    </w:p>
    <w:p>
      <w:pPr>
        <w:spacing w:after="0" w:line="360" w:lineRule="auto"/>
        <w:jc w:val="both"/>
        <w:sectPr>
          <w:pgSz w:w="12240" w:h="15840"/>
          <w:pgMar w:header="0" w:footer="1031" w:top="1360" w:bottom="1220" w:left="1600" w:right="1580"/>
        </w:sectPr>
      </w:pPr>
    </w:p>
    <w:p>
      <w:pPr>
        <w:pStyle w:val="BodyText"/>
        <w:ind w:left="2570"/>
        <w:rPr>
          <w:sz w:val="20"/>
        </w:rPr>
      </w:pPr>
      <w:r>
        <w:rPr>
          <w:sz w:val="20"/>
        </w:rPr>
        <w:drawing>
          <wp:inline distT="0" distB="0" distL="0" distR="0">
            <wp:extent cx="2455132" cy="1920239"/>
            <wp:effectExtent l="0" t="0" r="0" b="0"/>
            <wp:docPr id="81" name="image41.jpeg" descr=""/>
            <wp:cNvGraphicFramePr>
              <a:graphicFrameLocks noChangeAspect="1"/>
            </wp:cNvGraphicFramePr>
            <a:graphic>
              <a:graphicData uri="http://schemas.openxmlformats.org/drawingml/2006/picture">
                <pic:pic>
                  <pic:nvPicPr>
                    <pic:cNvPr id="82" name="image41.jpeg"/>
                    <pic:cNvPicPr/>
                  </pic:nvPicPr>
                  <pic:blipFill>
                    <a:blip r:embed="rId81" cstate="print"/>
                    <a:stretch>
                      <a:fillRect/>
                    </a:stretch>
                  </pic:blipFill>
                  <pic:spPr>
                    <a:xfrm>
                      <a:off x="0" y="0"/>
                      <a:ext cx="2455132" cy="1920239"/>
                    </a:xfrm>
                    <a:prstGeom prst="rect">
                      <a:avLst/>
                    </a:prstGeom>
                  </pic:spPr>
                </pic:pic>
              </a:graphicData>
            </a:graphic>
          </wp:inline>
        </w:drawing>
      </w:r>
      <w:r>
        <w:rPr>
          <w:sz w:val="20"/>
        </w:rPr>
      </w:r>
    </w:p>
    <w:p>
      <w:pPr>
        <w:spacing w:before="132"/>
        <w:ind w:left="1461" w:right="1159" w:hanging="88"/>
        <w:jc w:val="left"/>
        <w:rPr>
          <w:sz w:val="18"/>
        </w:rPr>
      </w:pPr>
      <w:bookmarkStart w:name="_bookmark81" w:id="125"/>
      <w:bookmarkEnd w:id="125"/>
      <w:r>
        <w:rPr/>
      </w:r>
      <w:r>
        <w:rPr>
          <w:sz w:val="18"/>
        </w:rPr>
        <w:t>Figura 2.35. Diseño de Wieki Somers (Fuent</w:t>
      </w:r>
      <w:hyperlink r:id="rId82">
        <w:r>
          <w:rPr>
            <w:sz w:val="18"/>
          </w:rPr>
          <w:t>e: http://inhabitat.com/artist-uses-3d-</w:t>
        </w:r>
      </w:hyperlink>
      <w:r>
        <w:rPr>
          <w:sz w:val="18"/>
        </w:rPr>
        <w:t> </w:t>
      </w:r>
      <w:hyperlink r:id="rId82">
        <w:r>
          <w:rPr>
            <w:sz w:val="18"/>
          </w:rPr>
          <w:t>printer-to-turn-human-ashes-into-objects/,</w:t>
        </w:r>
      </w:hyperlink>
      <w:r>
        <w:rPr>
          <w:sz w:val="18"/>
        </w:rPr>
        <w:t>  consultado el 17 de marzo de 2014).</w:t>
      </w:r>
    </w:p>
    <w:p>
      <w:pPr>
        <w:pStyle w:val="BodyText"/>
        <w:rPr>
          <w:sz w:val="18"/>
        </w:rPr>
      </w:pPr>
    </w:p>
    <w:p>
      <w:pPr>
        <w:pStyle w:val="BodyText"/>
        <w:spacing w:before="3"/>
        <w:rPr>
          <w:sz w:val="18"/>
        </w:rPr>
      </w:pPr>
    </w:p>
    <w:p>
      <w:pPr>
        <w:pStyle w:val="BodyText"/>
        <w:spacing w:line="360" w:lineRule="auto"/>
        <w:ind w:left="100" w:right="116"/>
        <w:jc w:val="both"/>
      </w:pPr>
      <w:r>
        <w:rPr/>
        <w:t>Neri Oxman (2014) una impresión 3D en colaboración con el profesor W. Craig Carter, del Departamento de Ciencia de los Materiales e Ingeniería del MIT. La estructura de dos piezas en forma de capullo combina la fabricación sustractiva y aditiva el uso de nueva Color Multi-materiales Objet500 Connex3 Stratasys 'impresora 3D; formando distintas tonalidades de amarillos y naranjas transparentes y opacos, en diferentes rigideces, materiales, formas y superficies con terminado en piel. </w:t>
      </w:r>
      <w:hyperlink w:history="true" w:anchor="_bookmark82">
        <w:r>
          <w:rPr/>
          <w:t>Figura 2.36</w:t>
        </w:r>
      </w:hyperlink>
      <w:r>
        <w:rPr/>
        <w:t>. la aportación según Oxman es la "Nueva capacidad de impresión en 3D multi-color material Stratasys me ha permitido crear un rico diálogo entre el sonido y la luz, rígido y flexible, materiales naturales y artificiales y de las frecuencias espaciales altas y bajas en formas que eran imposibles hasta ahora." (Park, 2014).</w:t>
      </w:r>
    </w:p>
    <w:p>
      <w:pPr>
        <w:spacing w:after="0" w:line="360" w:lineRule="auto"/>
        <w:jc w:val="both"/>
        <w:sectPr>
          <w:pgSz w:w="12240" w:h="15840"/>
          <w:pgMar w:header="0" w:footer="1031" w:top="1420" w:bottom="1220" w:left="1600" w:right="1580"/>
        </w:sectPr>
      </w:pPr>
    </w:p>
    <w:p>
      <w:pPr>
        <w:pStyle w:val="BodyText"/>
        <w:ind w:left="2360"/>
        <w:rPr>
          <w:sz w:val="20"/>
        </w:rPr>
      </w:pPr>
      <w:r>
        <w:rPr>
          <w:sz w:val="20"/>
        </w:rPr>
        <w:drawing>
          <wp:inline distT="0" distB="0" distL="0" distR="0">
            <wp:extent cx="2729114" cy="1823085"/>
            <wp:effectExtent l="0" t="0" r="0" b="0"/>
            <wp:docPr id="83" name="image42.jpeg" descr=""/>
            <wp:cNvGraphicFramePr>
              <a:graphicFrameLocks noChangeAspect="1"/>
            </wp:cNvGraphicFramePr>
            <a:graphic>
              <a:graphicData uri="http://schemas.openxmlformats.org/drawingml/2006/picture">
                <pic:pic>
                  <pic:nvPicPr>
                    <pic:cNvPr id="84" name="image42.jpeg"/>
                    <pic:cNvPicPr/>
                  </pic:nvPicPr>
                  <pic:blipFill>
                    <a:blip r:embed="rId83" cstate="print"/>
                    <a:stretch>
                      <a:fillRect/>
                    </a:stretch>
                  </pic:blipFill>
                  <pic:spPr>
                    <a:xfrm>
                      <a:off x="0" y="0"/>
                      <a:ext cx="2729114" cy="1823085"/>
                    </a:xfrm>
                    <a:prstGeom prst="rect">
                      <a:avLst/>
                    </a:prstGeom>
                  </pic:spPr>
                </pic:pic>
              </a:graphicData>
            </a:graphic>
          </wp:inline>
        </w:drawing>
      </w:r>
      <w:r>
        <w:rPr>
          <w:sz w:val="20"/>
        </w:rPr>
      </w:r>
    </w:p>
    <w:p>
      <w:pPr>
        <w:spacing w:line="240" w:lineRule="auto" w:before="105"/>
        <w:ind w:left="1268" w:right="1067" w:firstLine="7"/>
        <w:jc w:val="center"/>
        <w:rPr>
          <w:sz w:val="18"/>
        </w:rPr>
      </w:pPr>
      <w:bookmarkStart w:name="_bookmark82" w:id="126"/>
      <w:bookmarkEnd w:id="126"/>
      <w:r>
        <w:rPr/>
      </w:r>
      <w:r>
        <w:rPr>
          <w:sz w:val="18"/>
        </w:rPr>
        <w:t>Figura 2.36. Diseño de Neri Oxman. (Fuente: </w:t>
      </w:r>
      <w:hyperlink r:id="rId84">
        <w:r>
          <w:rPr>
            <w:sz w:val="18"/>
          </w:rPr>
          <w:t>http://3dprintingindustry.com/2014/03/27/neri-oxman-pursues-3d-printing-multi-</w:t>
        </w:r>
      </w:hyperlink>
      <w:r>
        <w:rPr>
          <w:sz w:val="18"/>
        </w:rPr>
        <w:t> </w:t>
      </w:r>
      <w:hyperlink r:id="rId84">
        <w:r>
          <w:rPr>
            <w:sz w:val="18"/>
          </w:rPr>
          <w:t>materials-latest-mythical-installation-</w:t>
        </w:r>
      </w:hyperlink>
      <w:r>
        <w:rPr>
          <w:sz w:val="18"/>
        </w:rPr>
        <w:t> </w:t>
      </w:r>
      <w:hyperlink r:id="rId84">
        <w:r>
          <w:rPr>
            <w:spacing w:val="-1"/>
            <w:sz w:val="18"/>
          </w:rPr>
          <w:t>gemini/?utm_source=Facebook&amp;utm_medium=social&amp;utm_campaign=3DPI%2BFac</w:t>
        </w:r>
      </w:hyperlink>
      <w:r>
        <w:rPr>
          <w:spacing w:val="-1"/>
          <w:sz w:val="18"/>
        </w:rPr>
        <w:t> </w:t>
      </w:r>
      <w:hyperlink r:id="rId84">
        <w:r>
          <w:rPr>
            <w:sz w:val="18"/>
          </w:rPr>
          <w:t>ebook,</w:t>
        </w:r>
      </w:hyperlink>
      <w:r>
        <w:rPr>
          <w:sz w:val="18"/>
        </w:rPr>
        <w:t>   consultado el  28 de marzo de 2014).</w:t>
      </w:r>
    </w:p>
    <w:p>
      <w:pPr>
        <w:pStyle w:val="BodyText"/>
        <w:rPr>
          <w:sz w:val="18"/>
        </w:rPr>
      </w:pPr>
    </w:p>
    <w:p>
      <w:pPr>
        <w:pStyle w:val="BodyText"/>
        <w:spacing w:before="6"/>
        <w:rPr>
          <w:sz w:val="18"/>
        </w:rPr>
      </w:pPr>
    </w:p>
    <w:p>
      <w:pPr>
        <w:pStyle w:val="BodyText"/>
        <w:spacing w:line="360" w:lineRule="auto"/>
        <w:ind w:left="100" w:right="115"/>
        <w:jc w:val="both"/>
      </w:pPr>
      <w:r>
        <w:rPr/>
        <w:t>Matus (2012) menciona la impresión de la tira de tocino Moebius, una tira Kosher y amigable para los vegetarianos de a carne falsa que se retuerce sobre sí misma, sin principio ni fin. En verdad, es una maravilla de la tecnología moderna. El  diseño de Joaquín Baldwin está disponible para su compra en línea. Ver </w:t>
      </w:r>
      <w:hyperlink w:history="true" w:anchor="_bookmark83">
        <w:r>
          <w:rPr/>
          <w:t>Figura</w:t>
        </w:r>
      </w:hyperlink>
      <w:r>
        <w:rPr/>
        <w:t> </w:t>
      </w:r>
      <w:hyperlink w:history="true" w:anchor="_bookmark83">
        <w:r>
          <w:rPr/>
          <w:t>2.37</w:t>
        </w:r>
      </w:hyperlink>
      <w:r>
        <w:rPr/>
        <w:t>.</w:t>
      </w:r>
    </w:p>
    <w:p>
      <w:pPr>
        <w:pStyle w:val="BodyText"/>
        <w:ind w:left="2398"/>
        <w:rPr>
          <w:sz w:val="20"/>
        </w:rPr>
      </w:pPr>
      <w:r>
        <w:rPr>
          <w:sz w:val="20"/>
        </w:rPr>
        <w:drawing>
          <wp:inline distT="0" distB="0" distL="0" distR="0">
            <wp:extent cx="2696594" cy="1863470"/>
            <wp:effectExtent l="0" t="0" r="0" b="0"/>
            <wp:docPr id="85" name="image43.jpeg" descr=""/>
            <wp:cNvGraphicFramePr>
              <a:graphicFrameLocks noChangeAspect="1"/>
            </wp:cNvGraphicFramePr>
            <a:graphic>
              <a:graphicData uri="http://schemas.openxmlformats.org/drawingml/2006/picture">
                <pic:pic>
                  <pic:nvPicPr>
                    <pic:cNvPr id="86" name="image43.jpeg"/>
                    <pic:cNvPicPr/>
                  </pic:nvPicPr>
                  <pic:blipFill>
                    <a:blip r:embed="rId85" cstate="print"/>
                    <a:stretch>
                      <a:fillRect/>
                    </a:stretch>
                  </pic:blipFill>
                  <pic:spPr>
                    <a:xfrm>
                      <a:off x="0" y="0"/>
                      <a:ext cx="2696594" cy="1863470"/>
                    </a:xfrm>
                    <a:prstGeom prst="rect">
                      <a:avLst/>
                    </a:prstGeom>
                  </pic:spPr>
                </pic:pic>
              </a:graphicData>
            </a:graphic>
          </wp:inline>
        </w:drawing>
      </w:r>
      <w:r>
        <w:rPr>
          <w:sz w:val="20"/>
        </w:rPr>
      </w:r>
    </w:p>
    <w:p>
      <w:pPr>
        <w:spacing w:line="240" w:lineRule="auto" w:before="107"/>
        <w:ind w:left="1265" w:right="1056" w:hanging="1"/>
        <w:jc w:val="center"/>
        <w:rPr>
          <w:sz w:val="18"/>
        </w:rPr>
      </w:pPr>
      <w:bookmarkStart w:name="_bookmark83" w:id="127"/>
      <w:bookmarkEnd w:id="127"/>
      <w:r>
        <w:rPr/>
      </w:r>
      <w:r>
        <w:rPr>
          <w:sz w:val="18"/>
        </w:rPr>
        <w:t>Figura 2.37. Tira de tocino Moebius, Impreso en 3D “Toma la carne falsa hasta el infinito y más allá”. (Fuente: </w:t>
      </w:r>
      <w:hyperlink r:id="rId86">
        <w:r>
          <w:rPr>
            <w:sz w:val="18"/>
          </w:rPr>
          <w:t>http://inhabitat.com/3d-printed-vegan-bacon-mobius-</w:t>
        </w:r>
      </w:hyperlink>
      <w:r>
        <w:rPr>
          <w:sz w:val="18"/>
        </w:rPr>
        <w:t> strip-takes-fake-meat-to-infinity-and-beyond/ html, consultado el día 16 de marzo de 2004).</w:t>
      </w:r>
    </w:p>
    <w:p>
      <w:pPr>
        <w:pStyle w:val="BodyText"/>
        <w:rPr>
          <w:sz w:val="18"/>
        </w:rPr>
      </w:pPr>
    </w:p>
    <w:p>
      <w:pPr>
        <w:pStyle w:val="BodyText"/>
        <w:spacing w:before="10"/>
        <w:rPr>
          <w:sz w:val="17"/>
        </w:rPr>
      </w:pPr>
    </w:p>
    <w:p>
      <w:pPr>
        <w:pStyle w:val="BodyText"/>
        <w:spacing w:line="362" w:lineRule="auto"/>
        <w:ind w:left="100" w:right="117"/>
        <w:jc w:val="both"/>
      </w:pPr>
      <w:r>
        <w:rPr/>
        <w:t>Van der Kley, Michiel (2013) en su proyecto de impresión 3D, </w:t>
      </w:r>
      <w:hyperlink r:id="rId87">
        <w:r>
          <w:rPr>
            <w:b/>
          </w:rPr>
          <w:t>Project Egg</w:t>
        </w:r>
      </w:hyperlink>
      <w:r>
        <w:rPr>
          <w:b/>
        </w:rPr>
        <w:t> </w:t>
      </w:r>
      <w:r>
        <w:rPr/>
        <w:t>es un amplio espacio (5 x 4 x 3 metros) formado por 4760 "piedras" únicas. El espacio,  el "Egg", ha sido construido íntegramente en Rhinoceros® y</w:t>
      </w:r>
      <w:r>
        <w:rPr>
          <w:spacing w:val="-31"/>
        </w:rPr>
        <w:t> </w:t>
      </w:r>
      <w:r>
        <w:rPr/>
        <w:t>Grasshopper®.</w:t>
      </w:r>
    </w:p>
    <w:p>
      <w:pPr>
        <w:pStyle w:val="BodyText"/>
      </w:pPr>
    </w:p>
    <w:p>
      <w:pPr>
        <w:pStyle w:val="BodyText"/>
        <w:spacing w:before="139"/>
        <w:ind w:left="100"/>
        <w:jc w:val="both"/>
      </w:pPr>
      <w:r>
        <w:rPr/>
        <w:t>Él afirma que también es un proyecto sobre creación colaborativa. Él pide  a todos</w:t>
      </w:r>
    </w:p>
    <w:p>
      <w:pPr>
        <w:spacing w:after="0"/>
        <w:jc w:val="both"/>
        <w:sectPr>
          <w:pgSz w:w="12240" w:h="15840"/>
          <w:pgMar w:header="0" w:footer="1031" w:top="1420" w:bottom="1220" w:left="1600" w:right="1580"/>
        </w:sectPr>
      </w:pPr>
    </w:p>
    <w:p>
      <w:pPr>
        <w:pStyle w:val="BodyText"/>
        <w:spacing w:line="360" w:lineRule="auto" w:before="55"/>
        <w:ind w:left="100" w:right="100"/>
        <w:jc w:val="both"/>
      </w:pPr>
      <w:r>
        <w:rPr/>
        <w:t>los que les guste el proyecto y tengan una impresora 3D que les impriman una piedra, para realizar un proyecto comunitario; Invitó a la gente que no tenga una impresora 3D puede adoptar una piedra y así también formar parte del proyecto.  El resultado de Project Egg se exhibiría en Milán durante la feria de mobiliario, en abril de 2014</w:t>
      </w:r>
      <w:r>
        <w:rPr>
          <w:color w:val="333333"/>
        </w:rPr>
        <w:t>. Ver </w:t>
      </w:r>
      <w:hyperlink w:history="true" w:anchor="_bookmark84">
        <w:r>
          <w:rPr/>
          <w:t>Figura</w:t>
        </w:r>
        <w:r>
          <w:rPr>
            <w:spacing w:val="-15"/>
          </w:rPr>
          <w:t> </w:t>
        </w:r>
        <w:r>
          <w:rPr/>
          <w:t>2.38</w:t>
        </w:r>
      </w:hyperlink>
      <w:r>
        <w:rPr>
          <w:color w:val="333333"/>
        </w:rPr>
        <w:t>.</w:t>
      </w:r>
    </w:p>
    <w:p>
      <w:pPr>
        <w:pStyle w:val="BodyText"/>
        <w:rPr>
          <w:sz w:val="20"/>
        </w:rPr>
      </w:pPr>
    </w:p>
    <w:p>
      <w:pPr>
        <w:pStyle w:val="BodyText"/>
        <w:spacing w:before="1"/>
        <w:rPr>
          <w:sz w:val="13"/>
        </w:rPr>
      </w:pPr>
      <w:r>
        <w:rPr/>
        <w:drawing>
          <wp:anchor distT="0" distB="0" distL="0" distR="0" allowOverlap="1" layoutInCell="1" locked="0" behindDoc="0" simplePos="0" relativeHeight="1600">
            <wp:simplePos x="0" y="0"/>
            <wp:positionH relativeFrom="page">
              <wp:posOffset>2505075</wp:posOffset>
            </wp:positionH>
            <wp:positionV relativeFrom="paragraph">
              <wp:posOffset>120585</wp:posOffset>
            </wp:positionV>
            <wp:extent cx="2743200" cy="2057400"/>
            <wp:effectExtent l="0" t="0" r="0" b="0"/>
            <wp:wrapTopAndBottom/>
            <wp:docPr id="87" name="image44.jpeg" descr=""/>
            <wp:cNvGraphicFramePr>
              <a:graphicFrameLocks noChangeAspect="1"/>
            </wp:cNvGraphicFramePr>
            <a:graphic>
              <a:graphicData uri="http://schemas.openxmlformats.org/drawingml/2006/picture">
                <pic:pic>
                  <pic:nvPicPr>
                    <pic:cNvPr id="88" name="image44.jpeg"/>
                    <pic:cNvPicPr/>
                  </pic:nvPicPr>
                  <pic:blipFill>
                    <a:blip r:embed="rId88" cstate="print"/>
                    <a:stretch>
                      <a:fillRect/>
                    </a:stretch>
                  </pic:blipFill>
                  <pic:spPr>
                    <a:xfrm>
                      <a:off x="0" y="0"/>
                      <a:ext cx="2743200" cy="2057400"/>
                    </a:xfrm>
                    <a:prstGeom prst="rect">
                      <a:avLst/>
                    </a:prstGeom>
                  </pic:spPr>
                </pic:pic>
              </a:graphicData>
            </a:graphic>
          </wp:anchor>
        </w:drawing>
      </w:r>
    </w:p>
    <w:p>
      <w:pPr>
        <w:spacing w:before="102"/>
        <w:ind w:left="1318" w:right="1089" w:firstLine="0"/>
        <w:jc w:val="center"/>
        <w:rPr>
          <w:sz w:val="18"/>
        </w:rPr>
      </w:pPr>
      <w:bookmarkStart w:name="_bookmark84" w:id="128"/>
      <w:bookmarkEnd w:id="128"/>
      <w:r>
        <w:rPr/>
      </w:r>
      <w:r>
        <w:rPr>
          <w:sz w:val="18"/>
        </w:rPr>
        <w:t>Figura 2.38. Proyecto huevo de Van der Kley (Fuente: </w:t>
      </w:r>
      <w:hyperlink r:id="rId89">
        <w:r>
          <w:rPr>
            <w:sz w:val="18"/>
          </w:rPr>
          <w:t>http://blog.es.rhino3d.com/,</w:t>
        </w:r>
      </w:hyperlink>
      <w:r>
        <w:rPr>
          <w:sz w:val="18"/>
        </w:rPr>
        <w:t> consultado el 6 de noviembre de 2013).</w:t>
      </w:r>
    </w:p>
    <w:p>
      <w:pPr>
        <w:pStyle w:val="BodyText"/>
        <w:rPr>
          <w:sz w:val="18"/>
        </w:rPr>
      </w:pPr>
    </w:p>
    <w:p>
      <w:pPr>
        <w:pStyle w:val="BodyText"/>
        <w:spacing w:before="2"/>
        <w:rPr>
          <w:sz w:val="18"/>
        </w:rPr>
      </w:pPr>
    </w:p>
    <w:p>
      <w:pPr>
        <w:pStyle w:val="BodyText"/>
        <w:spacing w:line="360" w:lineRule="auto"/>
        <w:ind w:left="100" w:right="100"/>
        <w:jc w:val="both"/>
      </w:pPr>
      <w:r>
        <w:rPr/>
        <w:t>Tortosa (2013) integrante del Proyecto Lleona, donde diseñan impresoras que impriman en diferentes materiales como ABS, derivados del maíz o madera con resinas, y se basan en la iniciativa RepRap de crear una impresora 3D autoreplicables, buscando materiales sustentables que sean económicos, que no dañen el medio ambiente; en esta fotos se pueden ver la impresión de un material de madera con resina, ver </w:t>
      </w:r>
      <w:hyperlink w:history="true" w:anchor="_bookmark85">
        <w:r>
          <w:rPr/>
          <w:t>Figura 2.39</w:t>
        </w:r>
      </w:hyperlink>
      <w:r>
        <w:rPr/>
        <w:t>.</w:t>
      </w:r>
    </w:p>
    <w:p>
      <w:pPr>
        <w:pStyle w:val="BodyText"/>
        <w:rPr>
          <w:sz w:val="20"/>
        </w:rPr>
      </w:pPr>
    </w:p>
    <w:p>
      <w:pPr>
        <w:pStyle w:val="BodyText"/>
        <w:spacing w:before="10"/>
        <w:rPr>
          <w:sz w:val="12"/>
        </w:rPr>
      </w:pPr>
      <w:r>
        <w:rPr/>
        <w:drawing>
          <wp:anchor distT="0" distB="0" distL="0" distR="0" allowOverlap="1" layoutInCell="1" locked="0" behindDoc="0" simplePos="0" relativeHeight="1624">
            <wp:simplePos x="0" y="0"/>
            <wp:positionH relativeFrom="page">
              <wp:posOffset>1080135</wp:posOffset>
            </wp:positionH>
            <wp:positionV relativeFrom="paragraph">
              <wp:posOffset>119187</wp:posOffset>
            </wp:positionV>
            <wp:extent cx="5651073" cy="1345311"/>
            <wp:effectExtent l="0" t="0" r="0" b="0"/>
            <wp:wrapTopAndBottom/>
            <wp:docPr id="89" name="image45.jpeg" descr=""/>
            <wp:cNvGraphicFramePr>
              <a:graphicFrameLocks noChangeAspect="1"/>
            </wp:cNvGraphicFramePr>
            <a:graphic>
              <a:graphicData uri="http://schemas.openxmlformats.org/drawingml/2006/picture">
                <pic:pic>
                  <pic:nvPicPr>
                    <pic:cNvPr id="90" name="image45.jpeg"/>
                    <pic:cNvPicPr/>
                  </pic:nvPicPr>
                  <pic:blipFill>
                    <a:blip r:embed="rId90" cstate="print"/>
                    <a:stretch>
                      <a:fillRect/>
                    </a:stretch>
                  </pic:blipFill>
                  <pic:spPr>
                    <a:xfrm>
                      <a:off x="0" y="0"/>
                      <a:ext cx="5651073" cy="1345311"/>
                    </a:xfrm>
                    <a:prstGeom prst="rect">
                      <a:avLst/>
                    </a:prstGeom>
                  </pic:spPr>
                </pic:pic>
              </a:graphicData>
            </a:graphic>
          </wp:anchor>
        </w:drawing>
      </w:r>
    </w:p>
    <w:p>
      <w:pPr>
        <w:spacing w:line="240" w:lineRule="auto" w:before="58"/>
        <w:ind w:left="1341" w:right="1111" w:hanging="8"/>
        <w:jc w:val="center"/>
        <w:rPr>
          <w:sz w:val="18"/>
        </w:rPr>
      </w:pPr>
      <w:bookmarkStart w:name="_bookmark85" w:id="129"/>
      <w:bookmarkEnd w:id="129"/>
      <w:r>
        <w:rPr/>
      </w:r>
      <w:r>
        <w:rPr>
          <w:sz w:val="18"/>
        </w:rPr>
        <w:t>Figura 2.39. Impresora 3D, material de impresión </w:t>
      </w:r>
      <w:r>
        <w:rPr>
          <w:spacing w:val="-3"/>
          <w:sz w:val="18"/>
        </w:rPr>
        <w:t>de </w:t>
      </w:r>
      <w:r>
        <w:rPr>
          <w:sz w:val="18"/>
        </w:rPr>
        <w:t>madera con resina. (Fuente: </w:t>
      </w:r>
      <w:hyperlink r:id="rId91">
        <w:r>
          <w:rPr>
            <w:sz w:val="18"/>
          </w:rPr>
          <w:t>http://proyectolleona.blogspot.mx/search?updated-min=2012-12-31T15:00:00-</w:t>
        </w:r>
      </w:hyperlink>
      <w:r>
        <w:rPr>
          <w:sz w:val="18"/>
        </w:rPr>
        <w:t> </w:t>
      </w:r>
      <w:hyperlink r:id="rId91">
        <w:r>
          <w:rPr>
            <w:spacing w:val="-1"/>
            <w:sz w:val="18"/>
          </w:rPr>
          <w:t>08:00&amp;updated-max=2013-06-22T15:31:00%2B02:00&amp;max-results=3&amp;start=3&amp;by-</w:t>
        </w:r>
      </w:hyperlink>
      <w:r>
        <w:rPr>
          <w:spacing w:val="-1"/>
          <w:sz w:val="18"/>
        </w:rPr>
        <w:t> </w:t>
      </w:r>
      <w:hyperlink r:id="rId91">
        <w:r>
          <w:rPr>
            <w:sz w:val="18"/>
          </w:rPr>
          <w:t>date=false,</w:t>
        </w:r>
      </w:hyperlink>
      <w:r>
        <w:rPr>
          <w:sz w:val="18"/>
        </w:rPr>
        <w:t>  consultado el 26 de junio de 2013).</w:t>
      </w:r>
    </w:p>
    <w:p>
      <w:pPr>
        <w:spacing w:after="0" w:line="240" w:lineRule="auto"/>
        <w:jc w:val="center"/>
        <w:rPr>
          <w:sz w:val="18"/>
        </w:rPr>
        <w:sectPr>
          <w:pgSz w:w="12240" w:h="15840"/>
          <w:pgMar w:header="0" w:footer="1031" w:top="1360" w:bottom="1220" w:left="1600" w:right="1600"/>
        </w:sectPr>
      </w:pPr>
    </w:p>
    <w:p>
      <w:pPr>
        <w:pStyle w:val="BodyText"/>
        <w:spacing w:line="362" w:lineRule="auto" w:before="55"/>
        <w:ind w:left="100" w:right="104"/>
        <w:jc w:val="both"/>
      </w:pPr>
      <w:r>
        <w:rPr/>
        <w:t>Otro ejemplo de impresión en diferentes materiales, la podemos apreciar en el caso del artista Kevin Mack, que imprime en vidrio, ver </w:t>
      </w:r>
      <w:hyperlink w:history="true" w:anchor="_bookmark86">
        <w:r>
          <w:rPr/>
          <w:t>Figura 2.40</w:t>
        </w:r>
      </w:hyperlink>
      <w:r>
        <w:rPr/>
        <w:t>.</w:t>
      </w:r>
    </w:p>
    <w:p>
      <w:pPr>
        <w:pStyle w:val="BodyText"/>
        <w:rPr>
          <w:sz w:val="20"/>
        </w:rPr>
      </w:pPr>
    </w:p>
    <w:p>
      <w:pPr>
        <w:pStyle w:val="BodyText"/>
        <w:spacing w:before="8"/>
        <w:rPr>
          <w:sz w:val="12"/>
        </w:rPr>
      </w:pPr>
      <w:r>
        <w:rPr/>
        <w:drawing>
          <wp:anchor distT="0" distB="0" distL="0" distR="0" allowOverlap="1" layoutInCell="1" locked="0" behindDoc="0" simplePos="0" relativeHeight="1648">
            <wp:simplePos x="0" y="0"/>
            <wp:positionH relativeFrom="page">
              <wp:posOffset>3162300</wp:posOffset>
            </wp:positionH>
            <wp:positionV relativeFrom="paragraph">
              <wp:posOffset>117993</wp:posOffset>
            </wp:positionV>
            <wp:extent cx="1458563" cy="1944624"/>
            <wp:effectExtent l="0" t="0" r="0" b="0"/>
            <wp:wrapTopAndBottom/>
            <wp:docPr id="91" name="image46.jpeg" descr=""/>
            <wp:cNvGraphicFramePr>
              <a:graphicFrameLocks noChangeAspect="1"/>
            </wp:cNvGraphicFramePr>
            <a:graphic>
              <a:graphicData uri="http://schemas.openxmlformats.org/drawingml/2006/picture">
                <pic:pic>
                  <pic:nvPicPr>
                    <pic:cNvPr id="92" name="image46.jpeg"/>
                    <pic:cNvPicPr/>
                  </pic:nvPicPr>
                  <pic:blipFill>
                    <a:blip r:embed="rId92" cstate="print"/>
                    <a:stretch>
                      <a:fillRect/>
                    </a:stretch>
                  </pic:blipFill>
                  <pic:spPr>
                    <a:xfrm>
                      <a:off x="0" y="0"/>
                      <a:ext cx="1458563" cy="1944624"/>
                    </a:xfrm>
                    <a:prstGeom prst="rect">
                      <a:avLst/>
                    </a:prstGeom>
                  </pic:spPr>
                </pic:pic>
              </a:graphicData>
            </a:graphic>
          </wp:anchor>
        </w:drawing>
      </w:r>
    </w:p>
    <w:p>
      <w:pPr>
        <w:spacing w:before="49"/>
        <w:ind w:left="1317" w:right="1069" w:firstLine="1440"/>
        <w:jc w:val="left"/>
        <w:rPr>
          <w:sz w:val="18"/>
        </w:rPr>
      </w:pPr>
      <w:bookmarkStart w:name="_bookmark86" w:id="130"/>
      <w:bookmarkEnd w:id="130"/>
      <w:r>
        <w:rPr/>
      </w:r>
      <w:r>
        <w:rPr>
          <w:sz w:val="18"/>
        </w:rPr>
        <w:t>Figura 2.40. Noción de baile de vidrio. (Fuente: </w:t>
      </w:r>
      <w:hyperlink r:id="rId93">
        <w:r>
          <w:rPr>
            <w:sz w:val="18"/>
          </w:rPr>
          <w:t>http://www.kevinmackart.com/sculpture.html,</w:t>
        </w:r>
      </w:hyperlink>
      <w:r>
        <w:rPr>
          <w:sz w:val="18"/>
        </w:rPr>
        <w:t>  consultado 8 de noviembre de 2013).</w:t>
      </w:r>
    </w:p>
    <w:p>
      <w:pPr>
        <w:pStyle w:val="BodyText"/>
        <w:rPr>
          <w:sz w:val="18"/>
        </w:rPr>
      </w:pPr>
    </w:p>
    <w:p>
      <w:pPr>
        <w:pStyle w:val="BodyText"/>
        <w:rPr>
          <w:sz w:val="18"/>
        </w:rPr>
      </w:pPr>
    </w:p>
    <w:p>
      <w:pPr>
        <w:pStyle w:val="BodyText"/>
        <w:spacing w:before="2"/>
        <w:rPr>
          <w:sz w:val="17"/>
        </w:rPr>
      </w:pPr>
    </w:p>
    <w:p>
      <w:pPr>
        <w:pStyle w:val="Heading2"/>
        <w:numPr>
          <w:ilvl w:val="3"/>
          <w:numId w:val="26"/>
        </w:numPr>
        <w:tabs>
          <w:tab w:pos="1517" w:val="left" w:leader="none"/>
        </w:tabs>
        <w:spacing w:line="240" w:lineRule="auto" w:before="0" w:after="0"/>
        <w:ind w:left="1517" w:right="0" w:hanging="1417"/>
        <w:jc w:val="both"/>
      </w:pPr>
      <w:bookmarkStart w:name="2.7.2.3. Obra intervenida con máquina CN" w:id="131"/>
      <w:bookmarkEnd w:id="131"/>
      <w:r>
        <w:rPr/>
      </w:r>
      <w:bookmarkStart w:name="_bookmark87" w:id="132"/>
      <w:bookmarkEnd w:id="132"/>
      <w:r>
        <w:rPr/>
      </w:r>
      <w:bookmarkStart w:name="_bookmark87" w:id="133"/>
      <w:bookmarkEnd w:id="133"/>
      <w:r>
        <w:rPr/>
        <w:t>O</w:t>
      </w:r>
      <w:r>
        <w:rPr/>
        <w:t>bra intervenida con máquina</w:t>
      </w:r>
      <w:r>
        <w:rPr>
          <w:spacing w:val="-3"/>
        </w:rPr>
        <w:t> </w:t>
      </w:r>
      <w:r>
        <w:rPr/>
        <w:t>CNC</w:t>
      </w:r>
    </w:p>
    <w:p>
      <w:pPr>
        <w:pStyle w:val="BodyText"/>
        <w:rPr>
          <w:sz w:val="28"/>
        </w:rPr>
      </w:pPr>
    </w:p>
    <w:p>
      <w:pPr>
        <w:pStyle w:val="BodyText"/>
        <w:spacing w:before="4"/>
        <w:rPr>
          <w:sz w:val="22"/>
        </w:rPr>
      </w:pPr>
    </w:p>
    <w:p>
      <w:pPr>
        <w:pStyle w:val="BodyText"/>
        <w:spacing w:line="360" w:lineRule="auto"/>
        <w:ind w:left="100" w:right="99"/>
        <w:jc w:val="both"/>
      </w:pPr>
      <w:r>
        <w:rPr/>
        <w:t>Collins, (2013) afirma que él trabaja una serie de obra escultórica donde utiliza modelos de computadora para controlar el tipo y el grado de distorsión impuesta a un objeto, (Ver </w:t>
      </w:r>
      <w:hyperlink w:history="true" w:anchor="_bookmark88">
        <w:r>
          <w:rPr/>
          <w:t>Figura 2.41</w:t>
        </w:r>
      </w:hyperlink>
      <w:r>
        <w:rPr/>
        <w:t>.) determinado o un conjunto de datos. Operaciones de escala, los cambios proporcionales, miradores excéntricos, procesos </w:t>
      </w:r>
      <w:r>
        <w:rPr>
          <w:i/>
        </w:rPr>
        <w:t>morphing</w:t>
      </w:r>
      <w:r>
        <w:rPr/>
        <w:t>, y 3D montaje son algunas de las técnicas explorados por este cuerpo de trabajo.</w:t>
      </w:r>
    </w:p>
    <w:p>
      <w:pPr>
        <w:pStyle w:val="BodyText"/>
      </w:pPr>
    </w:p>
    <w:p>
      <w:pPr>
        <w:pStyle w:val="BodyText"/>
        <w:spacing w:before="142"/>
        <w:ind w:left="100"/>
        <w:jc w:val="both"/>
      </w:pPr>
      <w:r>
        <w:rPr/>
        <w:t>Ejemplo de su dicho trabajo lo podemos ver en la siguiente Figura 2.41.</w:t>
      </w:r>
    </w:p>
    <w:p>
      <w:pPr>
        <w:spacing w:after="0"/>
        <w:jc w:val="both"/>
        <w:sectPr>
          <w:pgSz w:w="12240" w:h="15840"/>
          <w:pgMar w:header="0" w:footer="1031" w:top="1360" w:bottom="1220" w:left="1600" w:right="1600"/>
        </w:sectPr>
      </w:pPr>
    </w:p>
    <w:p>
      <w:pPr>
        <w:pStyle w:val="BodyText"/>
        <w:ind w:left="3197"/>
        <w:rPr>
          <w:sz w:val="20"/>
        </w:rPr>
      </w:pPr>
      <w:r>
        <w:rPr>
          <w:sz w:val="20"/>
        </w:rPr>
        <w:drawing>
          <wp:inline distT="0" distB="0" distL="0" distR="0">
            <wp:extent cx="1680210" cy="2352294"/>
            <wp:effectExtent l="0" t="0" r="0" b="0"/>
            <wp:docPr id="93" name="image47.jpeg" descr=""/>
            <wp:cNvGraphicFramePr>
              <a:graphicFrameLocks noChangeAspect="1"/>
            </wp:cNvGraphicFramePr>
            <a:graphic>
              <a:graphicData uri="http://schemas.openxmlformats.org/drawingml/2006/picture">
                <pic:pic>
                  <pic:nvPicPr>
                    <pic:cNvPr id="94" name="image47.jpeg"/>
                    <pic:cNvPicPr/>
                  </pic:nvPicPr>
                  <pic:blipFill>
                    <a:blip r:embed="rId94" cstate="print"/>
                    <a:stretch>
                      <a:fillRect/>
                    </a:stretch>
                  </pic:blipFill>
                  <pic:spPr>
                    <a:xfrm>
                      <a:off x="0" y="0"/>
                      <a:ext cx="1680210" cy="2352294"/>
                    </a:xfrm>
                    <a:prstGeom prst="rect">
                      <a:avLst/>
                    </a:prstGeom>
                  </pic:spPr>
                </pic:pic>
              </a:graphicData>
            </a:graphic>
          </wp:inline>
        </w:drawing>
      </w:r>
      <w:r>
        <w:rPr>
          <w:sz w:val="20"/>
        </w:rPr>
      </w:r>
    </w:p>
    <w:p>
      <w:pPr>
        <w:spacing w:line="240" w:lineRule="auto" w:before="95"/>
        <w:ind w:left="1248" w:right="1015" w:hanging="5"/>
        <w:jc w:val="center"/>
        <w:rPr>
          <w:sz w:val="18"/>
        </w:rPr>
      </w:pPr>
      <w:bookmarkStart w:name="_bookmark88" w:id="134"/>
      <w:bookmarkEnd w:id="134"/>
      <w:r>
        <w:rPr/>
      </w:r>
      <w:r>
        <w:rPr>
          <w:sz w:val="18"/>
        </w:rPr>
        <w:t>Figura 2.41. Dan Collins. Resina de poliéster sobre de corte de espuma de uretano CNC. 96” x 30” x 30” con zócalo de madera contrachapada. Universidad del Estado de Arizona. (Fuente: </w:t>
      </w:r>
      <w:hyperlink r:id="rId95">
        <w:r>
          <w:rPr>
            <w:sz w:val="18"/>
          </w:rPr>
          <w:t>http://digitaleyes2008.org/?q=gallery-twister,</w:t>
        </w:r>
      </w:hyperlink>
      <w:r>
        <w:rPr>
          <w:sz w:val="18"/>
        </w:rPr>
        <w:t> consultado el 8 de noviembre de 2013).</w:t>
      </w:r>
    </w:p>
    <w:p>
      <w:pPr>
        <w:pStyle w:val="BodyText"/>
        <w:rPr>
          <w:sz w:val="18"/>
        </w:rPr>
      </w:pPr>
    </w:p>
    <w:p>
      <w:pPr>
        <w:pStyle w:val="BodyText"/>
        <w:spacing w:before="6"/>
        <w:rPr>
          <w:sz w:val="18"/>
        </w:rPr>
      </w:pPr>
    </w:p>
    <w:p>
      <w:pPr>
        <w:pStyle w:val="BodyText"/>
        <w:spacing w:line="360" w:lineRule="auto"/>
        <w:ind w:left="100" w:right="102"/>
        <w:jc w:val="both"/>
      </w:pPr>
      <w:r>
        <w:rPr/>
        <w:t>Dan Collins agrega que sus puentes de investigación tiene tres dominios: la adquisición de datos, la visualización/modelado y forma la realización (a través de las tecnologías de fabricación asistida por ordenador). En lo que respecta a los dispositivos de “entrada”, Collins está interesado en la recolección de datos de una amplia gama de escalas a partir de nano y micro datos derivados de las tecnologías de imágenes microscópicas, los datos derivados de los sistemas planetarios como el satélite basado en radar de apertura sintética. De particular interés son las tecnologías para la traducción de la forma del cuerpo en modelos digitales, tales como escáneres láser 3D y diversas herramientas de diagnóstico médico.</w:t>
      </w:r>
    </w:p>
    <w:p>
      <w:pPr>
        <w:pStyle w:val="BodyText"/>
      </w:pPr>
    </w:p>
    <w:p>
      <w:pPr>
        <w:pStyle w:val="BodyText"/>
        <w:spacing w:line="360" w:lineRule="auto" w:before="142"/>
        <w:ind w:left="100" w:right="98"/>
        <w:jc w:val="both"/>
      </w:pPr>
      <w:r>
        <w:rPr/>
        <w:t>Tortosa (2012) se refiere a la tecnificación del proceso cuando el poliestireno expandido propició la creación de figuras originales realizadas mediante el labrado directo sobre el material. Él dice que la superposición de placas de diferentes grosores, dependiendo de las zonas con mayor o menor nivel de detalle; él introdujo una nueva forma para construir las figuras de gran tamaño (remates).</w:t>
      </w:r>
    </w:p>
    <w:p>
      <w:pPr>
        <w:pStyle w:val="BodyText"/>
      </w:pPr>
    </w:p>
    <w:p>
      <w:pPr>
        <w:spacing w:line="360" w:lineRule="auto" w:before="140"/>
        <w:ind w:left="809" w:right="104" w:firstLine="0"/>
        <w:jc w:val="left"/>
        <w:rPr>
          <w:i/>
          <w:sz w:val="20"/>
        </w:rPr>
      </w:pPr>
      <w:r>
        <w:rPr>
          <w:i/>
          <w:sz w:val="20"/>
        </w:rPr>
        <w:t>Las máquinas CNC (control numérico computerizado) de corte y/o fresado, están </w:t>
      </w:r>
      <w:r>
        <w:rPr>
          <w:i/>
          <w:sz w:val="20"/>
        </w:rPr>
        <w:t>propiciando  y  facilitando  la  realización  del  proceso  con  importantísimas  mejoras   que</w:t>
      </w:r>
    </w:p>
    <w:p>
      <w:pPr>
        <w:spacing w:after="0" w:line="360" w:lineRule="auto"/>
        <w:jc w:val="left"/>
        <w:rPr>
          <w:sz w:val="20"/>
        </w:rPr>
        <w:sectPr>
          <w:pgSz w:w="12240" w:h="15840"/>
          <w:pgMar w:header="0" w:footer="1031" w:top="1420" w:bottom="1220" w:left="1600" w:right="1600"/>
        </w:sectPr>
      </w:pPr>
    </w:p>
    <w:p>
      <w:pPr>
        <w:spacing w:line="360" w:lineRule="auto" w:before="53"/>
        <w:ind w:left="809" w:right="116" w:firstLine="0"/>
        <w:jc w:val="both"/>
        <w:rPr>
          <w:sz w:val="24"/>
        </w:rPr>
      </w:pPr>
      <w:r>
        <w:rPr>
          <w:i/>
          <w:sz w:val="20"/>
        </w:rPr>
        <w:t>revierten muy significativamente en el tiempo de producción. Ello asociado a la creación </w:t>
      </w:r>
      <w:r>
        <w:rPr>
          <w:i/>
          <w:sz w:val="20"/>
        </w:rPr>
        <w:t>directa con software 3D como el ZBrush, o el escaneado de la maqueta con tecnología de bajo coste (Kinect o cámaras de fotos digitales) y software a precios muy asequibles, van a ser fundamentales para evolucionar tecnológicamente y ser competitivos. En el Proyecto Lleona hemos desarrollado una CNC junto a una aplicación informática específica para el corte y fresado con poliestireno. Realizar pequeñas figuras o grandes remates se convierte en una tarea relativamente sencilla y eficaz. </w:t>
      </w:r>
      <w:r>
        <w:rPr>
          <w:sz w:val="24"/>
        </w:rPr>
        <w:t>(Tortosa, 2012).</w:t>
      </w:r>
    </w:p>
    <w:p>
      <w:pPr>
        <w:pStyle w:val="BodyText"/>
      </w:pPr>
    </w:p>
    <w:p>
      <w:pPr>
        <w:pStyle w:val="BodyText"/>
        <w:spacing w:line="357" w:lineRule="auto" w:before="142"/>
        <w:ind w:left="100" w:right="127"/>
        <w:jc w:val="both"/>
      </w:pPr>
      <w:r>
        <w:rPr/>
        <w:t>A continuación veremos el video donde se muestra una máquina CNC diseñada por el Proyecto Lleona. Como muestra la siguiente </w:t>
      </w:r>
      <w:hyperlink w:history="true" w:anchor="_bookmark89">
        <w:r>
          <w:rPr/>
          <w:t>Figura 2.42</w:t>
        </w:r>
      </w:hyperlink>
      <w:r>
        <w:rPr/>
        <w:t>.</w:t>
      </w:r>
    </w:p>
    <w:p>
      <w:pPr>
        <w:pStyle w:val="BodyText"/>
        <w:rPr>
          <w:sz w:val="20"/>
        </w:rPr>
      </w:pPr>
    </w:p>
    <w:p>
      <w:pPr>
        <w:pStyle w:val="BodyText"/>
        <w:spacing w:before="3"/>
        <w:rPr>
          <w:sz w:val="13"/>
        </w:rPr>
      </w:pPr>
      <w:r>
        <w:rPr/>
        <w:drawing>
          <wp:anchor distT="0" distB="0" distL="0" distR="0" allowOverlap="1" layoutInCell="1" locked="0" behindDoc="0" simplePos="0" relativeHeight="1672">
            <wp:simplePos x="0" y="0"/>
            <wp:positionH relativeFrom="page">
              <wp:posOffset>2216404</wp:posOffset>
            </wp:positionH>
            <wp:positionV relativeFrom="paragraph">
              <wp:posOffset>122160</wp:posOffset>
            </wp:positionV>
            <wp:extent cx="3375416" cy="1890141"/>
            <wp:effectExtent l="0" t="0" r="0" b="0"/>
            <wp:wrapTopAndBottom/>
            <wp:docPr id="95" name="image48.jpeg" descr=""/>
            <wp:cNvGraphicFramePr>
              <a:graphicFrameLocks noChangeAspect="1"/>
            </wp:cNvGraphicFramePr>
            <a:graphic>
              <a:graphicData uri="http://schemas.openxmlformats.org/drawingml/2006/picture">
                <pic:pic>
                  <pic:nvPicPr>
                    <pic:cNvPr id="96" name="image48.jpeg"/>
                    <pic:cNvPicPr/>
                  </pic:nvPicPr>
                  <pic:blipFill>
                    <a:blip r:embed="rId98" cstate="print"/>
                    <a:stretch>
                      <a:fillRect/>
                    </a:stretch>
                  </pic:blipFill>
                  <pic:spPr>
                    <a:xfrm>
                      <a:off x="0" y="0"/>
                      <a:ext cx="3375416" cy="1890141"/>
                    </a:xfrm>
                    <a:prstGeom prst="rect">
                      <a:avLst/>
                    </a:prstGeom>
                  </pic:spPr>
                </pic:pic>
              </a:graphicData>
            </a:graphic>
          </wp:anchor>
        </w:drawing>
      </w:r>
    </w:p>
    <w:p>
      <w:pPr>
        <w:spacing w:before="38"/>
        <w:ind w:left="2073" w:right="1329" w:hanging="516"/>
        <w:jc w:val="left"/>
        <w:rPr>
          <w:sz w:val="18"/>
        </w:rPr>
      </w:pPr>
      <w:bookmarkStart w:name="_bookmark89" w:id="135"/>
      <w:bookmarkEnd w:id="135"/>
      <w:r>
        <w:rPr/>
      </w:r>
      <w:r>
        <w:rPr>
          <w:sz w:val="18"/>
        </w:rPr>
        <w:t>Figura 2.42. Título del video: CNC de corte y fresado de poliestiréno (Fuente: </w:t>
      </w:r>
      <w:hyperlink r:id="rId99">
        <w:r>
          <w:rPr>
            <w:sz w:val="18"/>
          </w:rPr>
          <w:t>http://vimeo.com/52480287,</w:t>
        </w:r>
      </w:hyperlink>
      <w:r>
        <w:rPr>
          <w:sz w:val="18"/>
        </w:rPr>
        <w:t>  consultado el 23 de junio de 2013).</w:t>
      </w:r>
    </w:p>
    <w:p>
      <w:pPr>
        <w:pStyle w:val="BodyText"/>
        <w:rPr>
          <w:sz w:val="18"/>
        </w:rPr>
      </w:pPr>
    </w:p>
    <w:p>
      <w:pPr>
        <w:pStyle w:val="BodyText"/>
        <w:spacing w:before="2"/>
        <w:rPr>
          <w:sz w:val="18"/>
        </w:rPr>
      </w:pPr>
    </w:p>
    <w:p>
      <w:pPr>
        <w:pStyle w:val="BodyText"/>
        <w:spacing w:line="360" w:lineRule="auto"/>
        <w:ind w:left="100" w:right="117"/>
        <w:jc w:val="both"/>
      </w:pPr>
      <w:r>
        <w:rPr/>
        <w:t>Tortosa (2013) afirma que dicho corte y fresado, junto con el software, fue para realizar esculturas de gran tamaño para monumentos falleros (del Festival de las Fallas, España), escaparatismo, carrozas, escultura, maquetas, etc.</w:t>
      </w:r>
      <w:r>
        <w:rPr>
          <w:spacing w:val="50"/>
        </w:rPr>
        <w:t> </w:t>
      </w:r>
      <w:r>
        <w:rPr/>
        <w:t>Ver </w:t>
      </w:r>
      <w:hyperlink w:history="true" w:anchor="_bookmark89">
        <w:r>
          <w:rPr/>
          <w:t>Figura</w:t>
        </w:r>
      </w:hyperlink>
    </w:p>
    <w:p>
      <w:pPr>
        <w:pStyle w:val="BodyText"/>
        <w:spacing w:line="360" w:lineRule="auto" w:before="5"/>
        <w:ind w:left="100" w:right="117"/>
        <w:jc w:val="both"/>
      </w:pPr>
      <w:hyperlink w:history="true" w:anchor="_bookmark89">
        <w:r>
          <w:rPr/>
          <w:t>2.42</w:t>
        </w:r>
      </w:hyperlink>
      <w:r>
        <w:rPr/>
        <w:t> . El material empleado para la construcción de la estructura es el aluminio. Al referirse a la máquina CNC afirma que las guías son autolimpiables y están diseñadas específicamente para trabajar en condiciones extremas de suciedad o partículas de material, como en este caso, que se adhieren a la estructura por la electroestática. Excelente equipo para realizar escultura.</w:t>
      </w:r>
    </w:p>
    <w:p>
      <w:pPr>
        <w:pStyle w:val="BodyText"/>
      </w:pPr>
    </w:p>
    <w:p>
      <w:pPr>
        <w:pStyle w:val="BodyText"/>
        <w:spacing w:line="360" w:lineRule="auto" w:before="142"/>
        <w:ind w:left="100" w:right="119"/>
        <w:jc w:val="both"/>
      </w:pPr>
      <w:r>
        <w:rPr/>
        <w:t>Otro caso de máquina se puede utilizar para artículos grabado de cilindros, como leg/handrail del sofá, buda de madera y otras industrias de los muebles o las artes o la industria carfts, se puede instalar 1 y 12 cabezales de trabajo para  </w:t>
      </w:r>
      <w:r>
        <w:rPr>
          <w:spacing w:val="57"/>
        </w:rPr>
        <w:t> </w:t>
      </w:r>
      <w:r>
        <w:rPr/>
        <w:t>aumentar</w:t>
      </w:r>
    </w:p>
    <w:p>
      <w:pPr>
        <w:spacing w:after="0" w:line="360" w:lineRule="auto"/>
        <w:jc w:val="both"/>
        <w:sectPr>
          <w:footerReference w:type="default" r:id="rId96"/>
          <w:footerReference w:type="even" r:id="rId97"/>
          <w:pgSz w:w="12240" w:h="15840"/>
          <w:pgMar w:footer="1031" w:header="0" w:top="1360" w:bottom="1220" w:left="1600" w:right="1580"/>
        </w:sectPr>
      </w:pPr>
    </w:p>
    <w:p>
      <w:pPr>
        <w:pStyle w:val="BodyText"/>
        <w:spacing w:line="360" w:lineRule="auto" w:before="55"/>
        <w:ind w:left="100" w:right="105"/>
        <w:jc w:val="both"/>
      </w:pPr>
      <w:r>
        <w:rPr/>
        <w:t>su eficiencia en el trabajo, por ordenador de control numérico. Los diferentes tamaños de máquinas pueden ser ordenados por los requisitos de los clientes. Como podemos apreciar en el siguiente video. Ver </w:t>
      </w:r>
      <w:hyperlink w:history="true" w:anchor="_bookmark90">
        <w:r>
          <w:rPr/>
          <w:t>Figura 2.43</w:t>
        </w:r>
      </w:hyperlink>
      <w:r>
        <w:rPr/>
        <w:t>.</w:t>
      </w:r>
    </w:p>
    <w:p>
      <w:pPr>
        <w:pStyle w:val="BodyText"/>
        <w:rPr>
          <w:sz w:val="20"/>
        </w:rPr>
      </w:pPr>
    </w:p>
    <w:p>
      <w:pPr>
        <w:pStyle w:val="BodyText"/>
        <w:spacing w:before="2"/>
        <w:rPr>
          <w:sz w:val="13"/>
        </w:rPr>
      </w:pPr>
      <w:r>
        <w:rPr/>
        <w:drawing>
          <wp:anchor distT="0" distB="0" distL="0" distR="0" allowOverlap="1" layoutInCell="1" locked="0" behindDoc="0" simplePos="0" relativeHeight="1696">
            <wp:simplePos x="0" y="0"/>
            <wp:positionH relativeFrom="page">
              <wp:posOffset>2190750</wp:posOffset>
            </wp:positionH>
            <wp:positionV relativeFrom="paragraph">
              <wp:posOffset>120966</wp:posOffset>
            </wp:positionV>
            <wp:extent cx="3397850" cy="2074926"/>
            <wp:effectExtent l="0" t="0" r="0" b="0"/>
            <wp:wrapTopAndBottom/>
            <wp:docPr id="97" name="image49.jpeg" descr=""/>
            <wp:cNvGraphicFramePr>
              <a:graphicFrameLocks noChangeAspect="1"/>
            </wp:cNvGraphicFramePr>
            <a:graphic>
              <a:graphicData uri="http://schemas.openxmlformats.org/drawingml/2006/picture">
                <pic:pic>
                  <pic:nvPicPr>
                    <pic:cNvPr id="98" name="image49.jpeg"/>
                    <pic:cNvPicPr/>
                  </pic:nvPicPr>
                  <pic:blipFill>
                    <a:blip r:embed="rId100" cstate="print"/>
                    <a:stretch>
                      <a:fillRect/>
                    </a:stretch>
                  </pic:blipFill>
                  <pic:spPr>
                    <a:xfrm>
                      <a:off x="0" y="0"/>
                      <a:ext cx="3397850" cy="2074926"/>
                    </a:xfrm>
                    <a:prstGeom prst="rect">
                      <a:avLst/>
                    </a:prstGeom>
                  </pic:spPr>
                </pic:pic>
              </a:graphicData>
            </a:graphic>
          </wp:anchor>
        </w:drawing>
      </w:r>
    </w:p>
    <w:p>
      <w:pPr>
        <w:tabs>
          <w:tab w:pos="4652" w:val="left" w:leader="none"/>
        </w:tabs>
        <w:spacing w:before="54"/>
        <w:ind w:left="1468" w:right="1236" w:hanging="2"/>
        <w:jc w:val="center"/>
        <w:rPr>
          <w:sz w:val="18"/>
        </w:rPr>
      </w:pPr>
      <w:bookmarkStart w:name="_bookmark90" w:id="136"/>
      <w:bookmarkEnd w:id="136"/>
      <w:r>
        <w:rPr/>
      </w:r>
      <w:r>
        <w:rPr>
          <w:sz w:val="18"/>
        </w:rPr>
        <w:t>Figura 2.43. CNC 3D de alta presiciónMulti-cabezas de 4 ejes de la carpintería Máquina Router con</w:t>
      </w:r>
      <w:r>
        <w:rPr>
          <w:spacing w:val="-3"/>
          <w:sz w:val="18"/>
        </w:rPr>
        <w:t> </w:t>
      </w:r>
      <w:r>
        <w:rPr>
          <w:sz w:val="18"/>
        </w:rPr>
        <w:t>eje</w:t>
      </w:r>
      <w:r>
        <w:rPr>
          <w:spacing w:val="-5"/>
          <w:sz w:val="18"/>
        </w:rPr>
        <w:t> </w:t>
      </w:r>
      <w:r>
        <w:rPr>
          <w:sz w:val="18"/>
        </w:rPr>
        <w:t>multi-Rotary.</w:t>
        <w:tab/>
        <w:t>(Fuente:            </w:t>
      </w:r>
      <w:hyperlink r:id="rId101">
        <w:r>
          <w:rPr>
            <w:sz w:val="18"/>
          </w:rPr>
          <w:t>http://www.youtube.com/watch?v=gjrgwZLGb4M,</w:t>
        </w:r>
      </w:hyperlink>
      <w:r>
        <w:rPr>
          <w:sz w:val="18"/>
        </w:rPr>
        <w:t> consultado el 31 de marzo</w:t>
      </w:r>
      <w:r>
        <w:rPr>
          <w:spacing w:val="-18"/>
          <w:sz w:val="18"/>
        </w:rPr>
        <w:t> </w:t>
      </w:r>
      <w:r>
        <w:rPr>
          <w:sz w:val="18"/>
        </w:rPr>
        <w:t>de 2014).</w:t>
      </w:r>
    </w:p>
    <w:p>
      <w:pPr>
        <w:spacing w:after="0"/>
        <w:jc w:val="center"/>
        <w:rPr>
          <w:sz w:val="18"/>
        </w:rPr>
        <w:sectPr>
          <w:pgSz w:w="12240" w:h="15840"/>
          <w:pgMar w:header="0" w:footer="1031" w:top="1360" w:bottom="1220" w:left="1600" w:right="1600"/>
        </w:sectPr>
      </w:pPr>
    </w:p>
    <w:p>
      <w:pPr>
        <w:pStyle w:val="Heading2"/>
        <w:numPr>
          <w:ilvl w:val="3"/>
          <w:numId w:val="26"/>
        </w:numPr>
        <w:tabs>
          <w:tab w:pos="1593" w:val="left" w:leader="none"/>
        </w:tabs>
        <w:spacing w:line="240" w:lineRule="auto" w:before="49" w:after="0"/>
        <w:ind w:left="1593" w:right="0" w:hanging="1493"/>
        <w:jc w:val="both"/>
      </w:pPr>
      <w:bookmarkStart w:name="2.7.2.4.  Obra intervenida con pantógraf" w:id="137"/>
      <w:bookmarkEnd w:id="137"/>
      <w:r>
        <w:rPr/>
      </w:r>
      <w:bookmarkStart w:name="_bookmark91" w:id="138"/>
      <w:bookmarkEnd w:id="138"/>
      <w:r>
        <w:rPr/>
        <w:t>O</w:t>
      </w:r>
      <w:r>
        <w:rPr/>
        <w:t>bra intervenida con pantógrafos</w:t>
      </w:r>
      <w:r>
        <w:rPr>
          <w:spacing w:val="-7"/>
        </w:rPr>
        <w:t> </w:t>
      </w:r>
      <w:r>
        <w:rPr/>
        <w:t>motorizados</w:t>
      </w:r>
    </w:p>
    <w:p>
      <w:pPr>
        <w:pStyle w:val="BodyText"/>
        <w:rPr>
          <w:sz w:val="28"/>
        </w:rPr>
      </w:pPr>
    </w:p>
    <w:p>
      <w:pPr>
        <w:pStyle w:val="BodyText"/>
        <w:spacing w:before="8"/>
        <w:rPr>
          <w:sz w:val="22"/>
        </w:rPr>
      </w:pPr>
    </w:p>
    <w:p>
      <w:pPr>
        <w:pStyle w:val="BodyText"/>
        <w:spacing w:line="360" w:lineRule="auto"/>
        <w:ind w:left="100" w:right="98"/>
        <w:jc w:val="both"/>
      </w:pPr>
      <w:r>
        <w:rPr/>
        <w:t>Matía, et al., (2009) menciona que los pantógrafos realizan una lectura del original pero con menor esfuerzo y mayor rapidez. Agregando que el lector que es una varilla apuntada que recoge la superficie del original, y que está montado en paralelo a la herramienta de desbaste que va eliminando el material sobrante del bloque en el que se realiza la reproducción. Como podemos apreciar en la siguiente </w:t>
      </w:r>
      <w:hyperlink w:history="true" w:anchor="_bookmark92">
        <w:r>
          <w:rPr/>
          <w:t>Figura 2.44</w:t>
        </w:r>
      </w:hyperlink>
      <w:r>
        <w:rPr/>
        <w:t>.</w:t>
      </w:r>
    </w:p>
    <w:p>
      <w:pPr>
        <w:pStyle w:val="BodyText"/>
        <w:rPr>
          <w:sz w:val="20"/>
        </w:rPr>
      </w:pPr>
    </w:p>
    <w:p>
      <w:pPr>
        <w:pStyle w:val="BodyText"/>
        <w:rPr>
          <w:sz w:val="13"/>
        </w:rPr>
      </w:pPr>
      <w:r>
        <w:rPr/>
        <w:drawing>
          <wp:anchor distT="0" distB="0" distL="0" distR="0" allowOverlap="1" layoutInCell="1" locked="0" behindDoc="0" simplePos="0" relativeHeight="1720">
            <wp:simplePos x="0" y="0"/>
            <wp:positionH relativeFrom="page">
              <wp:posOffset>2560954</wp:posOffset>
            </wp:positionH>
            <wp:positionV relativeFrom="paragraph">
              <wp:posOffset>119822</wp:posOffset>
            </wp:positionV>
            <wp:extent cx="2677270" cy="1726692"/>
            <wp:effectExtent l="0" t="0" r="0" b="0"/>
            <wp:wrapTopAndBottom/>
            <wp:docPr id="99" name="image50.jpeg" descr=""/>
            <wp:cNvGraphicFramePr>
              <a:graphicFrameLocks noChangeAspect="1"/>
            </wp:cNvGraphicFramePr>
            <a:graphic>
              <a:graphicData uri="http://schemas.openxmlformats.org/drawingml/2006/picture">
                <pic:pic>
                  <pic:nvPicPr>
                    <pic:cNvPr id="100" name="image50.jpeg"/>
                    <pic:cNvPicPr/>
                  </pic:nvPicPr>
                  <pic:blipFill>
                    <a:blip r:embed="rId104" cstate="print"/>
                    <a:stretch>
                      <a:fillRect/>
                    </a:stretch>
                  </pic:blipFill>
                  <pic:spPr>
                    <a:xfrm>
                      <a:off x="0" y="0"/>
                      <a:ext cx="2677270" cy="1726692"/>
                    </a:xfrm>
                    <a:prstGeom prst="rect">
                      <a:avLst/>
                    </a:prstGeom>
                  </pic:spPr>
                </pic:pic>
              </a:graphicData>
            </a:graphic>
          </wp:anchor>
        </w:drawing>
      </w:r>
    </w:p>
    <w:p>
      <w:pPr>
        <w:spacing w:before="52"/>
        <w:ind w:left="1853" w:right="1375" w:hanging="232"/>
        <w:jc w:val="left"/>
        <w:rPr>
          <w:sz w:val="18"/>
        </w:rPr>
      </w:pPr>
      <w:bookmarkStart w:name="_bookmark92" w:id="139"/>
      <w:bookmarkEnd w:id="139"/>
      <w:r>
        <w:rPr/>
      </w:r>
      <w:r>
        <w:rPr>
          <w:sz w:val="18"/>
        </w:rPr>
        <w:t>Figura 2.44. Pantógrafo inverso. Esquema del sistema para la obtención de volúmenes simétricos respecto al original. (Fuente: Matía, et al.: 123).</w:t>
      </w:r>
    </w:p>
    <w:p>
      <w:pPr>
        <w:pStyle w:val="BodyText"/>
        <w:rPr>
          <w:sz w:val="18"/>
        </w:rPr>
      </w:pPr>
    </w:p>
    <w:p>
      <w:pPr>
        <w:pStyle w:val="BodyText"/>
        <w:rPr>
          <w:sz w:val="18"/>
        </w:rPr>
      </w:pPr>
    </w:p>
    <w:p>
      <w:pPr>
        <w:pStyle w:val="BodyText"/>
        <w:spacing w:before="2"/>
        <w:rPr>
          <w:sz w:val="17"/>
        </w:rPr>
      </w:pPr>
    </w:p>
    <w:p>
      <w:pPr>
        <w:pStyle w:val="Heading2"/>
        <w:numPr>
          <w:ilvl w:val="3"/>
          <w:numId w:val="26"/>
        </w:numPr>
        <w:tabs>
          <w:tab w:pos="1593" w:val="left" w:leader="none"/>
        </w:tabs>
        <w:spacing w:line="240" w:lineRule="auto" w:before="0" w:after="0"/>
        <w:ind w:left="1593" w:right="0" w:hanging="1493"/>
        <w:jc w:val="both"/>
      </w:pPr>
      <w:bookmarkStart w:name="2.7.2.5.  Obra intervenida con corte con" w:id="140"/>
      <w:bookmarkEnd w:id="140"/>
      <w:r>
        <w:rPr/>
      </w:r>
      <w:bookmarkStart w:name="_bookmark93" w:id="141"/>
      <w:bookmarkEnd w:id="141"/>
      <w:r>
        <w:rPr/>
        <w:t>O</w:t>
      </w:r>
      <w:r>
        <w:rPr/>
        <w:t>bra intervenida con corte con chorro de</w:t>
      </w:r>
      <w:r>
        <w:rPr>
          <w:spacing w:val="-8"/>
        </w:rPr>
        <w:t> </w:t>
      </w:r>
      <w:r>
        <w:rPr/>
        <w:t>agua</w:t>
      </w:r>
    </w:p>
    <w:p>
      <w:pPr>
        <w:pStyle w:val="BodyText"/>
        <w:rPr>
          <w:sz w:val="28"/>
        </w:rPr>
      </w:pPr>
    </w:p>
    <w:p>
      <w:pPr>
        <w:pStyle w:val="BodyText"/>
        <w:spacing w:before="4"/>
        <w:rPr>
          <w:sz w:val="22"/>
        </w:rPr>
      </w:pPr>
    </w:p>
    <w:p>
      <w:pPr>
        <w:pStyle w:val="BodyText"/>
        <w:spacing w:line="360" w:lineRule="auto"/>
        <w:ind w:left="100" w:right="98"/>
        <w:jc w:val="both"/>
      </w:pPr>
      <w:r>
        <w:rPr/>
        <w:t>Barry Ball (2013) enfocándonos únicamente en la técnica de piedra, él utiliza un método de escaneo, elige la piedra en la cual tallaran dicha pieza escaneada; posteriormente la lectura del escáner es ingresada en la máquina CNC de chorro de agua para que talle y desbaste el material, cuando sale de la máquina un equipo de curadores pule la superficie para obtener el máximo brillo del mármol y así terminar la pieza como se observa en la </w:t>
      </w:r>
      <w:hyperlink w:history="true" w:anchor="_bookmark94">
        <w:r>
          <w:rPr/>
          <w:t>Tabla 2.10</w:t>
        </w:r>
      </w:hyperlink>
    </w:p>
    <w:p>
      <w:pPr>
        <w:spacing w:after="0" w:line="360" w:lineRule="auto"/>
        <w:jc w:val="both"/>
        <w:sectPr>
          <w:footerReference w:type="even" r:id="rId102"/>
          <w:footerReference w:type="default" r:id="rId103"/>
          <w:pgSz w:w="12240" w:h="15840"/>
          <w:pgMar w:footer="1031" w:header="0" w:top="1360" w:bottom="1220" w:left="1600" w:right="1600"/>
          <w:pgNumType w:start="102"/>
        </w:sectPr>
      </w:pPr>
    </w:p>
    <w:p>
      <w:pPr>
        <w:spacing w:before="51" w:after="6"/>
        <w:ind w:left="4290" w:right="1001" w:hanging="3165"/>
        <w:jc w:val="left"/>
        <w:rPr>
          <w:sz w:val="18"/>
        </w:rPr>
      </w:pPr>
      <w:bookmarkStart w:name="_bookmark94" w:id="142"/>
      <w:bookmarkEnd w:id="142"/>
      <w:r>
        <w:rPr/>
      </w:r>
      <w:r>
        <w:rPr>
          <w:sz w:val="18"/>
        </w:rPr>
        <w:t>Tabla 2.10. . Proceso de escultura de Barry Ball, escaneo y talla en CNC a chorro de agua.</w:t>
      </w:r>
    </w:p>
    <w:tbl>
      <w:tblPr>
        <w:tblW w:w="0" w:type="auto"/>
        <w:jc w:val="left"/>
        <w:tblInd w:w="42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117"/>
        <w:gridCol w:w="4838"/>
      </w:tblGrid>
      <w:tr>
        <w:trPr>
          <w:trHeight w:val="320" w:hRule="exact"/>
        </w:trPr>
        <w:tc>
          <w:tcPr>
            <w:tcW w:w="3117" w:type="dxa"/>
          </w:tcPr>
          <w:p>
            <w:pPr>
              <w:pStyle w:val="TableParagraph"/>
              <w:spacing w:line="202" w:lineRule="exact"/>
              <w:ind w:left="409" w:right="406"/>
              <w:jc w:val="center"/>
              <w:rPr>
                <w:sz w:val="18"/>
              </w:rPr>
            </w:pPr>
            <w:r>
              <w:rPr>
                <w:sz w:val="18"/>
              </w:rPr>
              <w:t>Proceso</w:t>
            </w:r>
          </w:p>
        </w:tc>
        <w:tc>
          <w:tcPr>
            <w:tcW w:w="4838" w:type="dxa"/>
          </w:tcPr>
          <w:p>
            <w:pPr>
              <w:pStyle w:val="TableParagraph"/>
              <w:spacing w:line="202" w:lineRule="exact"/>
              <w:ind w:left="2093" w:right="2095"/>
              <w:jc w:val="center"/>
              <w:rPr>
                <w:sz w:val="18"/>
              </w:rPr>
            </w:pPr>
            <w:r>
              <w:rPr>
                <w:sz w:val="18"/>
              </w:rPr>
              <w:t>Imagen</w:t>
            </w:r>
          </w:p>
        </w:tc>
      </w:tr>
      <w:tr>
        <w:trPr>
          <w:trHeight w:val="3201" w:hRule="exact"/>
        </w:trPr>
        <w:tc>
          <w:tcPr>
            <w:tcW w:w="3117"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9"/>
              <w:rPr>
                <w:sz w:val="17"/>
              </w:rPr>
            </w:pPr>
          </w:p>
          <w:p>
            <w:pPr>
              <w:pStyle w:val="TableParagraph"/>
              <w:spacing w:line="362" w:lineRule="auto"/>
              <w:ind w:left="1140" w:right="198" w:hanging="920"/>
              <w:rPr>
                <w:sz w:val="18"/>
              </w:rPr>
            </w:pPr>
            <w:r>
              <w:rPr>
                <w:sz w:val="18"/>
              </w:rPr>
              <w:t>Dormir Hermafrodita (Ermafrodito Borghese)</w:t>
            </w:r>
          </w:p>
          <w:p>
            <w:pPr>
              <w:pStyle w:val="TableParagraph"/>
              <w:spacing w:line="205" w:lineRule="exact"/>
              <w:ind w:left="224" w:right="183"/>
              <w:rPr>
                <w:sz w:val="18"/>
              </w:rPr>
            </w:pPr>
            <w:r>
              <w:rPr>
                <w:sz w:val="18"/>
              </w:rPr>
              <w:t>Museo de Louvre, París, Francia.</w:t>
            </w:r>
          </w:p>
        </w:tc>
        <w:tc>
          <w:tcPr>
            <w:tcW w:w="4838" w:type="dxa"/>
          </w:tcPr>
          <w:p>
            <w:pPr>
              <w:pStyle w:val="TableParagraph"/>
              <w:spacing w:before="1" w:after="1"/>
              <w:rPr>
                <w:sz w:val="27"/>
              </w:rPr>
            </w:pPr>
          </w:p>
          <w:p>
            <w:pPr>
              <w:pStyle w:val="TableParagraph"/>
              <w:ind w:left="552"/>
              <w:rPr>
                <w:sz w:val="20"/>
              </w:rPr>
            </w:pPr>
            <w:r>
              <w:rPr>
                <w:sz w:val="20"/>
              </w:rPr>
              <w:drawing>
                <wp:inline distT="0" distB="0" distL="0" distR="0">
                  <wp:extent cx="2370181" cy="1575816"/>
                  <wp:effectExtent l="0" t="0" r="0" b="0"/>
                  <wp:docPr id="101" name="image51.jpeg" descr=""/>
                  <wp:cNvGraphicFramePr>
                    <a:graphicFrameLocks noChangeAspect="1"/>
                  </wp:cNvGraphicFramePr>
                  <a:graphic>
                    <a:graphicData uri="http://schemas.openxmlformats.org/drawingml/2006/picture">
                      <pic:pic>
                        <pic:nvPicPr>
                          <pic:cNvPr id="102" name="image51.jpeg"/>
                          <pic:cNvPicPr/>
                        </pic:nvPicPr>
                        <pic:blipFill>
                          <a:blip r:embed="rId105" cstate="print"/>
                          <a:stretch>
                            <a:fillRect/>
                          </a:stretch>
                        </pic:blipFill>
                        <pic:spPr>
                          <a:xfrm>
                            <a:off x="0" y="0"/>
                            <a:ext cx="2370181" cy="1575816"/>
                          </a:xfrm>
                          <a:prstGeom prst="rect">
                            <a:avLst/>
                          </a:prstGeom>
                        </pic:spPr>
                      </pic:pic>
                    </a:graphicData>
                  </a:graphic>
                </wp:inline>
              </w:drawing>
            </w:r>
            <w:r>
              <w:rPr>
                <w:sz w:val="20"/>
              </w:rPr>
            </w:r>
          </w:p>
          <w:p>
            <w:pPr>
              <w:pStyle w:val="TableParagraph"/>
              <w:rPr>
                <w:sz w:val="20"/>
              </w:rPr>
            </w:pPr>
          </w:p>
        </w:tc>
      </w:tr>
      <w:tr>
        <w:trPr>
          <w:trHeight w:val="3196" w:hRule="exact"/>
        </w:trPr>
        <w:tc>
          <w:tcPr>
            <w:tcW w:w="3117"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10"/>
              <w:rPr>
                <w:sz w:val="26"/>
              </w:rPr>
            </w:pPr>
          </w:p>
          <w:p>
            <w:pPr>
              <w:pStyle w:val="TableParagraph"/>
              <w:ind w:left="409" w:right="406"/>
              <w:jc w:val="center"/>
              <w:rPr>
                <w:sz w:val="18"/>
              </w:rPr>
            </w:pPr>
            <w:r>
              <w:rPr>
                <w:sz w:val="18"/>
              </w:rPr>
              <w:t>Escaneo</w:t>
            </w:r>
          </w:p>
        </w:tc>
        <w:tc>
          <w:tcPr>
            <w:tcW w:w="4838" w:type="dxa"/>
          </w:tcPr>
          <w:p>
            <w:pPr>
              <w:pStyle w:val="TableParagraph"/>
              <w:rPr>
                <w:sz w:val="27"/>
              </w:rPr>
            </w:pPr>
          </w:p>
          <w:p>
            <w:pPr>
              <w:pStyle w:val="TableParagraph"/>
              <w:ind w:left="567"/>
              <w:rPr>
                <w:sz w:val="20"/>
              </w:rPr>
            </w:pPr>
            <w:r>
              <w:rPr>
                <w:sz w:val="20"/>
              </w:rPr>
              <w:drawing>
                <wp:inline distT="0" distB="0" distL="0" distR="0">
                  <wp:extent cx="2369447" cy="1571625"/>
                  <wp:effectExtent l="0" t="0" r="0" b="0"/>
                  <wp:docPr id="103" name="image52.jpeg" descr=""/>
                  <wp:cNvGraphicFramePr>
                    <a:graphicFrameLocks noChangeAspect="1"/>
                  </wp:cNvGraphicFramePr>
                  <a:graphic>
                    <a:graphicData uri="http://schemas.openxmlformats.org/drawingml/2006/picture">
                      <pic:pic>
                        <pic:nvPicPr>
                          <pic:cNvPr id="104" name="image52.jpeg"/>
                          <pic:cNvPicPr/>
                        </pic:nvPicPr>
                        <pic:blipFill>
                          <a:blip r:embed="rId106" cstate="print"/>
                          <a:stretch>
                            <a:fillRect/>
                          </a:stretch>
                        </pic:blipFill>
                        <pic:spPr>
                          <a:xfrm>
                            <a:off x="0" y="0"/>
                            <a:ext cx="2369447" cy="1571625"/>
                          </a:xfrm>
                          <a:prstGeom prst="rect">
                            <a:avLst/>
                          </a:prstGeom>
                        </pic:spPr>
                      </pic:pic>
                    </a:graphicData>
                  </a:graphic>
                </wp:inline>
              </w:drawing>
            </w:r>
            <w:r>
              <w:rPr>
                <w:sz w:val="20"/>
              </w:rPr>
            </w:r>
          </w:p>
          <w:p>
            <w:pPr>
              <w:pStyle w:val="TableParagraph"/>
              <w:rPr>
                <w:sz w:val="20"/>
              </w:rPr>
            </w:pPr>
          </w:p>
        </w:tc>
      </w:tr>
      <w:tr>
        <w:trPr>
          <w:trHeight w:val="2404" w:hRule="exact"/>
        </w:trPr>
        <w:tc>
          <w:tcPr>
            <w:tcW w:w="3117" w:type="dxa"/>
          </w:tcPr>
          <w:p>
            <w:pPr>
              <w:pStyle w:val="TableParagraph"/>
              <w:rPr>
                <w:sz w:val="18"/>
              </w:rPr>
            </w:pPr>
          </w:p>
          <w:p>
            <w:pPr>
              <w:pStyle w:val="TableParagraph"/>
              <w:rPr>
                <w:sz w:val="18"/>
              </w:rPr>
            </w:pPr>
          </w:p>
          <w:p>
            <w:pPr>
              <w:pStyle w:val="TableParagraph"/>
              <w:rPr>
                <w:sz w:val="18"/>
              </w:rPr>
            </w:pPr>
          </w:p>
          <w:p>
            <w:pPr>
              <w:pStyle w:val="TableParagraph"/>
              <w:spacing w:before="7"/>
              <w:rPr>
                <w:sz w:val="26"/>
              </w:rPr>
            </w:pPr>
          </w:p>
          <w:p>
            <w:pPr>
              <w:pStyle w:val="TableParagraph"/>
              <w:spacing w:before="1"/>
              <w:ind w:left="410" w:right="406"/>
              <w:jc w:val="center"/>
              <w:rPr>
                <w:sz w:val="18"/>
              </w:rPr>
            </w:pPr>
            <w:r>
              <w:rPr>
                <w:sz w:val="18"/>
              </w:rPr>
              <w:t>Modelo digital del escaneo</w:t>
            </w:r>
          </w:p>
        </w:tc>
        <w:tc>
          <w:tcPr>
            <w:tcW w:w="4838" w:type="dxa"/>
          </w:tcPr>
          <w:p>
            <w:pPr>
              <w:pStyle w:val="TableParagraph"/>
              <w:spacing w:before="9" w:after="1"/>
              <w:rPr>
                <w:sz w:val="26"/>
              </w:rPr>
            </w:pPr>
          </w:p>
          <w:p>
            <w:pPr>
              <w:pStyle w:val="TableParagraph"/>
              <w:ind w:left="1086"/>
              <w:rPr>
                <w:sz w:val="20"/>
              </w:rPr>
            </w:pPr>
            <w:r>
              <w:rPr>
                <w:sz w:val="20"/>
              </w:rPr>
              <w:drawing>
                <wp:inline distT="0" distB="0" distL="0" distR="0">
                  <wp:extent cx="1674466" cy="1246822"/>
                  <wp:effectExtent l="0" t="0" r="0" b="0"/>
                  <wp:docPr id="105" name="image53.jpeg" descr=""/>
                  <wp:cNvGraphicFramePr>
                    <a:graphicFrameLocks noChangeAspect="1"/>
                  </wp:cNvGraphicFramePr>
                  <a:graphic>
                    <a:graphicData uri="http://schemas.openxmlformats.org/drawingml/2006/picture">
                      <pic:pic>
                        <pic:nvPicPr>
                          <pic:cNvPr id="106" name="image53.jpeg"/>
                          <pic:cNvPicPr/>
                        </pic:nvPicPr>
                        <pic:blipFill>
                          <a:blip r:embed="rId107" cstate="print"/>
                          <a:stretch>
                            <a:fillRect/>
                          </a:stretch>
                        </pic:blipFill>
                        <pic:spPr>
                          <a:xfrm>
                            <a:off x="0" y="0"/>
                            <a:ext cx="1674466" cy="1246822"/>
                          </a:xfrm>
                          <a:prstGeom prst="rect">
                            <a:avLst/>
                          </a:prstGeom>
                        </pic:spPr>
                      </pic:pic>
                    </a:graphicData>
                  </a:graphic>
                </wp:inline>
              </w:drawing>
            </w:r>
            <w:r>
              <w:rPr>
                <w:sz w:val="20"/>
              </w:rPr>
            </w:r>
          </w:p>
        </w:tc>
      </w:tr>
      <w:tr>
        <w:trPr>
          <w:trHeight w:val="3141" w:hRule="exact"/>
        </w:trPr>
        <w:tc>
          <w:tcPr>
            <w:tcW w:w="3117"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9"/>
              <w:rPr>
                <w:sz w:val="17"/>
              </w:rPr>
            </w:pPr>
          </w:p>
          <w:p>
            <w:pPr>
              <w:pStyle w:val="TableParagraph"/>
              <w:ind w:left="406" w:right="406"/>
              <w:jc w:val="center"/>
              <w:rPr>
                <w:sz w:val="18"/>
              </w:rPr>
            </w:pPr>
            <w:r>
              <w:rPr>
                <w:sz w:val="18"/>
              </w:rPr>
              <w:t>Digital Rendering</w:t>
            </w:r>
          </w:p>
        </w:tc>
        <w:tc>
          <w:tcPr>
            <w:tcW w:w="4838" w:type="dxa"/>
          </w:tcPr>
          <w:p>
            <w:pPr>
              <w:pStyle w:val="TableParagraph"/>
              <w:spacing w:before="9"/>
              <w:rPr>
                <w:sz w:val="26"/>
              </w:rPr>
            </w:pPr>
          </w:p>
          <w:p>
            <w:pPr>
              <w:pStyle w:val="TableParagraph"/>
              <w:ind w:left="267"/>
              <w:rPr>
                <w:sz w:val="20"/>
              </w:rPr>
            </w:pPr>
            <w:r>
              <w:rPr>
                <w:sz w:val="20"/>
              </w:rPr>
              <w:drawing>
                <wp:inline distT="0" distB="0" distL="0" distR="0">
                  <wp:extent cx="2725131" cy="1536192"/>
                  <wp:effectExtent l="0" t="0" r="0" b="0"/>
                  <wp:docPr id="107" name="image54.jpeg" descr=""/>
                  <wp:cNvGraphicFramePr>
                    <a:graphicFrameLocks noChangeAspect="1"/>
                  </wp:cNvGraphicFramePr>
                  <a:graphic>
                    <a:graphicData uri="http://schemas.openxmlformats.org/drawingml/2006/picture">
                      <pic:pic>
                        <pic:nvPicPr>
                          <pic:cNvPr id="108" name="image54.jpeg"/>
                          <pic:cNvPicPr/>
                        </pic:nvPicPr>
                        <pic:blipFill>
                          <a:blip r:embed="rId108" cstate="print"/>
                          <a:stretch>
                            <a:fillRect/>
                          </a:stretch>
                        </pic:blipFill>
                        <pic:spPr>
                          <a:xfrm>
                            <a:off x="0" y="0"/>
                            <a:ext cx="2725131" cy="1536192"/>
                          </a:xfrm>
                          <a:prstGeom prst="rect">
                            <a:avLst/>
                          </a:prstGeom>
                        </pic:spPr>
                      </pic:pic>
                    </a:graphicData>
                  </a:graphic>
                </wp:inline>
              </w:drawing>
            </w:r>
            <w:r>
              <w:rPr>
                <w:sz w:val="20"/>
              </w:rPr>
            </w:r>
          </w:p>
          <w:p>
            <w:pPr>
              <w:pStyle w:val="TableParagraph"/>
              <w:rPr>
                <w:sz w:val="20"/>
              </w:rPr>
            </w:pPr>
          </w:p>
        </w:tc>
      </w:tr>
    </w:tbl>
    <w:p>
      <w:pPr>
        <w:spacing w:after="0"/>
        <w:rPr>
          <w:sz w:val="20"/>
        </w:rPr>
        <w:sectPr>
          <w:pgSz w:w="12240" w:h="15840"/>
          <w:pgMar w:header="0" w:footer="1031" w:top="1360" w:bottom="1220" w:left="1720" w:right="1600"/>
        </w:sectPr>
      </w:pPr>
    </w:p>
    <w:tbl>
      <w:tblPr>
        <w:tblW w:w="0" w:type="auto"/>
        <w:jc w:val="left"/>
        <w:tblInd w:w="54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117"/>
        <w:gridCol w:w="4838"/>
      </w:tblGrid>
      <w:tr>
        <w:trPr>
          <w:trHeight w:val="2929" w:hRule="exact"/>
        </w:trPr>
        <w:tc>
          <w:tcPr>
            <w:tcW w:w="3117"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5"/>
              <w:rPr>
                <w:sz w:val="17"/>
              </w:rPr>
            </w:pPr>
          </w:p>
          <w:p>
            <w:pPr>
              <w:pStyle w:val="TableParagraph"/>
              <w:ind w:left="920" w:right="198"/>
              <w:rPr>
                <w:sz w:val="18"/>
              </w:rPr>
            </w:pPr>
            <w:r>
              <w:rPr>
                <w:sz w:val="18"/>
              </w:rPr>
              <w:t>Prototipo rápido</w:t>
            </w:r>
          </w:p>
        </w:tc>
        <w:tc>
          <w:tcPr>
            <w:tcW w:w="4838" w:type="dxa"/>
          </w:tcPr>
          <w:p>
            <w:pPr>
              <w:pStyle w:val="TableParagraph"/>
              <w:rPr>
                <w:sz w:val="27"/>
              </w:rPr>
            </w:pPr>
          </w:p>
          <w:p>
            <w:pPr>
              <w:pStyle w:val="TableParagraph"/>
              <w:ind w:left="747"/>
              <w:rPr>
                <w:sz w:val="20"/>
              </w:rPr>
            </w:pPr>
            <w:r>
              <w:rPr>
                <w:sz w:val="20"/>
              </w:rPr>
              <w:drawing>
                <wp:inline distT="0" distB="0" distL="0" distR="0">
                  <wp:extent cx="2128825" cy="1403984"/>
                  <wp:effectExtent l="0" t="0" r="0" b="0"/>
                  <wp:docPr id="109" name="image55.jpeg" descr=""/>
                  <wp:cNvGraphicFramePr>
                    <a:graphicFrameLocks noChangeAspect="1"/>
                  </wp:cNvGraphicFramePr>
                  <a:graphic>
                    <a:graphicData uri="http://schemas.openxmlformats.org/drawingml/2006/picture">
                      <pic:pic>
                        <pic:nvPicPr>
                          <pic:cNvPr id="110" name="image55.jpeg"/>
                          <pic:cNvPicPr/>
                        </pic:nvPicPr>
                        <pic:blipFill>
                          <a:blip r:embed="rId109" cstate="print"/>
                          <a:stretch>
                            <a:fillRect/>
                          </a:stretch>
                        </pic:blipFill>
                        <pic:spPr>
                          <a:xfrm>
                            <a:off x="0" y="0"/>
                            <a:ext cx="2128825" cy="1403984"/>
                          </a:xfrm>
                          <a:prstGeom prst="rect">
                            <a:avLst/>
                          </a:prstGeom>
                        </pic:spPr>
                      </pic:pic>
                    </a:graphicData>
                  </a:graphic>
                </wp:inline>
              </w:drawing>
            </w:r>
            <w:r>
              <w:rPr>
                <w:sz w:val="20"/>
              </w:rPr>
            </w:r>
          </w:p>
          <w:p>
            <w:pPr>
              <w:pStyle w:val="TableParagraph"/>
              <w:rPr>
                <w:sz w:val="20"/>
              </w:rPr>
            </w:pPr>
          </w:p>
        </w:tc>
      </w:tr>
      <w:tr>
        <w:trPr>
          <w:trHeight w:val="3029" w:hRule="exact"/>
        </w:trPr>
        <w:tc>
          <w:tcPr>
            <w:tcW w:w="3117" w:type="dxa"/>
          </w:tcPr>
          <w:p>
            <w:pPr>
              <w:pStyle w:val="TableParagraph"/>
              <w:rPr>
                <w:sz w:val="18"/>
              </w:rPr>
            </w:pPr>
          </w:p>
          <w:p>
            <w:pPr>
              <w:pStyle w:val="TableParagraph"/>
              <w:rPr>
                <w:sz w:val="18"/>
              </w:rPr>
            </w:pPr>
          </w:p>
          <w:p>
            <w:pPr>
              <w:pStyle w:val="TableParagraph"/>
              <w:rPr>
                <w:sz w:val="18"/>
              </w:rPr>
            </w:pPr>
          </w:p>
          <w:p>
            <w:pPr>
              <w:pStyle w:val="TableParagraph"/>
              <w:spacing w:before="4"/>
              <w:rPr>
                <w:sz w:val="26"/>
              </w:rPr>
            </w:pPr>
          </w:p>
          <w:p>
            <w:pPr>
              <w:pStyle w:val="TableParagraph"/>
              <w:spacing w:line="360" w:lineRule="auto"/>
              <w:ind w:left="684" w:right="679" w:hanging="4"/>
              <w:jc w:val="center"/>
              <w:rPr>
                <w:sz w:val="18"/>
              </w:rPr>
            </w:pPr>
            <w:r>
              <w:rPr>
                <w:sz w:val="18"/>
              </w:rPr>
              <w:t>Fabricación Hermafrodita dormida Mármol Negro Belga</w:t>
            </w:r>
          </w:p>
        </w:tc>
        <w:tc>
          <w:tcPr>
            <w:tcW w:w="4838" w:type="dxa"/>
          </w:tcPr>
          <w:p>
            <w:pPr>
              <w:pStyle w:val="TableParagraph"/>
              <w:spacing w:before="7"/>
              <w:rPr>
                <w:sz w:val="26"/>
              </w:rPr>
            </w:pPr>
          </w:p>
          <w:p>
            <w:pPr>
              <w:pStyle w:val="TableParagraph"/>
              <w:ind w:left="892"/>
              <w:rPr>
                <w:sz w:val="20"/>
              </w:rPr>
            </w:pPr>
            <w:r>
              <w:rPr>
                <w:sz w:val="20"/>
              </w:rPr>
              <w:drawing>
                <wp:inline distT="0" distB="0" distL="0" distR="0">
                  <wp:extent cx="1948112" cy="1470183"/>
                  <wp:effectExtent l="0" t="0" r="0" b="0"/>
                  <wp:docPr id="111" name="image56.jpeg" descr=""/>
                  <wp:cNvGraphicFramePr>
                    <a:graphicFrameLocks noChangeAspect="1"/>
                  </wp:cNvGraphicFramePr>
                  <a:graphic>
                    <a:graphicData uri="http://schemas.openxmlformats.org/drawingml/2006/picture">
                      <pic:pic>
                        <pic:nvPicPr>
                          <pic:cNvPr id="112" name="image56.jpeg"/>
                          <pic:cNvPicPr/>
                        </pic:nvPicPr>
                        <pic:blipFill>
                          <a:blip r:embed="rId110" cstate="print"/>
                          <a:stretch>
                            <a:fillRect/>
                          </a:stretch>
                        </pic:blipFill>
                        <pic:spPr>
                          <a:xfrm>
                            <a:off x="0" y="0"/>
                            <a:ext cx="1948112" cy="1470183"/>
                          </a:xfrm>
                          <a:prstGeom prst="rect">
                            <a:avLst/>
                          </a:prstGeom>
                        </pic:spPr>
                      </pic:pic>
                    </a:graphicData>
                  </a:graphic>
                </wp:inline>
              </w:drawing>
            </w:r>
            <w:r>
              <w:rPr>
                <w:sz w:val="20"/>
              </w:rPr>
            </w:r>
          </w:p>
          <w:p>
            <w:pPr>
              <w:pStyle w:val="TableParagraph"/>
              <w:rPr>
                <w:sz w:val="20"/>
              </w:rPr>
            </w:pPr>
          </w:p>
        </w:tc>
      </w:tr>
      <w:tr>
        <w:trPr>
          <w:trHeight w:val="4161" w:hRule="exact"/>
        </w:trPr>
        <w:tc>
          <w:tcPr>
            <w:tcW w:w="3117"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5"/>
              <w:rPr>
                <w:sz w:val="17"/>
              </w:rPr>
            </w:pPr>
          </w:p>
          <w:p>
            <w:pPr>
              <w:pStyle w:val="TableParagraph"/>
              <w:ind w:left="408" w:right="406"/>
              <w:jc w:val="center"/>
              <w:rPr>
                <w:sz w:val="18"/>
              </w:rPr>
            </w:pPr>
            <w:r>
              <w:rPr>
                <w:sz w:val="18"/>
              </w:rPr>
              <w:t>Fabricación:</w:t>
            </w:r>
          </w:p>
          <w:p>
            <w:pPr>
              <w:pStyle w:val="TableParagraph"/>
              <w:spacing w:line="360" w:lineRule="auto" w:before="105"/>
              <w:ind w:left="684" w:right="198" w:hanging="356"/>
              <w:rPr>
                <w:sz w:val="18"/>
              </w:rPr>
            </w:pPr>
            <w:r>
              <w:rPr>
                <w:sz w:val="18"/>
              </w:rPr>
              <w:t>Se coloca el bloque en la CNC Hermafrodita dormida Mármol Negro Belga</w:t>
            </w:r>
          </w:p>
        </w:tc>
        <w:tc>
          <w:tcPr>
            <w:tcW w:w="4838" w:type="dxa"/>
          </w:tcPr>
          <w:p>
            <w:pPr>
              <w:pStyle w:val="TableParagraph"/>
              <w:spacing w:before="7" w:after="1"/>
              <w:rPr>
                <w:sz w:val="26"/>
              </w:rPr>
            </w:pPr>
          </w:p>
          <w:p>
            <w:pPr>
              <w:pStyle w:val="TableParagraph"/>
              <w:ind w:left="1130"/>
              <w:rPr>
                <w:sz w:val="20"/>
              </w:rPr>
            </w:pPr>
            <w:r>
              <w:rPr>
                <w:sz w:val="20"/>
              </w:rPr>
              <w:drawing>
                <wp:inline distT="0" distB="0" distL="0" distR="0">
                  <wp:extent cx="1625303" cy="2170747"/>
                  <wp:effectExtent l="0" t="0" r="0" b="0"/>
                  <wp:docPr id="113" name="image57.jpeg" descr=""/>
                  <wp:cNvGraphicFramePr>
                    <a:graphicFrameLocks noChangeAspect="1"/>
                  </wp:cNvGraphicFramePr>
                  <a:graphic>
                    <a:graphicData uri="http://schemas.openxmlformats.org/drawingml/2006/picture">
                      <pic:pic>
                        <pic:nvPicPr>
                          <pic:cNvPr id="114" name="image57.jpeg"/>
                          <pic:cNvPicPr/>
                        </pic:nvPicPr>
                        <pic:blipFill>
                          <a:blip r:embed="rId111" cstate="print"/>
                          <a:stretch>
                            <a:fillRect/>
                          </a:stretch>
                        </pic:blipFill>
                        <pic:spPr>
                          <a:xfrm>
                            <a:off x="0" y="0"/>
                            <a:ext cx="1625303" cy="2170747"/>
                          </a:xfrm>
                          <a:prstGeom prst="rect">
                            <a:avLst/>
                          </a:prstGeom>
                        </pic:spPr>
                      </pic:pic>
                    </a:graphicData>
                  </a:graphic>
                </wp:inline>
              </w:drawing>
            </w:r>
            <w:r>
              <w:rPr>
                <w:sz w:val="20"/>
              </w:rPr>
            </w:r>
          </w:p>
          <w:p>
            <w:pPr>
              <w:pStyle w:val="TableParagraph"/>
              <w:rPr>
                <w:sz w:val="20"/>
              </w:rPr>
            </w:pPr>
          </w:p>
          <w:p>
            <w:pPr>
              <w:pStyle w:val="TableParagraph"/>
              <w:spacing w:before="1"/>
              <w:rPr>
                <w:sz w:val="17"/>
              </w:rPr>
            </w:pPr>
          </w:p>
        </w:tc>
      </w:tr>
      <w:tr>
        <w:trPr>
          <w:trHeight w:val="2673" w:hRule="exact"/>
        </w:trPr>
        <w:tc>
          <w:tcPr>
            <w:tcW w:w="3117"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5"/>
              <w:rPr>
                <w:sz w:val="17"/>
              </w:rPr>
            </w:pPr>
          </w:p>
          <w:p>
            <w:pPr>
              <w:pStyle w:val="TableParagraph"/>
              <w:ind w:left="408" w:right="406"/>
              <w:jc w:val="center"/>
              <w:rPr>
                <w:sz w:val="18"/>
              </w:rPr>
            </w:pPr>
            <w:r>
              <w:rPr>
                <w:sz w:val="18"/>
              </w:rPr>
              <w:t>Fabricación:</w:t>
            </w:r>
          </w:p>
          <w:p>
            <w:pPr>
              <w:pStyle w:val="TableParagraph"/>
              <w:spacing w:line="362" w:lineRule="auto" w:before="101"/>
              <w:ind w:left="416" w:right="406"/>
              <w:jc w:val="center"/>
              <w:rPr>
                <w:sz w:val="18"/>
              </w:rPr>
            </w:pPr>
            <w:r>
              <w:rPr>
                <w:sz w:val="18"/>
              </w:rPr>
              <w:t>Chorro de agua talla mármol Hermafrodita dormida Mármol Negro Belga</w:t>
            </w:r>
          </w:p>
        </w:tc>
        <w:tc>
          <w:tcPr>
            <w:tcW w:w="4838" w:type="dxa"/>
          </w:tcPr>
          <w:p>
            <w:pPr>
              <w:pStyle w:val="TableParagraph"/>
              <w:spacing w:before="6"/>
              <w:rPr>
                <w:sz w:val="26"/>
              </w:rPr>
            </w:pPr>
          </w:p>
          <w:p>
            <w:pPr>
              <w:pStyle w:val="TableParagraph"/>
              <w:ind w:left="912"/>
              <w:rPr>
                <w:sz w:val="20"/>
              </w:rPr>
            </w:pPr>
            <w:r>
              <w:rPr>
                <w:sz w:val="20"/>
              </w:rPr>
              <w:drawing>
                <wp:inline distT="0" distB="0" distL="0" distR="0">
                  <wp:extent cx="1920690" cy="1441704"/>
                  <wp:effectExtent l="0" t="0" r="0" b="0"/>
                  <wp:docPr id="115" name="image58.jpeg" descr=""/>
                  <wp:cNvGraphicFramePr>
                    <a:graphicFrameLocks noChangeAspect="1"/>
                  </wp:cNvGraphicFramePr>
                  <a:graphic>
                    <a:graphicData uri="http://schemas.openxmlformats.org/drawingml/2006/picture">
                      <pic:pic>
                        <pic:nvPicPr>
                          <pic:cNvPr id="116" name="image58.jpeg"/>
                          <pic:cNvPicPr/>
                        </pic:nvPicPr>
                        <pic:blipFill>
                          <a:blip r:embed="rId112" cstate="print"/>
                          <a:stretch>
                            <a:fillRect/>
                          </a:stretch>
                        </pic:blipFill>
                        <pic:spPr>
                          <a:xfrm>
                            <a:off x="0" y="0"/>
                            <a:ext cx="1920690" cy="1441704"/>
                          </a:xfrm>
                          <a:prstGeom prst="rect">
                            <a:avLst/>
                          </a:prstGeom>
                        </pic:spPr>
                      </pic:pic>
                    </a:graphicData>
                  </a:graphic>
                </wp:inline>
              </w:drawing>
            </w:r>
            <w:r>
              <w:rPr>
                <w:sz w:val="20"/>
              </w:rPr>
            </w:r>
          </w:p>
        </w:tc>
      </w:tr>
    </w:tbl>
    <w:p>
      <w:pPr>
        <w:spacing w:after="0"/>
        <w:rPr>
          <w:sz w:val="20"/>
        </w:rPr>
        <w:sectPr>
          <w:pgSz w:w="12240" w:h="15840"/>
          <w:pgMar w:header="0" w:footer="1031" w:top="1420" w:bottom="1160" w:left="1600" w:right="1720"/>
        </w:sectPr>
      </w:pPr>
    </w:p>
    <w:tbl>
      <w:tblPr>
        <w:tblW w:w="0" w:type="auto"/>
        <w:jc w:val="left"/>
        <w:tblInd w:w="42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117"/>
        <w:gridCol w:w="4838"/>
      </w:tblGrid>
      <w:tr>
        <w:trPr>
          <w:trHeight w:val="4213" w:hRule="exact"/>
        </w:trPr>
        <w:tc>
          <w:tcPr>
            <w:tcW w:w="3117"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5"/>
              <w:rPr>
                <w:sz w:val="17"/>
              </w:rPr>
            </w:pPr>
          </w:p>
          <w:p>
            <w:pPr>
              <w:pStyle w:val="TableParagraph"/>
              <w:spacing w:line="362" w:lineRule="auto"/>
              <w:ind w:left="908" w:right="903" w:hanging="1"/>
              <w:jc w:val="center"/>
              <w:rPr>
                <w:sz w:val="18"/>
              </w:rPr>
            </w:pPr>
            <w:r>
              <w:rPr>
                <w:sz w:val="18"/>
              </w:rPr>
              <w:t>Fabricación: Proceso de talla</w:t>
            </w:r>
          </w:p>
          <w:p>
            <w:pPr>
              <w:pStyle w:val="TableParagraph"/>
              <w:spacing w:line="357" w:lineRule="auto" w:before="2"/>
              <w:ind w:left="411" w:right="406"/>
              <w:jc w:val="center"/>
              <w:rPr>
                <w:sz w:val="18"/>
              </w:rPr>
            </w:pPr>
            <w:r>
              <w:rPr>
                <w:sz w:val="18"/>
              </w:rPr>
              <w:t>Hermafrodita dormida Mármol Negro Belga</w:t>
            </w:r>
          </w:p>
        </w:tc>
        <w:tc>
          <w:tcPr>
            <w:tcW w:w="4838" w:type="dxa"/>
          </w:tcPr>
          <w:p>
            <w:pPr>
              <w:pStyle w:val="TableParagraph"/>
              <w:rPr>
                <w:sz w:val="20"/>
              </w:rPr>
            </w:pPr>
          </w:p>
          <w:p>
            <w:pPr>
              <w:pStyle w:val="TableParagraph"/>
              <w:rPr>
                <w:sz w:val="20"/>
              </w:rPr>
            </w:pPr>
          </w:p>
          <w:p>
            <w:pPr>
              <w:pStyle w:val="TableParagraph"/>
              <w:rPr>
                <w:sz w:val="14"/>
              </w:rPr>
            </w:pPr>
          </w:p>
          <w:p>
            <w:pPr>
              <w:pStyle w:val="TableParagraph"/>
              <w:ind w:left="297"/>
              <w:rPr>
                <w:sz w:val="20"/>
              </w:rPr>
            </w:pPr>
            <w:r>
              <w:rPr>
                <w:sz w:val="20"/>
              </w:rPr>
              <w:drawing>
                <wp:inline distT="0" distB="0" distL="0" distR="0">
                  <wp:extent cx="2702435" cy="2020824"/>
                  <wp:effectExtent l="0" t="0" r="0" b="0"/>
                  <wp:docPr id="117" name="image59.jpeg" descr=""/>
                  <wp:cNvGraphicFramePr>
                    <a:graphicFrameLocks noChangeAspect="1"/>
                  </wp:cNvGraphicFramePr>
                  <a:graphic>
                    <a:graphicData uri="http://schemas.openxmlformats.org/drawingml/2006/picture">
                      <pic:pic>
                        <pic:nvPicPr>
                          <pic:cNvPr id="118" name="image59.jpeg"/>
                          <pic:cNvPicPr/>
                        </pic:nvPicPr>
                        <pic:blipFill>
                          <a:blip r:embed="rId113" cstate="print"/>
                          <a:stretch>
                            <a:fillRect/>
                          </a:stretch>
                        </pic:blipFill>
                        <pic:spPr>
                          <a:xfrm>
                            <a:off x="0" y="0"/>
                            <a:ext cx="2702435" cy="2020824"/>
                          </a:xfrm>
                          <a:prstGeom prst="rect">
                            <a:avLst/>
                          </a:prstGeom>
                        </pic:spPr>
                      </pic:pic>
                    </a:graphicData>
                  </a:graphic>
                </wp:inline>
              </w:drawing>
            </w:r>
            <w:r>
              <w:rPr>
                <w:sz w:val="20"/>
              </w:rPr>
            </w:r>
          </w:p>
          <w:p>
            <w:pPr>
              <w:pStyle w:val="TableParagraph"/>
              <w:rPr>
                <w:sz w:val="20"/>
              </w:rPr>
            </w:pPr>
          </w:p>
        </w:tc>
      </w:tr>
      <w:tr>
        <w:trPr>
          <w:trHeight w:val="4845" w:hRule="exact"/>
        </w:trPr>
        <w:tc>
          <w:tcPr>
            <w:tcW w:w="3117"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4"/>
              <w:rPr>
                <w:sz w:val="17"/>
              </w:rPr>
            </w:pPr>
          </w:p>
          <w:p>
            <w:pPr>
              <w:pStyle w:val="TableParagraph"/>
              <w:spacing w:line="360" w:lineRule="auto" w:before="1"/>
              <w:ind w:left="684" w:right="679" w:hanging="4"/>
              <w:jc w:val="center"/>
              <w:rPr>
                <w:sz w:val="18"/>
              </w:rPr>
            </w:pPr>
            <w:r>
              <w:rPr>
                <w:sz w:val="18"/>
              </w:rPr>
              <w:t>Fabricación Hermafrodita dormida Mármol Negro Belga</w:t>
            </w:r>
          </w:p>
        </w:tc>
        <w:tc>
          <w:tcPr>
            <w:tcW w:w="4838" w:type="dxa"/>
          </w:tcPr>
          <w:p>
            <w:pPr>
              <w:pStyle w:val="TableParagraph"/>
              <w:spacing w:before="8"/>
              <w:rPr>
                <w:sz w:val="26"/>
              </w:rPr>
            </w:pPr>
          </w:p>
          <w:p>
            <w:pPr>
              <w:pStyle w:val="TableParagraph"/>
              <w:ind w:left="865"/>
              <w:rPr>
                <w:sz w:val="20"/>
              </w:rPr>
            </w:pPr>
            <w:r>
              <w:rPr>
                <w:sz w:val="20"/>
              </w:rPr>
              <w:drawing>
                <wp:inline distT="0" distB="0" distL="0" distR="0">
                  <wp:extent cx="1950665" cy="2589752"/>
                  <wp:effectExtent l="0" t="0" r="0" b="0"/>
                  <wp:docPr id="119" name="image60.jpeg" descr=""/>
                  <wp:cNvGraphicFramePr>
                    <a:graphicFrameLocks noChangeAspect="1"/>
                  </wp:cNvGraphicFramePr>
                  <a:graphic>
                    <a:graphicData uri="http://schemas.openxmlformats.org/drawingml/2006/picture">
                      <pic:pic>
                        <pic:nvPicPr>
                          <pic:cNvPr id="120" name="image60.jpeg"/>
                          <pic:cNvPicPr/>
                        </pic:nvPicPr>
                        <pic:blipFill>
                          <a:blip r:embed="rId114" cstate="print"/>
                          <a:stretch>
                            <a:fillRect/>
                          </a:stretch>
                        </pic:blipFill>
                        <pic:spPr>
                          <a:xfrm>
                            <a:off x="0" y="0"/>
                            <a:ext cx="1950665" cy="2589752"/>
                          </a:xfrm>
                          <a:prstGeom prst="rect">
                            <a:avLst/>
                          </a:prstGeom>
                        </pic:spPr>
                      </pic:pic>
                    </a:graphicData>
                  </a:graphic>
                </wp:inline>
              </w:drawing>
            </w:r>
            <w:r>
              <w:rPr>
                <w:sz w:val="20"/>
              </w:rPr>
            </w:r>
          </w:p>
          <w:p>
            <w:pPr>
              <w:pStyle w:val="TableParagraph"/>
              <w:rPr>
                <w:sz w:val="20"/>
              </w:rPr>
            </w:pPr>
          </w:p>
          <w:p>
            <w:pPr>
              <w:pStyle w:val="TableParagraph"/>
              <w:spacing w:before="2"/>
              <w:rPr>
                <w:sz w:val="19"/>
              </w:rPr>
            </w:pPr>
          </w:p>
        </w:tc>
      </w:tr>
      <w:tr>
        <w:trPr>
          <w:trHeight w:val="3853" w:hRule="exact"/>
        </w:trPr>
        <w:tc>
          <w:tcPr>
            <w:tcW w:w="3117"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5"/>
              <w:rPr>
                <w:sz w:val="17"/>
              </w:rPr>
            </w:pPr>
          </w:p>
          <w:p>
            <w:pPr>
              <w:pStyle w:val="TableParagraph"/>
              <w:spacing w:line="360" w:lineRule="auto"/>
              <w:ind w:left="684" w:right="679" w:hanging="4"/>
              <w:jc w:val="center"/>
              <w:rPr>
                <w:sz w:val="18"/>
              </w:rPr>
            </w:pPr>
            <w:r>
              <w:rPr>
                <w:sz w:val="18"/>
              </w:rPr>
              <w:t>Fabricación Hermafrodita dormida Mármol Negro Belga</w:t>
            </w:r>
          </w:p>
        </w:tc>
        <w:tc>
          <w:tcPr>
            <w:tcW w:w="4838" w:type="dxa"/>
          </w:tcPr>
          <w:p>
            <w:pPr>
              <w:pStyle w:val="TableParagraph"/>
              <w:spacing w:before="7" w:after="1"/>
              <w:rPr>
                <w:sz w:val="26"/>
              </w:rPr>
            </w:pPr>
          </w:p>
          <w:p>
            <w:pPr>
              <w:pStyle w:val="TableParagraph"/>
              <w:ind w:left="1242"/>
              <w:rPr>
                <w:sz w:val="20"/>
              </w:rPr>
            </w:pPr>
            <w:r>
              <w:rPr>
                <w:sz w:val="20"/>
              </w:rPr>
              <w:drawing>
                <wp:inline distT="0" distB="0" distL="0" distR="0">
                  <wp:extent cx="1480108" cy="1984248"/>
                  <wp:effectExtent l="0" t="0" r="0" b="0"/>
                  <wp:docPr id="121" name="image61.jpeg" descr=""/>
                  <wp:cNvGraphicFramePr>
                    <a:graphicFrameLocks noChangeAspect="1"/>
                  </wp:cNvGraphicFramePr>
                  <a:graphic>
                    <a:graphicData uri="http://schemas.openxmlformats.org/drawingml/2006/picture">
                      <pic:pic>
                        <pic:nvPicPr>
                          <pic:cNvPr id="122" name="image61.jpeg"/>
                          <pic:cNvPicPr/>
                        </pic:nvPicPr>
                        <pic:blipFill>
                          <a:blip r:embed="rId115" cstate="print"/>
                          <a:stretch>
                            <a:fillRect/>
                          </a:stretch>
                        </pic:blipFill>
                        <pic:spPr>
                          <a:xfrm>
                            <a:off x="0" y="0"/>
                            <a:ext cx="1480108" cy="1984248"/>
                          </a:xfrm>
                          <a:prstGeom prst="rect">
                            <a:avLst/>
                          </a:prstGeom>
                        </pic:spPr>
                      </pic:pic>
                    </a:graphicData>
                  </a:graphic>
                </wp:inline>
              </w:drawing>
            </w:r>
            <w:r>
              <w:rPr>
                <w:sz w:val="20"/>
              </w:rPr>
            </w:r>
          </w:p>
          <w:p>
            <w:pPr>
              <w:pStyle w:val="TableParagraph"/>
              <w:rPr>
                <w:sz w:val="20"/>
              </w:rPr>
            </w:pPr>
          </w:p>
          <w:p>
            <w:pPr>
              <w:pStyle w:val="TableParagraph"/>
              <w:spacing w:before="10"/>
              <w:rPr>
                <w:sz w:val="15"/>
              </w:rPr>
            </w:pPr>
          </w:p>
        </w:tc>
      </w:tr>
    </w:tbl>
    <w:p>
      <w:pPr>
        <w:spacing w:after="0"/>
        <w:rPr>
          <w:sz w:val="15"/>
        </w:rPr>
        <w:sectPr>
          <w:pgSz w:w="12240" w:h="15840"/>
          <w:pgMar w:header="0" w:footer="1031" w:top="1420" w:bottom="1160" w:left="1720" w:right="1600"/>
        </w:sectPr>
      </w:pPr>
    </w:p>
    <w:tbl>
      <w:tblPr>
        <w:tblW w:w="0" w:type="auto"/>
        <w:jc w:val="left"/>
        <w:tblInd w:w="54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117"/>
        <w:gridCol w:w="4838"/>
      </w:tblGrid>
      <w:tr>
        <w:trPr>
          <w:trHeight w:val="4229" w:hRule="exact"/>
        </w:trPr>
        <w:tc>
          <w:tcPr>
            <w:tcW w:w="3117"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6"/>
              <w:rPr>
                <w:sz w:val="26"/>
              </w:rPr>
            </w:pPr>
          </w:p>
          <w:p>
            <w:pPr>
              <w:pStyle w:val="TableParagraph"/>
              <w:spacing w:line="362" w:lineRule="auto"/>
              <w:ind w:left="684" w:right="183" w:hanging="480"/>
              <w:rPr>
                <w:sz w:val="18"/>
              </w:rPr>
            </w:pPr>
            <w:r>
              <w:rPr>
                <w:sz w:val="18"/>
              </w:rPr>
              <w:t>Embalado para continuar proceso Hermafrodita dormida Mármol Negro Belga</w:t>
            </w:r>
          </w:p>
        </w:tc>
        <w:tc>
          <w:tcPr>
            <w:tcW w:w="4838" w:type="dxa"/>
          </w:tcPr>
          <w:p>
            <w:pPr>
              <w:pStyle w:val="TableParagraph"/>
              <w:rPr>
                <w:sz w:val="20"/>
              </w:rPr>
            </w:pPr>
          </w:p>
          <w:p>
            <w:pPr>
              <w:pStyle w:val="TableParagraph"/>
              <w:rPr>
                <w:sz w:val="20"/>
              </w:rPr>
            </w:pPr>
          </w:p>
          <w:p>
            <w:pPr>
              <w:pStyle w:val="TableParagraph"/>
              <w:rPr>
                <w:sz w:val="14"/>
              </w:rPr>
            </w:pPr>
          </w:p>
          <w:p>
            <w:pPr>
              <w:pStyle w:val="TableParagraph"/>
              <w:ind w:left="1358"/>
              <w:rPr>
                <w:sz w:val="20"/>
              </w:rPr>
            </w:pPr>
            <w:r>
              <w:rPr>
                <w:sz w:val="20"/>
              </w:rPr>
              <w:drawing>
                <wp:inline distT="0" distB="0" distL="0" distR="0">
                  <wp:extent cx="1348411" cy="2034444"/>
                  <wp:effectExtent l="0" t="0" r="0" b="0"/>
                  <wp:docPr id="123" name="image62.jpeg" descr=""/>
                  <wp:cNvGraphicFramePr>
                    <a:graphicFrameLocks noChangeAspect="1"/>
                  </wp:cNvGraphicFramePr>
                  <a:graphic>
                    <a:graphicData uri="http://schemas.openxmlformats.org/drawingml/2006/picture">
                      <pic:pic>
                        <pic:nvPicPr>
                          <pic:cNvPr id="124" name="image62.jpeg"/>
                          <pic:cNvPicPr/>
                        </pic:nvPicPr>
                        <pic:blipFill>
                          <a:blip r:embed="rId116" cstate="print"/>
                          <a:stretch>
                            <a:fillRect/>
                          </a:stretch>
                        </pic:blipFill>
                        <pic:spPr>
                          <a:xfrm>
                            <a:off x="0" y="0"/>
                            <a:ext cx="1348411" cy="2034444"/>
                          </a:xfrm>
                          <a:prstGeom prst="rect">
                            <a:avLst/>
                          </a:prstGeom>
                        </pic:spPr>
                      </pic:pic>
                    </a:graphicData>
                  </a:graphic>
                </wp:inline>
              </w:drawing>
            </w:r>
            <w:r>
              <w:rPr>
                <w:sz w:val="20"/>
              </w:rPr>
            </w:r>
          </w:p>
          <w:p>
            <w:pPr>
              <w:pStyle w:val="TableParagraph"/>
              <w:rPr>
                <w:sz w:val="20"/>
              </w:rPr>
            </w:pPr>
          </w:p>
        </w:tc>
      </w:tr>
      <w:tr>
        <w:trPr>
          <w:trHeight w:val="2608" w:hRule="exact"/>
        </w:trPr>
        <w:tc>
          <w:tcPr>
            <w:tcW w:w="3117" w:type="dxa"/>
          </w:tcPr>
          <w:p>
            <w:pPr>
              <w:pStyle w:val="TableParagraph"/>
              <w:rPr>
                <w:sz w:val="18"/>
              </w:rPr>
            </w:pPr>
          </w:p>
          <w:p>
            <w:pPr>
              <w:pStyle w:val="TableParagraph"/>
              <w:rPr>
                <w:sz w:val="18"/>
              </w:rPr>
            </w:pPr>
          </w:p>
          <w:p>
            <w:pPr>
              <w:pStyle w:val="TableParagraph"/>
              <w:rPr>
                <w:sz w:val="18"/>
              </w:rPr>
            </w:pPr>
          </w:p>
          <w:p>
            <w:pPr>
              <w:pStyle w:val="TableParagraph"/>
              <w:spacing w:before="7"/>
              <w:rPr>
                <w:sz w:val="26"/>
              </w:rPr>
            </w:pPr>
          </w:p>
          <w:p>
            <w:pPr>
              <w:pStyle w:val="TableParagraph"/>
              <w:spacing w:line="360" w:lineRule="auto"/>
              <w:ind w:left="684" w:right="183" w:hanging="480"/>
              <w:rPr>
                <w:sz w:val="18"/>
              </w:rPr>
            </w:pPr>
            <w:r>
              <w:rPr>
                <w:sz w:val="18"/>
              </w:rPr>
              <w:t>Embalado para continuar proceso Hermafrodita dormida Mármol Negro Belga</w:t>
            </w:r>
          </w:p>
        </w:tc>
        <w:tc>
          <w:tcPr>
            <w:tcW w:w="4838" w:type="dxa"/>
          </w:tcPr>
          <w:p>
            <w:pPr>
              <w:pStyle w:val="TableParagraph"/>
              <w:spacing w:before="10"/>
              <w:rPr>
                <w:sz w:val="26"/>
              </w:rPr>
            </w:pPr>
          </w:p>
          <w:p>
            <w:pPr>
              <w:pStyle w:val="TableParagraph"/>
              <w:ind w:left="995"/>
              <w:rPr>
                <w:sz w:val="20"/>
              </w:rPr>
            </w:pPr>
            <w:r>
              <w:rPr>
                <w:sz w:val="20"/>
              </w:rPr>
              <w:drawing>
                <wp:inline distT="0" distB="0" distL="0" distR="0">
                  <wp:extent cx="1792579" cy="1183671"/>
                  <wp:effectExtent l="0" t="0" r="0" b="0"/>
                  <wp:docPr id="125" name="image63.jpeg" descr=""/>
                  <wp:cNvGraphicFramePr>
                    <a:graphicFrameLocks noChangeAspect="1"/>
                  </wp:cNvGraphicFramePr>
                  <a:graphic>
                    <a:graphicData uri="http://schemas.openxmlformats.org/drawingml/2006/picture">
                      <pic:pic>
                        <pic:nvPicPr>
                          <pic:cNvPr id="126" name="image63.jpeg"/>
                          <pic:cNvPicPr/>
                        </pic:nvPicPr>
                        <pic:blipFill>
                          <a:blip r:embed="rId117" cstate="print"/>
                          <a:stretch>
                            <a:fillRect/>
                          </a:stretch>
                        </pic:blipFill>
                        <pic:spPr>
                          <a:xfrm>
                            <a:off x="0" y="0"/>
                            <a:ext cx="1792579" cy="1183671"/>
                          </a:xfrm>
                          <a:prstGeom prst="rect">
                            <a:avLst/>
                          </a:prstGeom>
                        </pic:spPr>
                      </pic:pic>
                    </a:graphicData>
                  </a:graphic>
                </wp:inline>
              </w:drawing>
            </w:r>
            <w:r>
              <w:rPr>
                <w:sz w:val="20"/>
              </w:rPr>
            </w:r>
          </w:p>
          <w:p>
            <w:pPr>
              <w:pStyle w:val="TableParagraph"/>
              <w:rPr>
                <w:sz w:val="20"/>
              </w:rPr>
            </w:pPr>
          </w:p>
          <w:p>
            <w:pPr>
              <w:pStyle w:val="TableParagraph"/>
              <w:rPr>
                <w:sz w:val="17"/>
              </w:rPr>
            </w:pPr>
          </w:p>
        </w:tc>
      </w:tr>
      <w:tr>
        <w:trPr>
          <w:trHeight w:val="3105" w:hRule="exact"/>
        </w:trPr>
        <w:tc>
          <w:tcPr>
            <w:tcW w:w="3117" w:type="dxa"/>
          </w:tcPr>
          <w:p>
            <w:pPr>
              <w:pStyle w:val="TableParagraph"/>
              <w:rPr>
                <w:sz w:val="18"/>
              </w:rPr>
            </w:pPr>
          </w:p>
          <w:p>
            <w:pPr>
              <w:pStyle w:val="TableParagraph"/>
              <w:rPr>
                <w:sz w:val="18"/>
              </w:rPr>
            </w:pPr>
          </w:p>
          <w:p>
            <w:pPr>
              <w:pStyle w:val="TableParagraph"/>
              <w:spacing w:before="6"/>
              <w:rPr>
                <w:sz w:val="17"/>
              </w:rPr>
            </w:pPr>
          </w:p>
          <w:p>
            <w:pPr>
              <w:pStyle w:val="TableParagraph"/>
              <w:spacing w:line="357" w:lineRule="auto"/>
              <w:ind w:left="820" w:right="816" w:hanging="1"/>
              <w:jc w:val="center"/>
              <w:rPr>
                <w:sz w:val="18"/>
              </w:rPr>
            </w:pPr>
            <w:r>
              <w:rPr>
                <w:sz w:val="18"/>
              </w:rPr>
              <w:t>Fabricación: Pulido y acabados</w:t>
            </w:r>
          </w:p>
          <w:p>
            <w:pPr>
              <w:pStyle w:val="TableParagraph"/>
              <w:spacing w:line="362" w:lineRule="auto" w:before="6"/>
              <w:ind w:left="411" w:right="406"/>
              <w:jc w:val="center"/>
              <w:rPr>
                <w:sz w:val="18"/>
              </w:rPr>
            </w:pPr>
            <w:r>
              <w:rPr>
                <w:sz w:val="18"/>
              </w:rPr>
              <w:t>Hermafrodita dormida Mármol Negro Belga</w:t>
            </w:r>
          </w:p>
        </w:tc>
        <w:tc>
          <w:tcPr>
            <w:tcW w:w="4838" w:type="dxa"/>
          </w:tcPr>
          <w:p>
            <w:pPr>
              <w:pStyle w:val="TableParagraph"/>
              <w:spacing w:before="8"/>
              <w:rPr>
                <w:sz w:val="26"/>
              </w:rPr>
            </w:pPr>
          </w:p>
          <w:p>
            <w:pPr>
              <w:pStyle w:val="TableParagraph"/>
              <w:ind w:left="627"/>
              <w:rPr>
                <w:sz w:val="20"/>
              </w:rPr>
            </w:pPr>
            <w:r>
              <w:rPr>
                <w:sz w:val="20"/>
              </w:rPr>
              <w:drawing>
                <wp:inline distT="0" distB="0" distL="0" distR="0">
                  <wp:extent cx="2243134" cy="1486281"/>
                  <wp:effectExtent l="0" t="0" r="0" b="0"/>
                  <wp:docPr id="127" name="image64.jpeg" descr=""/>
                  <wp:cNvGraphicFramePr>
                    <a:graphicFrameLocks noChangeAspect="1"/>
                  </wp:cNvGraphicFramePr>
                  <a:graphic>
                    <a:graphicData uri="http://schemas.openxmlformats.org/drawingml/2006/picture">
                      <pic:pic>
                        <pic:nvPicPr>
                          <pic:cNvPr id="128" name="image64.jpeg"/>
                          <pic:cNvPicPr/>
                        </pic:nvPicPr>
                        <pic:blipFill>
                          <a:blip r:embed="rId118" cstate="print"/>
                          <a:stretch>
                            <a:fillRect/>
                          </a:stretch>
                        </pic:blipFill>
                        <pic:spPr>
                          <a:xfrm>
                            <a:off x="0" y="0"/>
                            <a:ext cx="2243134" cy="1486281"/>
                          </a:xfrm>
                          <a:prstGeom prst="rect">
                            <a:avLst/>
                          </a:prstGeom>
                        </pic:spPr>
                      </pic:pic>
                    </a:graphicData>
                  </a:graphic>
                </wp:inline>
              </w:drawing>
            </w:r>
            <w:r>
              <w:rPr>
                <w:sz w:val="20"/>
              </w:rPr>
            </w:r>
          </w:p>
          <w:p>
            <w:pPr>
              <w:pStyle w:val="TableParagraph"/>
              <w:rPr>
                <w:sz w:val="20"/>
              </w:rPr>
            </w:pPr>
          </w:p>
          <w:p>
            <w:pPr>
              <w:pStyle w:val="TableParagraph"/>
              <w:rPr>
                <w:sz w:val="19"/>
              </w:rPr>
            </w:pPr>
          </w:p>
        </w:tc>
      </w:tr>
      <w:tr>
        <w:trPr>
          <w:trHeight w:val="2885" w:hRule="exact"/>
        </w:trPr>
        <w:tc>
          <w:tcPr>
            <w:tcW w:w="3117" w:type="dxa"/>
          </w:tcPr>
          <w:p>
            <w:pPr>
              <w:pStyle w:val="TableParagraph"/>
              <w:rPr>
                <w:sz w:val="18"/>
              </w:rPr>
            </w:pPr>
          </w:p>
          <w:p>
            <w:pPr>
              <w:pStyle w:val="TableParagraph"/>
              <w:rPr>
                <w:sz w:val="18"/>
              </w:rPr>
            </w:pPr>
          </w:p>
          <w:p>
            <w:pPr>
              <w:pStyle w:val="TableParagraph"/>
              <w:rPr>
                <w:sz w:val="18"/>
              </w:rPr>
            </w:pPr>
          </w:p>
          <w:p>
            <w:pPr>
              <w:pStyle w:val="TableParagraph"/>
              <w:spacing w:before="7"/>
              <w:rPr>
                <w:sz w:val="26"/>
              </w:rPr>
            </w:pPr>
          </w:p>
          <w:p>
            <w:pPr>
              <w:pStyle w:val="TableParagraph"/>
              <w:spacing w:line="357" w:lineRule="auto"/>
              <w:ind w:left="820" w:right="816" w:hanging="1"/>
              <w:jc w:val="center"/>
              <w:rPr>
                <w:sz w:val="18"/>
              </w:rPr>
            </w:pPr>
            <w:r>
              <w:rPr>
                <w:sz w:val="18"/>
              </w:rPr>
              <w:t>Fabricación: Pulido y acabados</w:t>
            </w:r>
          </w:p>
          <w:p>
            <w:pPr>
              <w:pStyle w:val="TableParagraph"/>
              <w:spacing w:line="357" w:lineRule="auto" w:before="7"/>
              <w:ind w:left="411" w:right="406"/>
              <w:jc w:val="center"/>
              <w:rPr>
                <w:sz w:val="18"/>
              </w:rPr>
            </w:pPr>
            <w:r>
              <w:rPr>
                <w:sz w:val="18"/>
              </w:rPr>
              <w:t>Hermafrodita dormida Mármol Negro Belga</w:t>
            </w:r>
          </w:p>
        </w:tc>
        <w:tc>
          <w:tcPr>
            <w:tcW w:w="4838" w:type="dxa"/>
          </w:tcPr>
          <w:p>
            <w:pPr>
              <w:pStyle w:val="TableParagraph"/>
              <w:spacing w:before="7"/>
              <w:rPr>
                <w:sz w:val="26"/>
              </w:rPr>
            </w:pPr>
          </w:p>
          <w:p>
            <w:pPr>
              <w:pStyle w:val="TableParagraph"/>
              <w:ind w:left="537"/>
              <w:rPr>
                <w:sz w:val="20"/>
              </w:rPr>
            </w:pPr>
            <w:r>
              <w:rPr>
                <w:sz w:val="20"/>
              </w:rPr>
              <w:drawing>
                <wp:inline distT="0" distB="0" distL="0" distR="0">
                  <wp:extent cx="2392639" cy="1576387"/>
                  <wp:effectExtent l="0" t="0" r="0" b="0"/>
                  <wp:docPr id="129" name="image65.jpeg" descr=""/>
                  <wp:cNvGraphicFramePr>
                    <a:graphicFrameLocks noChangeAspect="1"/>
                  </wp:cNvGraphicFramePr>
                  <a:graphic>
                    <a:graphicData uri="http://schemas.openxmlformats.org/drawingml/2006/picture">
                      <pic:pic>
                        <pic:nvPicPr>
                          <pic:cNvPr id="130" name="image65.jpeg"/>
                          <pic:cNvPicPr/>
                        </pic:nvPicPr>
                        <pic:blipFill>
                          <a:blip r:embed="rId119" cstate="print"/>
                          <a:stretch>
                            <a:fillRect/>
                          </a:stretch>
                        </pic:blipFill>
                        <pic:spPr>
                          <a:xfrm>
                            <a:off x="0" y="0"/>
                            <a:ext cx="2392639" cy="1576387"/>
                          </a:xfrm>
                          <a:prstGeom prst="rect">
                            <a:avLst/>
                          </a:prstGeom>
                        </pic:spPr>
                      </pic:pic>
                    </a:graphicData>
                  </a:graphic>
                </wp:inline>
              </w:drawing>
            </w:r>
            <w:r>
              <w:rPr>
                <w:sz w:val="20"/>
              </w:rPr>
            </w:r>
          </w:p>
        </w:tc>
      </w:tr>
    </w:tbl>
    <w:p>
      <w:pPr>
        <w:spacing w:after="0"/>
        <w:rPr>
          <w:sz w:val="20"/>
        </w:rPr>
        <w:sectPr>
          <w:pgSz w:w="12240" w:h="15840"/>
          <w:pgMar w:header="0" w:footer="1031" w:top="1420" w:bottom="1160" w:left="1600" w:right="1720"/>
        </w:sectPr>
      </w:pPr>
    </w:p>
    <w:tbl>
      <w:tblPr>
        <w:tblW w:w="0" w:type="auto"/>
        <w:jc w:val="left"/>
        <w:tblInd w:w="42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117"/>
        <w:gridCol w:w="4838"/>
      </w:tblGrid>
      <w:tr>
        <w:trPr>
          <w:trHeight w:val="3241" w:hRule="exact"/>
        </w:trPr>
        <w:tc>
          <w:tcPr>
            <w:tcW w:w="3117" w:type="dxa"/>
          </w:tcPr>
          <w:p>
            <w:pPr>
              <w:pStyle w:val="TableParagraph"/>
              <w:rPr>
                <w:sz w:val="18"/>
              </w:rPr>
            </w:pPr>
          </w:p>
          <w:p>
            <w:pPr>
              <w:pStyle w:val="TableParagraph"/>
              <w:rPr>
                <w:sz w:val="18"/>
              </w:rPr>
            </w:pPr>
          </w:p>
          <w:p>
            <w:pPr>
              <w:pStyle w:val="TableParagraph"/>
              <w:rPr>
                <w:sz w:val="18"/>
              </w:rPr>
            </w:pPr>
          </w:p>
          <w:p>
            <w:pPr>
              <w:pStyle w:val="TableParagraph"/>
              <w:spacing w:before="7"/>
              <w:rPr>
                <w:sz w:val="26"/>
              </w:rPr>
            </w:pPr>
          </w:p>
          <w:p>
            <w:pPr>
              <w:pStyle w:val="TableParagraph"/>
              <w:spacing w:line="360" w:lineRule="auto"/>
              <w:ind w:left="684" w:right="679" w:hanging="3"/>
              <w:jc w:val="center"/>
              <w:rPr>
                <w:sz w:val="18"/>
              </w:rPr>
            </w:pPr>
            <w:r>
              <w:rPr>
                <w:sz w:val="18"/>
              </w:rPr>
              <w:t>Embalado Hermafrodita dormida Mármol Negro Belga</w:t>
            </w:r>
          </w:p>
        </w:tc>
        <w:tc>
          <w:tcPr>
            <w:tcW w:w="4838" w:type="dxa"/>
          </w:tcPr>
          <w:p>
            <w:pPr>
              <w:pStyle w:val="TableParagraph"/>
              <w:rPr>
                <w:sz w:val="27"/>
              </w:rPr>
            </w:pPr>
          </w:p>
          <w:p>
            <w:pPr>
              <w:pStyle w:val="TableParagraph"/>
              <w:ind w:left="743"/>
              <w:rPr>
                <w:sz w:val="20"/>
              </w:rPr>
            </w:pPr>
            <w:r>
              <w:rPr>
                <w:sz w:val="20"/>
              </w:rPr>
              <w:drawing>
                <wp:inline distT="0" distB="0" distL="0" distR="0">
                  <wp:extent cx="2104268" cy="1578768"/>
                  <wp:effectExtent l="0" t="0" r="0" b="0"/>
                  <wp:docPr id="131" name="image66.jpeg" descr=""/>
                  <wp:cNvGraphicFramePr>
                    <a:graphicFrameLocks noChangeAspect="1"/>
                  </wp:cNvGraphicFramePr>
                  <a:graphic>
                    <a:graphicData uri="http://schemas.openxmlformats.org/drawingml/2006/picture">
                      <pic:pic>
                        <pic:nvPicPr>
                          <pic:cNvPr id="132" name="image66.jpeg"/>
                          <pic:cNvPicPr/>
                        </pic:nvPicPr>
                        <pic:blipFill>
                          <a:blip r:embed="rId120" cstate="print"/>
                          <a:stretch>
                            <a:fillRect/>
                          </a:stretch>
                        </pic:blipFill>
                        <pic:spPr>
                          <a:xfrm>
                            <a:off x="0" y="0"/>
                            <a:ext cx="2104268" cy="1578768"/>
                          </a:xfrm>
                          <a:prstGeom prst="rect">
                            <a:avLst/>
                          </a:prstGeom>
                        </pic:spPr>
                      </pic:pic>
                    </a:graphicData>
                  </a:graphic>
                </wp:inline>
              </w:drawing>
            </w:r>
            <w:r>
              <w:rPr>
                <w:sz w:val="20"/>
              </w:rPr>
            </w:r>
          </w:p>
          <w:p>
            <w:pPr>
              <w:pStyle w:val="TableParagraph"/>
              <w:rPr>
                <w:sz w:val="20"/>
              </w:rPr>
            </w:pPr>
          </w:p>
          <w:p>
            <w:pPr>
              <w:pStyle w:val="TableParagraph"/>
              <w:spacing w:before="9"/>
              <w:rPr>
                <w:sz w:val="17"/>
              </w:rPr>
            </w:pPr>
          </w:p>
        </w:tc>
      </w:tr>
      <w:tr>
        <w:trPr>
          <w:trHeight w:val="4737" w:hRule="exact"/>
        </w:trPr>
        <w:tc>
          <w:tcPr>
            <w:tcW w:w="3117"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7"/>
              <w:rPr>
                <w:sz w:val="26"/>
              </w:rPr>
            </w:pPr>
          </w:p>
          <w:p>
            <w:pPr>
              <w:pStyle w:val="TableParagraph"/>
              <w:spacing w:line="360" w:lineRule="auto"/>
              <w:ind w:left="684" w:right="679" w:hanging="3"/>
              <w:jc w:val="center"/>
              <w:rPr>
                <w:sz w:val="18"/>
              </w:rPr>
            </w:pPr>
            <w:r>
              <w:rPr>
                <w:sz w:val="18"/>
              </w:rPr>
              <w:t>Embalado Hermafrodita dormida Mármol Negro Belga</w:t>
            </w:r>
          </w:p>
        </w:tc>
        <w:tc>
          <w:tcPr>
            <w:tcW w:w="4838" w:type="dxa"/>
          </w:tcPr>
          <w:p>
            <w:pPr>
              <w:pStyle w:val="TableParagraph"/>
              <w:spacing w:before="10"/>
              <w:rPr>
                <w:sz w:val="26"/>
              </w:rPr>
            </w:pPr>
          </w:p>
          <w:p>
            <w:pPr>
              <w:pStyle w:val="TableParagraph"/>
              <w:ind w:left="927"/>
              <w:rPr>
                <w:sz w:val="20"/>
              </w:rPr>
            </w:pPr>
            <w:r>
              <w:rPr>
                <w:sz w:val="20"/>
              </w:rPr>
              <w:drawing>
                <wp:inline distT="0" distB="0" distL="0" distR="0">
                  <wp:extent cx="1900386" cy="2561463"/>
                  <wp:effectExtent l="0" t="0" r="0" b="0"/>
                  <wp:docPr id="133" name="image67.jpeg" descr=""/>
                  <wp:cNvGraphicFramePr>
                    <a:graphicFrameLocks noChangeAspect="1"/>
                  </wp:cNvGraphicFramePr>
                  <a:graphic>
                    <a:graphicData uri="http://schemas.openxmlformats.org/drawingml/2006/picture">
                      <pic:pic>
                        <pic:nvPicPr>
                          <pic:cNvPr id="134" name="image67.jpeg"/>
                          <pic:cNvPicPr/>
                        </pic:nvPicPr>
                        <pic:blipFill>
                          <a:blip r:embed="rId121" cstate="print"/>
                          <a:stretch>
                            <a:fillRect/>
                          </a:stretch>
                        </pic:blipFill>
                        <pic:spPr>
                          <a:xfrm>
                            <a:off x="0" y="0"/>
                            <a:ext cx="1900386" cy="2561463"/>
                          </a:xfrm>
                          <a:prstGeom prst="rect">
                            <a:avLst/>
                          </a:prstGeom>
                        </pic:spPr>
                      </pic:pic>
                    </a:graphicData>
                  </a:graphic>
                </wp:inline>
              </w:drawing>
            </w:r>
            <w:r>
              <w:rPr>
                <w:sz w:val="20"/>
              </w:rPr>
            </w:r>
          </w:p>
          <w:p>
            <w:pPr>
              <w:pStyle w:val="TableParagraph"/>
              <w:rPr>
                <w:sz w:val="20"/>
              </w:rPr>
            </w:pPr>
          </w:p>
        </w:tc>
      </w:tr>
      <w:tr>
        <w:trPr>
          <w:trHeight w:val="3597" w:hRule="exact"/>
        </w:trPr>
        <w:tc>
          <w:tcPr>
            <w:tcW w:w="3117" w:type="dxa"/>
          </w:tcPr>
          <w:p>
            <w:pPr>
              <w:pStyle w:val="TableParagraph"/>
              <w:rPr>
                <w:sz w:val="18"/>
              </w:rPr>
            </w:pPr>
          </w:p>
          <w:p>
            <w:pPr>
              <w:pStyle w:val="TableParagraph"/>
              <w:rPr>
                <w:sz w:val="18"/>
              </w:rPr>
            </w:pPr>
          </w:p>
          <w:p>
            <w:pPr>
              <w:pStyle w:val="TableParagraph"/>
              <w:rPr>
                <w:sz w:val="18"/>
              </w:rPr>
            </w:pPr>
          </w:p>
          <w:p>
            <w:pPr>
              <w:pStyle w:val="TableParagraph"/>
              <w:spacing w:before="7"/>
              <w:rPr>
                <w:sz w:val="26"/>
              </w:rPr>
            </w:pPr>
          </w:p>
          <w:p>
            <w:pPr>
              <w:pStyle w:val="TableParagraph"/>
              <w:spacing w:line="360" w:lineRule="auto"/>
              <w:ind w:left="684" w:right="679" w:hanging="2"/>
              <w:jc w:val="center"/>
              <w:rPr>
                <w:sz w:val="18"/>
              </w:rPr>
            </w:pPr>
            <w:r>
              <w:rPr>
                <w:sz w:val="18"/>
              </w:rPr>
              <w:t>Fabricación: Acabados Hermafrodita dormida Mármol Negro Belga</w:t>
            </w:r>
          </w:p>
        </w:tc>
        <w:tc>
          <w:tcPr>
            <w:tcW w:w="4838" w:type="dxa"/>
          </w:tcPr>
          <w:p>
            <w:pPr>
              <w:pStyle w:val="TableParagraph"/>
              <w:spacing w:before="8"/>
              <w:rPr>
                <w:sz w:val="26"/>
              </w:rPr>
            </w:pPr>
          </w:p>
          <w:p>
            <w:pPr>
              <w:pStyle w:val="TableParagraph"/>
              <w:ind w:left="492"/>
              <w:rPr>
                <w:sz w:val="20"/>
              </w:rPr>
            </w:pPr>
            <w:r>
              <w:rPr>
                <w:sz w:val="20"/>
              </w:rPr>
              <w:drawing>
                <wp:inline distT="0" distB="0" distL="0" distR="0">
                  <wp:extent cx="2436636" cy="1817370"/>
                  <wp:effectExtent l="0" t="0" r="0" b="0"/>
                  <wp:docPr id="135" name="image68.jpeg" descr=""/>
                  <wp:cNvGraphicFramePr>
                    <a:graphicFrameLocks noChangeAspect="1"/>
                  </wp:cNvGraphicFramePr>
                  <a:graphic>
                    <a:graphicData uri="http://schemas.openxmlformats.org/drawingml/2006/picture">
                      <pic:pic>
                        <pic:nvPicPr>
                          <pic:cNvPr id="136" name="image68.jpeg"/>
                          <pic:cNvPicPr/>
                        </pic:nvPicPr>
                        <pic:blipFill>
                          <a:blip r:embed="rId122" cstate="print"/>
                          <a:stretch>
                            <a:fillRect/>
                          </a:stretch>
                        </pic:blipFill>
                        <pic:spPr>
                          <a:xfrm>
                            <a:off x="0" y="0"/>
                            <a:ext cx="2436636" cy="1817370"/>
                          </a:xfrm>
                          <a:prstGeom prst="rect">
                            <a:avLst/>
                          </a:prstGeom>
                        </pic:spPr>
                      </pic:pic>
                    </a:graphicData>
                  </a:graphic>
                </wp:inline>
              </w:drawing>
            </w:r>
            <w:r>
              <w:rPr>
                <w:sz w:val="20"/>
              </w:rPr>
            </w:r>
          </w:p>
          <w:p>
            <w:pPr>
              <w:pStyle w:val="TableParagraph"/>
              <w:rPr>
                <w:sz w:val="20"/>
              </w:rPr>
            </w:pPr>
          </w:p>
          <w:p>
            <w:pPr>
              <w:pStyle w:val="TableParagraph"/>
              <w:spacing w:before="5"/>
              <w:rPr>
                <w:sz w:val="16"/>
              </w:rPr>
            </w:pPr>
          </w:p>
        </w:tc>
      </w:tr>
      <w:tr>
        <w:trPr>
          <w:trHeight w:val="1248" w:hRule="exact"/>
        </w:trPr>
        <w:tc>
          <w:tcPr>
            <w:tcW w:w="3117" w:type="dxa"/>
          </w:tcPr>
          <w:p>
            <w:pPr/>
          </w:p>
        </w:tc>
        <w:tc>
          <w:tcPr>
            <w:tcW w:w="4838" w:type="dxa"/>
          </w:tcPr>
          <w:p>
            <w:pPr/>
          </w:p>
        </w:tc>
      </w:tr>
    </w:tbl>
    <w:p>
      <w:pPr>
        <w:spacing w:after="0"/>
        <w:sectPr>
          <w:pgSz w:w="12240" w:h="15840"/>
          <w:pgMar w:header="0" w:footer="1031" w:top="1420" w:bottom="1160" w:left="1720" w:right="1600"/>
        </w:sectPr>
      </w:pPr>
    </w:p>
    <w:tbl>
      <w:tblPr>
        <w:tblW w:w="0" w:type="auto"/>
        <w:jc w:val="left"/>
        <w:tblInd w:w="54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117"/>
        <w:gridCol w:w="4838"/>
      </w:tblGrid>
      <w:tr>
        <w:trPr>
          <w:trHeight w:val="2545" w:hRule="exact"/>
        </w:trPr>
        <w:tc>
          <w:tcPr>
            <w:tcW w:w="3117" w:type="dxa"/>
          </w:tcPr>
          <w:p>
            <w:pPr>
              <w:pStyle w:val="TableParagraph"/>
              <w:spacing w:before="8"/>
              <w:rPr>
                <w:sz w:val="26"/>
              </w:rPr>
            </w:pPr>
          </w:p>
          <w:p>
            <w:pPr>
              <w:pStyle w:val="TableParagraph"/>
              <w:spacing w:line="357" w:lineRule="auto"/>
              <w:ind w:left="684" w:right="679" w:hanging="2"/>
              <w:jc w:val="center"/>
              <w:rPr>
                <w:sz w:val="18"/>
              </w:rPr>
            </w:pPr>
            <w:r>
              <w:rPr>
                <w:sz w:val="18"/>
              </w:rPr>
              <w:t>Fabricación: Acabados Hermafrodita dormida Mármol Negro Belga</w:t>
            </w:r>
          </w:p>
        </w:tc>
        <w:tc>
          <w:tcPr>
            <w:tcW w:w="4838" w:type="dxa"/>
          </w:tcPr>
          <w:p>
            <w:pPr>
              <w:pStyle w:val="TableParagraph"/>
              <w:ind w:left="1602"/>
              <w:rPr>
                <w:sz w:val="20"/>
              </w:rPr>
            </w:pPr>
            <w:r>
              <w:rPr>
                <w:sz w:val="20"/>
              </w:rPr>
              <w:drawing>
                <wp:inline distT="0" distB="0" distL="0" distR="0">
                  <wp:extent cx="1012386" cy="1527714"/>
                  <wp:effectExtent l="0" t="0" r="0" b="0"/>
                  <wp:docPr id="137" name="image69.jpeg" descr=""/>
                  <wp:cNvGraphicFramePr>
                    <a:graphicFrameLocks noChangeAspect="1"/>
                  </wp:cNvGraphicFramePr>
                  <a:graphic>
                    <a:graphicData uri="http://schemas.openxmlformats.org/drawingml/2006/picture">
                      <pic:pic>
                        <pic:nvPicPr>
                          <pic:cNvPr id="138" name="image69.jpeg"/>
                          <pic:cNvPicPr/>
                        </pic:nvPicPr>
                        <pic:blipFill>
                          <a:blip r:embed="rId123" cstate="print"/>
                          <a:stretch>
                            <a:fillRect/>
                          </a:stretch>
                        </pic:blipFill>
                        <pic:spPr>
                          <a:xfrm>
                            <a:off x="0" y="0"/>
                            <a:ext cx="1012386" cy="1527714"/>
                          </a:xfrm>
                          <a:prstGeom prst="rect">
                            <a:avLst/>
                          </a:prstGeom>
                        </pic:spPr>
                      </pic:pic>
                    </a:graphicData>
                  </a:graphic>
                </wp:inline>
              </w:drawing>
            </w:r>
            <w:r>
              <w:rPr>
                <w:sz w:val="20"/>
              </w:rPr>
            </w:r>
          </w:p>
        </w:tc>
      </w:tr>
      <w:tr>
        <w:trPr>
          <w:trHeight w:val="3677" w:hRule="exact"/>
        </w:trPr>
        <w:tc>
          <w:tcPr>
            <w:tcW w:w="3117"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7"/>
              <w:rPr>
                <w:sz w:val="26"/>
              </w:rPr>
            </w:pPr>
          </w:p>
          <w:p>
            <w:pPr>
              <w:pStyle w:val="TableParagraph"/>
              <w:ind w:left="244" w:right="198"/>
              <w:rPr>
                <w:sz w:val="18"/>
              </w:rPr>
            </w:pPr>
            <w:r>
              <w:rPr>
                <w:sz w:val="18"/>
              </w:rPr>
              <w:t>Mármol negro belga, fabricación.</w:t>
            </w:r>
          </w:p>
        </w:tc>
        <w:tc>
          <w:tcPr>
            <w:tcW w:w="4838" w:type="dxa"/>
          </w:tcPr>
          <w:p>
            <w:pPr>
              <w:pStyle w:val="TableParagraph"/>
              <w:spacing w:before="10"/>
              <w:rPr>
                <w:sz w:val="26"/>
              </w:rPr>
            </w:pPr>
          </w:p>
          <w:p>
            <w:pPr>
              <w:pStyle w:val="TableParagraph"/>
              <w:ind w:left="1437"/>
              <w:rPr>
                <w:sz w:val="20"/>
              </w:rPr>
            </w:pPr>
            <w:r>
              <w:rPr>
                <w:sz w:val="20"/>
              </w:rPr>
              <w:drawing>
                <wp:inline distT="0" distB="0" distL="0" distR="0">
                  <wp:extent cx="1225602" cy="1843087"/>
                  <wp:effectExtent l="0" t="0" r="0" b="0"/>
                  <wp:docPr id="139" name="image70.jpeg" descr=""/>
                  <wp:cNvGraphicFramePr>
                    <a:graphicFrameLocks noChangeAspect="1"/>
                  </wp:cNvGraphicFramePr>
                  <a:graphic>
                    <a:graphicData uri="http://schemas.openxmlformats.org/drawingml/2006/picture">
                      <pic:pic>
                        <pic:nvPicPr>
                          <pic:cNvPr id="140" name="image70.jpeg"/>
                          <pic:cNvPicPr/>
                        </pic:nvPicPr>
                        <pic:blipFill>
                          <a:blip r:embed="rId124" cstate="print"/>
                          <a:stretch>
                            <a:fillRect/>
                          </a:stretch>
                        </pic:blipFill>
                        <pic:spPr>
                          <a:xfrm>
                            <a:off x="0" y="0"/>
                            <a:ext cx="1225602" cy="1843087"/>
                          </a:xfrm>
                          <a:prstGeom prst="rect">
                            <a:avLst/>
                          </a:prstGeom>
                        </pic:spPr>
                      </pic:pic>
                    </a:graphicData>
                  </a:graphic>
                </wp:inline>
              </w:drawing>
            </w:r>
            <w:r>
              <w:rPr>
                <w:sz w:val="20"/>
              </w:rPr>
            </w:r>
          </w:p>
          <w:p>
            <w:pPr>
              <w:pStyle w:val="TableParagraph"/>
              <w:rPr>
                <w:sz w:val="20"/>
              </w:rPr>
            </w:pPr>
          </w:p>
          <w:p>
            <w:pPr>
              <w:pStyle w:val="TableParagraph"/>
              <w:spacing w:before="8"/>
              <w:rPr>
                <w:sz w:val="19"/>
              </w:rPr>
            </w:pPr>
          </w:p>
        </w:tc>
      </w:tr>
      <w:tr>
        <w:trPr>
          <w:trHeight w:val="2564" w:hRule="exact"/>
        </w:trPr>
        <w:tc>
          <w:tcPr>
            <w:tcW w:w="3117" w:type="dxa"/>
          </w:tcPr>
          <w:p>
            <w:pPr>
              <w:pStyle w:val="TableParagraph"/>
              <w:rPr>
                <w:sz w:val="18"/>
              </w:rPr>
            </w:pPr>
          </w:p>
          <w:p>
            <w:pPr>
              <w:pStyle w:val="TableParagraph"/>
              <w:rPr>
                <w:sz w:val="18"/>
              </w:rPr>
            </w:pPr>
          </w:p>
          <w:p>
            <w:pPr>
              <w:pStyle w:val="TableParagraph"/>
              <w:rPr>
                <w:sz w:val="18"/>
              </w:rPr>
            </w:pPr>
          </w:p>
          <w:p>
            <w:pPr>
              <w:pStyle w:val="TableParagraph"/>
              <w:spacing w:before="3"/>
              <w:rPr>
                <w:sz w:val="26"/>
              </w:rPr>
            </w:pPr>
          </w:p>
          <w:p>
            <w:pPr>
              <w:pStyle w:val="TableParagraph"/>
              <w:spacing w:line="360" w:lineRule="auto"/>
              <w:ind w:left="684" w:right="679" w:hanging="2"/>
              <w:jc w:val="center"/>
              <w:rPr>
                <w:sz w:val="18"/>
              </w:rPr>
            </w:pPr>
            <w:r>
              <w:rPr>
                <w:sz w:val="18"/>
              </w:rPr>
              <w:t>Fabricación: Acabados Hermafrodita dormida Mármol Negro Belga</w:t>
            </w:r>
          </w:p>
        </w:tc>
        <w:tc>
          <w:tcPr>
            <w:tcW w:w="4838" w:type="dxa"/>
          </w:tcPr>
          <w:p>
            <w:pPr>
              <w:pStyle w:val="TableParagraph"/>
              <w:spacing w:before="7" w:after="1"/>
              <w:rPr>
                <w:sz w:val="26"/>
              </w:rPr>
            </w:pPr>
          </w:p>
          <w:p>
            <w:pPr>
              <w:pStyle w:val="TableParagraph"/>
              <w:ind w:left="1190"/>
              <w:rPr>
                <w:sz w:val="20"/>
              </w:rPr>
            </w:pPr>
            <w:r>
              <w:rPr>
                <w:sz w:val="20"/>
              </w:rPr>
              <w:drawing>
                <wp:inline distT="0" distB="0" distL="0" distR="0">
                  <wp:extent cx="1534941" cy="1146810"/>
                  <wp:effectExtent l="0" t="0" r="0" b="0"/>
                  <wp:docPr id="141" name="image71.jpeg" descr=""/>
                  <wp:cNvGraphicFramePr>
                    <a:graphicFrameLocks noChangeAspect="1"/>
                  </wp:cNvGraphicFramePr>
                  <a:graphic>
                    <a:graphicData uri="http://schemas.openxmlformats.org/drawingml/2006/picture">
                      <pic:pic>
                        <pic:nvPicPr>
                          <pic:cNvPr id="142" name="image71.jpeg"/>
                          <pic:cNvPicPr/>
                        </pic:nvPicPr>
                        <pic:blipFill>
                          <a:blip r:embed="rId125" cstate="print"/>
                          <a:stretch>
                            <a:fillRect/>
                          </a:stretch>
                        </pic:blipFill>
                        <pic:spPr>
                          <a:xfrm>
                            <a:off x="0" y="0"/>
                            <a:ext cx="1534941" cy="1146810"/>
                          </a:xfrm>
                          <a:prstGeom prst="rect">
                            <a:avLst/>
                          </a:prstGeom>
                        </pic:spPr>
                      </pic:pic>
                    </a:graphicData>
                  </a:graphic>
                </wp:inline>
              </w:drawing>
            </w:r>
            <w:r>
              <w:rPr>
                <w:sz w:val="20"/>
              </w:rPr>
            </w:r>
          </w:p>
          <w:p>
            <w:pPr>
              <w:pStyle w:val="TableParagraph"/>
              <w:rPr>
                <w:sz w:val="20"/>
              </w:rPr>
            </w:pPr>
          </w:p>
          <w:p>
            <w:pPr>
              <w:pStyle w:val="TableParagraph"/>
              <w:spacing w:before="6"/>
              <w:rPr>
                <w:sz w:val="18"/>
              </w:rPr>
            </w:pPr>
          </w:p>
        </w:tc>
      </w:tr>
      <w:tr>
        <w:trPr>
          <w:trHeight w:val="3133" w:hRule="exact"/>
        </w:trPr>
        <w:tc>
          <w:tcPr>
            <w:tcW w:w="3117" w:type="dxa"/>
          </w:tcPr>
          <w:p>
            <w:pPr>
              <w:pStyle w:val="TableParagraph"/>
              <w:rPr>
                <w:sz w:val="18"/>
              </w:rPr>
            </w:pPr>
          </w:p>
          <w:p>
            <w:pPr>
              <w:pStyle w:val="TableParagraph"/>
              <w:rPr>
                <w:sz w:val="18"/>
              </w:rPr>
            </w:pPr>
          </w:p>
          <w:p>
            <w:pPr>
              <w:pStyle w:val="TableParagraph"/>
              <w:rPr>
                <w:sz w:val="18"/>
              </w:rPr>
            </w:pPr>
          </w:p>
          <w:p>
            <w:pPr>
              <w:pStyle w:val="TableParagraph"/>
              <w:spacing w:before="4"/>
              <w:rPr>
                <w:sz w:val="26"/>
              </w:rPr>
            </w:pPr>
          </w:p>
          <w:p>
            <w:pPr>
              <w:pStyle w:val="TableParagraph"/>
              <w:spacing w:line="362" w:lineRule="auto"/>
              <w:ind w:left="684" w:right="678"/>
              <w:jc w:val="center"/>
              <w:rPr>
                <w:sz w:val="18"/>
              </w:rPr>
            </w:pPr>
            <w:r>
              <w:rPr>
                <w:sz w:val="18"/>
              </w:rPr>
              <w:t>Hermafrodita dormida 2008 - 2010</w:t>
            </w:r>
          </w:p>
          <w:p>
            <w:pPr>
              <w:pStyle w:val="TableParagraph"/>
              <w:spacing w:line="360" w:lineRule="auto" w:before="2"/>
              <w:ind w:left="268" w:right="264" w:firstLine="2"/>
              <w:jc w:val="center"/>
              <w:rPr>
                <w:sz w:val="18"/>
              </w:rPr>
            </w:pPr>
            <w:r>
              <w:rPr>
                <w:sz w:val="18"/>
              </w:rPr>
              <w:t>Escultura: Mármol Belga Negro Base: Mármol de Carrara, acero inoxidable, Delrin</w:t>
            </w:r>
          </w:p>
        </w:tc>
        <w:tc>
          <w:tcPr>
            <w:tcW w:w="4838" w:type="dxa"/>
          </w:tcPr>
          <w:p>
            <w:pPr>
              <w:pStyle w:val="TableParagraph"/>
              <w:spacing w:before="7" w:after="1"/>
              <w:rPr>
                <w:sz w:val="26"/>
              </w:rPr>
            </w:pPr>
          </w:p>
          <w:p>
            <w:pPr>
              <w:pStyle w:val="TableParagraph"/>
              <w:ind w:left="1512"/>
              <w:rPr>
                <w:sz w:val="20"/>
              </w:rPr>
            </w:pPr>
            <w:r>
              <w:rPr>
                <w:sz w:val="20"/>
              </w:rPr>
              <w:drawing>
                <wp:inline distT="0" distB="0" distL="0" distR="0">
                  <wp:extent cx="1127202" cy="1703832"/>
                  <wp:effectExtent l="0" t="0" r="0" b="0"/>
                  <wp:docPr id="143" name="image72.jpeg" descr=""/>
                  <wp:cNvGraphicFramePr>
                    <a:graphicFrameLocks noChangeAspect="1"/>
                  </wp:cNvGraphicFramePr>
                  <a:graphic>
                    <a:graphicData uri="http://schemas.openxmlformats.org/drawingml/2006/picture">
                      <pic:pic>
                        <pic:nvPicPr>
                          <pic:cNvPr id="144" name="image72.jpeg"/>
                          <pic:cNvPicPr/>
                        </pic:nvPicPr>
                        <pic:blipFill>
                          <a:blip r:embed="rId126" cstate="print"/>
                          <a:stretch>
                            <a:fillRect/>
                          </a:stretch>
                        </pic:blipFill>
                        <pic:spPr>
                          <a:xfrm>
                            <a:off x="0" y="0"/>
                            <a:ext cx="1127202" cy="1703832"/>
                          </a:xfrm>
                          <a:prstGeom prst="rect">
                            <a:avLst/>
                          </a:prstGeom>
                        </pic:spPr>
                      </pic:pic>
                    </a:graphicData>
                  </a:graphic>
                </wp:inline>
              </w:drawing>
            </w:r>
            <w:r>
              <w:rPr>
                <w:sz w:val="20"/>
              </w:rPr>
            </w:r>
          </w:p>
        </w:tc>
      </w:tr>
    </w:tbl>
    <w:p>
      <w:pPr>
        <w:spacing w:line="357" w:lineRule="auto" w:before="0"/>
        <w:ind w:left="4137" w:right="104" w:hanging="3926"/>
        <w:jc w:val="left"/>
        <w:rPr>
          <w:sz w:val="18"/>
        </w:rPr>
      </w:pPr>
      <w:r>
        <w:rPr>
          <w:sz w:val="18"/>
        </w:rPr>
        <w:t>(Fuente: </w:t>
      </w:r>
      <w:hyperlink r:id="rId127">
        <w:r>
          <w:rPr>
            <w:sz w:val="18"/>
          </w:rPr>
          <w:t>http://www.barryxball.com/process_cat.php?cat=1&amp;process=31,</w:t>
        </w:r>
      </w:hyperlink>
      <w:r>
        <w:rPr>
          <w:sz w:val="18"/>
        </w:rPr>
        <w:t> consultado el día 22 de noviembre de 2013).</w:t>
      </w:r>
    </w:p>
    <w:p>
      <w:pPr>
        <w:spacing w:after="0" w:line="357" w:lineRule="auto"/>
        <w:jc w:val="left"/>
        <w:rPr>
          <w:sz w:val="18"/>
        </w:rPr>
        <w:sectPr>
          <w:pgSz w:w="12240" w:h="15840"/>
          <w:pgMar w:header="0" w:footer="1031" w:top="1420" w:bottom="1160" w:left="1600" w:right="1700"/>
        </w:sectPr>
      </w:pPr>
    </w:p>
    <w:p>
      <w:pPr>
        <w:pStyle w:val="Heading2"/>
        <w:numPr>
          <w:ilvl w:val="3"/>
          <w:numId w:val="26"/>
        </w:numPr>
        <w:tabs>
          <w:tab w:pos="1593" w:val="left" w:leader="none"/>
        </w:tabs>
        <w:spacing w:line="240" w:lineRule="auto" w:before="49" w:after="0"/>
        <w:ind w:left="1593" w:right="0" w:hanging="1493"/>
        <w:jc w:val="both"/>
      </w:pPr>
      <w:bookmarkStart w:name="2.7.2.6.  Obra intervenida con corte lás" w:id="143"/>
      <w:bookmarkEnd w:id="143"/>
      <w:r>
        <w:rPr/>
      </w:r>
      <w:bookmarkStart w:name="_bookmark95" w:id="144"/>
      <w:bookmarkEnd w:id="144"/>
      <w:r>
        <w:rPr/>
        <w:t>O</w:t>
      </w:r>
      <w:r>
        <w:rPr/>
        <w:t>bra intervenida con corte</w:t>
      </w:r>
      <w:r>
        <w:rPr>
          <w:spacing w:val="-6"/>
        </w:rPr>
        <w:t> </w:t>
      </w:r>
      <w:r>
        <w:rPr/>
        <w:t>láser</w:t>
      </w:r>
    </w:p>
    <w:p>
      <w:pPr>
        <w:pStyle w:val="BodyText"/>
        <w:rPr>
          <w:sz w:val="28"/>
        </w:rPr>
      </w:pPr>
    </w:p>
    <w:p>
      <w:pPr>
        <w:pStyle w:val="BodyText"/>
        <w:spacing w:before="8"/>
        <w:rPr>
          <w:sz w:val="22"/>
        </w:rPr>
      </w:pPr>
    </w:p>
    <w:p>
      <w:pPr>
        <w:pStyle w:val="BodyText"/>
        <w:spacing w:line="360" w:lineRule="auto"/>
        <w:ind w:left="100" w:right="114"/>
        <w:jc w:val="both"/>
      </w:pPr>
      <w:r>
        <w:rPr/>
        <w:t>Matus (2013) menciona que cada pieza es cortada por un láser, asegurándose de que los elementos son tan precisos que hay tijeras, pegamento o cinta son necesarios para que encajen. El autor comenta que la compañía comenzó con la creación de pequeños animales y formas humanas, diseñados por Yuki Matsuoka y su equipo, y que ese año en la </w:t>
      </w:r>
      <w:r>
        <w:rPr>
          <w:i/>
        </w:rPr>
        <w:t>International Contemporary Furniture Fair</w:t>
      </w:r>
      <w:r>
        <w:rPr/>
        <w:t>, D- torso® desveló un Velociraptor gigante 3D hecho completamente de cartón, que estaba de pie un poco más alto que un humano promedio, y que la escultura dominaba la exposición. El autor agrega que D-torso® utiliza la tecnología de corte por láser para llevar el dino a la vida, y la escultura terminada mallas de lo moderno y lo prehistórico. A este método se le llama estereotomía, ver </w:t>
      </w:r>
      <w:hyperlink w:history="true" w:anchor="_bookmark96">
        <w:r>
          <w:rPr/>
          <w:t>Figura</w:t>
        </w:r>
      </w:hyperlink>
      <w:r>
        <w:rPr/>
        <w:t>  </w:t>
      </w:r>
      <w:hyperlink w:history="true" w:anchor="_bookmark96">
        <w:r>
          <w:rPr/>
          <w:t>2.45</w:t>
        </w:r>
      </w:hyperlink>
      <w:r>
        <w:rPr/>
        <w:t>.</w:t>
      </w:r>
    </w:p>
    <w:p>
      <w:pPr>
        <w:pStyle w:val="BodyText"/>
        <w:rPr>
          <w:sz w:val="20"/>
        </w:rPr>
      </w:pPr>
    </w:p>
    <w:p>
      <w:pPr>
        <w:pStyle w:val="BodyText"/>
        <w:spacing w:before="10"/>
        <w:rPr>
          <w:sz w:val="12"/>
        </w:rPr>
      </w:pPr>
      <w:r>
        <w:rPr/>
        <w:drawing>
          <wp:anchor distT="0" distB="0" distL="0" distR="0" allowOverlap="1" layoutInCell="1" locked="0" behindDoc="0" simplePos="0" relativeHeight="1744">
            <wp:simplePos x="0" y="0"/>
            <wp:positionH relativeFrom="page">
              <wp:posOffset>2637535</wp:posOffset>
            </wp:positionH>
            <wp:positionV relativeFrom="paragraph">
              <wp:posOffset>119061</wp:posOffset>
            </wp:positionV>
            <wp:extent cx="2507694" cy="1866900"/>
            <wp:effectExtent l="0" t="0" r="0" b="0"/>
            <wp:wrapTopAndBottom/>
            <wp:docPr id="145" name="image73.jpeg" descr=""/>
            <wp:cNvGraphicFramePr>
              <a:graphicFrameLocks noChangeAspect="1"/>
            </wp:cNvGraphicFramePr>
            <a:graphic>
              <a:graphicData uri="http://schemas.openxmlformats.org/drawingml/2006/picture">
                <pic:pic>
                  <pic:nvPicPr>
                    <pic:cNvPr id="146" name="image73.jpeg"/>
                    <pic:cNvPicPr/>
                  </pic:nvPicPr>
                  <pic:blipFill>
                    <a:blip r:embed="rId128" cstate="print"/>
                    <a:stretch>
                      <a:fillRect/>
                    </a:stretch>
                  </pic:blipFill>
                  <pic:spPr>
                    <a:xfrm>
                      <a:off x="0" y="0"/>
                      <a:ext cx="2507694" cy="1866900"/>
                    </a:xfrm>
                    <a:prstGeom prst="rect">
                      <a:avLst/>
                    </a:prstGeom>
                  </pic:spPr>
                </pic:pic>
              </a:graphicData>
            </a:graphic>
          </wp:anchor>
        </w:drawing>
      </w:r>
    </w:p>
    <w:p>
      <w:pPr>
        <w:spacing w:before="68"/>
        <w:ind w:left="1525" w:right="1316" w:hanging="1"/>
        <w:jc w:val="center"/>
        <w:rPr>
          <w:sz w:val="18"/>
        </w:rPr>
      </w:pPr>
      <w:bookmarkStart w:name="_bookmark96" w:id="145"/>
      <w:bookmarkEnd w:id="145"/>
      <w:r>
        <w:rPr/>
      </w:r>
      <w:r>
        <w:rPr>
          <w:sz w:val="18"/>
        </w:rPr>
        <w:t>Figura 2.45. Creado por Aki, Co. Cada pieza cortada en láser. (Fuente: </w:t>
      </w:r>
      <w:hyperlink r:id="rId129">
        <w:r>
          <w:rPr>
            <w:sz w:val="18"/>
          </w:rPr>
          <w:t>http://inhabitat.com/d-torso-creates-a-giant-3d-t-rex-from-laser-cut-cardboard/,</w:t>
        </w:r>
      </w:hyperlink>
      <w:r>
        <w:rPr>
          <w:sz w:val="18"/>
        </w:rPr>
        <w:t> consultado el 16 de marzo de 2014).</w:t>
      </w:r>
    </w:p>
    <w:p>
      <w:pPr>
        <w:pStyle w:val="BodyText"/>
        <w:rPr>
          <w:sz w:val="18"/>
        </w:rPr>
      </w:pPr>
    </w:p>
    <w:p>
      <w:pPr>
        <w:pStyle w:val="BodyText"/>
        <w:rPr>
          <w:sz w:val="18"/>
        </w:rPr>
      </w:pPr>
    </w:p>
    <w:p>
      <w:pPr>
        <w:pStyle w:val="BodyText"/>
        <w:spacing w:before="2"/>
        <w:rPr>
          <w:sz w:val="17"/>
        </w:rPr>
      </w:pPr>
    </w:p>
    <w:p>
      <w:pPr>
        <w:pStyle w:val="Heading2"/>
        <w:numPr>
          <w:ilvl w:val="3"/>
          <w:numId w:val="26"/>
        </w:numPr>
        <w:tabs>
          <w:tab w:pos="1517" w:val="left" w:leader="none"/>
        </w:tabs>
        <w:spacing w:line="240" w:lineRule="auto" w:before="0" w:after="0"/>
        <w:ind w:left="1517" w:right="0" w:hanging="1417"/>
        <w:jc w:val="both"/>
      </w:pPr>
      <w:bookmarkStart w:name="2.7.2.7. Obra intervenida con corte de p" w:id="146"/>
      <w:bookmarkEnd w:id="146"/>
      <w:r>
        <w:rPr/>
      </w:r>
      <w:bookmarkStart w:name="_bookmark97" w:id="147"/>
      <w:bookmarkEnd w:id="147"/>
      <w:r>
        <w:rPr/>
      </w:r>
      <w:bookmarkStart w:name="_bookmark97" w:id="148"/>
      <w:bookmarkEnd w:id="148"/>
      <w:r>
        <w:rPr/>
        <w:t>O</w:t>
      </w:r>
      <w:r>
        <w:rPr/>
        <w:t>bra intervenida con corte de</w:t>
      </w:r>
      <w:r>
        <w:rPr>
          <w:spacing w:val="-8"/>
        </w:rPr>
        <w:t> </w:t>
      </w:r>
      <w:r>
        <w:rPr/>
        <w:t>plasma</w:t>
      </w:r>
    </w:p>
    <w:p>
      <w:pPr>
        <w:pStyle w:val="BodyText"/>
        <w:rPr>
          <w:sz w:val="28"/>
        </w:rPr>
      </w:pPr>
    </w:p>
    <w:p>
      <w:pPr>
        <w:pStyle w:val="BodyText"/>
        <w:spacing w:before="4"/>
        <w:rPr>
          <w:sz w:val="22"/>
        </w:rPr>
      </w:pPr>
    </w:p>
    <w:p>
      <w:pPr>
        <w:pStyle w:val="BodyText"/>
        <w:spacing w:line="360" w:lineRule="auto"/>
        <w:ind w:left="100" w:right="113"/>
        <w:jc w:val="both"/>
      </w:pPr>
      <w:r>
        <w:rPr/>
        <w:t>La obra de Ares, escultor catalán, es intervenida con corte de plasma, en una  CNC Marca SteelTaylor© con software USA pero tecnología china; puede cortar todos los metales que conduzcan la corriente indicada por el fabricante. Esta escultura fue realizada dentro de las instalaciones de la Universidad de Barcelona en el año 2014. Ver </w:t>
      </w:r>
      <w:hyperlink w:history="true" w:anchor="_bookmark98">
        <w:r>
          <w:rPr/>
          <w:t>Tabla</w:t>
        </w:r>
        <w:r>
          <w:rPr>
            <w:spacing w:val="-15"/>
          </w:rPr>
          <w:t> </w:t>
        </w:r>
        <w:r>
          <w:rPr/>
          <w:t>2.11</w:t>
        </w:r>
      </w:hyperlink>
      <w:r>
        <w:rPr/>
        <w:t>.</w:t>
      </w:r>
    </w:p>
    <w:p>
      <w:pPr>
        <w:spacing w:after="0" w:line="360" w:lineRule="auto"/>
        <w:jc w:val="both"/>
        <w:sectPr>
          <w:pgSz w:w="12240" w:h="15840"/>
          <w:pgMar w:header="0" w:footer="1031" w:top="1360" w:bottom="1160" w:left="1600" w:right="1580"/>
        </w:sectPr>
      </w:pPr>
    </w:p>
    <w:p>
      <w:pPr>
        <w:spacing w:before="51" w:after="6"/>
        <w:ind w:left="2889" w:right="930" w:hanging="1593"/>
        <w:jc w:val="left"/>
        <w:rPr>
          <w:sz w:val="18"/>
        </w:rPr>
      </w:pPr>
      <w:bookmarkStart w:name="_bookmark98" w:id="149"/>
      <w:bookmarkEnd w:id="149"/>
      <w:r>
        <w:rPr/>
      </w:r>
      <w:r>
        <w:rPr>
          <w:sz w:val="18"/>
        </w:rPr>
        <w:t>Tabla 2.11. Se muestra el proceso de trabajo del escultor Ares. 2014, Soy el viento, Chapa de hierro oxicorte, 90 x 30 x 100 cm.</w:t>
      </w:r>
    </w:p>
    <w:tbl>
      <w:tblPr>
        <w:tblW w:w="0" w:type="auto"/>
        <w:jc w:val="left"/>
        <w:tblInd w:w="72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105"/>
        <w:gridCol w:w="4489"/>
      </w:tblGrid>
      <w:tr>
        <w:trPr>
          <w:trHeight w:val="320" w:hRule="exact"/>
        </w:trPr>
        <w:tc>
          <w:tcPr>
            <w:tcW w:w="3105" w:type="dxa"/>
          </w:tcPr>
          <w:p>
            <w:pPr>
              <w:pStyle w:val="TableParagraph"/>
              <w:spacing w:line="202" w:lineRule="exact"/>
              <w:ind w:left="441" w:right="442"/>
              <w:jc w:val="center"/>
              <w:rPr>
                <w:sz w:val="18"/>
              </w:rPr>
            </w:pPr>
            <w:r>
              <w:rPr>
                <w:sz w:val="18"/>
              </w:rPr>
              <w:t>Proceso</w:t>
            </w:r>
          </w:p>
        </w:tc>
        <w:tc>
          <w:tcPr>
            <w:tcW w:w="4489" w:type="dxa"/>
          </w:tcPr>
          <w:p>
            <w:pPr>
              <w:pStyle w:val="TableParagraph"/>
              <w:spacing w:line="202" w:lineRule="exact"/>
              <w:ind w:left="1920" w:right="1920"/>
              <w:jc w:val="center"/>
              <w:rPr>
                <w:sz w:val="18"/>
              </w:rPr>
            </w:pPr>
            <w:r>
              <w:rPr>
                <w:sz w:val="18"/>
              </w:rPr>
              <w:t>Imagen</w:t>
            </w:r>
          </w:p>
        </w:tc>
      </w:tr>
      <w:tr>
        <w:trPr>
          <w:trHeight w:val="3017" w:hRule="exact"/>
        </w:trPr>
        <w:tc>
          <w:tcPr>
            <w:tcW w:w="3105"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9"/>
              <w:rPr>
                <w:sz w:val="17"/>
              </w:rPr>
            </w:pPr>
          </w:p>
          <w:p>
            <w:pPr>
              <w:pStyle w:val="TableParagraph"/>
              <w:spacing w:line="362" w:lineRule="auto"/>
              <w:ind w:left="1256" w:right="111" w:hanging="1132"/>
              <w:rPr>
                <w:sz w:val="18"/>
              </w:rPr>
            </w:pPr>
            <w:r>
              <w:rPr>
                <w:sz w:val="18"/>
              </w:rPr>
              <w:t>Pantalla de la máquina de corte por plasma</w:t>
            </w:r>
          </w:p>
        </w:tc>
        <w:tc>
          <w:tcPr>
            <w:tcW w:w="4489" w:type="dxa"/>
          </w:tcPr>
          <w:p>
            <w:pPr>
              <w:pStyle w:val="TableParagraph"/>
              <w:spacing w:before="1" w:after="1"/>
              <w:rPr>
                <w:sz w:val="27"/>
              </w:rPr>
            </w:pPr>
          </w:p>
          <w:p>
            <w:pPr>
              <w:pStyle w:val="TableParagraph"/>
              <w:ind w:left="720"/>
              <w:rPr>
                <w:sz w:val="20"/>
              </w:rPr>
            </w:pPr>
            <w:r>
              <w:rPr>
                <w:sz w:val="20"/>
              </w:rPr>
              <w:drawing>
                <wp:inline distT="0" distB="0" distL="0" distR="0">
                  <wp:extent cx="1941448" cy="1456181"/>
                  <wp:effectExtent l="0" t="0" r="0" b="0"/>
                  <wp:docPr id="147" name="image74.jpeg" descr=""/>
                  <wp:cNvGraphicFramePr>
                    <a:graphicFrameLocks noChangeAspect="1"/>
                  </wp:cNvGraphicFramePr>
                  <a:graphic>
                    <a:graphicData uri="http://schemas.openxmlformats.org/drawingml/2006/picture">
                      <pic:pic>
                        <pic:nvPicPr>
                          <pic:cNvPr id="148" name="image74.jpeg"/>
                          <pic:cNvPicPr/>
                        </pic:nvPicPr>
                        <pic:blipFill>
                          <a:blip r:embed="rId130" cstate="print"/>
                          <a:stretch>
                            <a:fillRect/>
                          </a:stretch>
                        </pic:blipFill>
                        <pic:spPr>
                          <a:xfrm>
                            <a:off x="0" y="0"/>
                            <a:ext cx="1941448" cy="1456181"/>
                          </a:xfrm>
                          <a:prstGeom prst="rect">
                            <a:avLst/>
                          </a:prstGeom>
                        </pic:spPr>
                      </pic:pic>
                    </a:graphicData>
                  </a:graphic>
                </wp:inline>
              </w:drawing>
            </w:r>
            <w:r>
              <w:rPr>
                <w:sz w:val="20"/>
              </w:rPr>
            </w:r>
          </w:p>
          <w:p>
            <w:pPr>
              <w:pStyle w:val="TableParagraph"/>
              <w:rPr>
                <w:sz w:val="20"/>
              </w:rPr>
            </w:pPr>
          </w:p>
        </w:tc>
      </w:tr>
      <w:tr>
        <w:trPr>
          <w:trHeight w:val="3101" w:hRule="exact"/>
        </w:trPr>
        <w:tc>
          <w:tcPr>
            <w:tcW w:w="3105"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8"/>
              <w:rPr>
                <w:sz w:val="17"/>
              </w:rPr>
            </w:pPr>
          </w:p>
          <w:p>
            <w:pPr>
              <w:pStyle w:val="TableParagraph"/>
              <w:ind w:left="441" w:right="442"/>
              <w:jc w:val="center"/>
              <w:rPr>
                <w:sz w:val="18"/>
              </w:rPr>
            </w:pPr>
            <w:r>
              <w:rPr>
                <w:sz w:val="18"/>
              </w:rPr>
              <w:t>Corte</w:t>
            </w:r>
          </w:p>
        </w:tc>
        <w:tc>
          <w:tcPr>
            <w:tcW w:w="4489" w:type="dxa"/>
          </w:tcPr>
          <w:p>
            <w:pPr>
              <w:pStyle w:val="TableParagraph"/>
              <w:spacing w:before="11"/>
              <w:rPr>
                <w:sz w:val="26"/>
              </w:rPr>
            </w:pPr>
          </w:p>
          <w:p>
            <w:pPr>
              <w:pStyle w:val="TableParagraph"/>
              <w:ind w:left="453"/>
              <w:rPr>
                <w:sz w:val="20"/>
              </w:rPr>
            </w:pPr>
            <w:r>
              <w:rPr>
                <w:sz w:val="20"/>
              </w:rPr>
              <w:drawing>
                <wp:inline distT="0" distB="0" distL="0" distR="0">
                  <wp:extent cx="2244218" cy="1683257"/>
                  <wp:effectExtent l="0" t="0" r="0" b="0"/>
                  <wp:docPr id="149" name="image75.jpeg" descr=""/>
                  <wp:cNvGraphicFramePr>
                    <a:graphicFrameLocks noChangeAspect="1"/>
                  </wp:cNvGraphicFramePr>
                  <a:graphic>
                    <a:graphicData uri="http://schemas.openxmlformats.org/drawingml/2006/picture">
                      <pic:pic>
                        <pic:nvPicPr>
                          <pic:cNvPr id="150" name="image75.jpeg"/>
                          <pic:cNvPicPr/>
                        </pic:nvPicPr>
                        <pic:blipFill>
                          <a:blip r:embed="rId131" cstate="print"/>
                          <a:stretch>
                            <a:fillRect/>
                          </a:stretch>
                        </pic:blipFill>
                        <pic:spPr>
                          <a:xfrm>
                            <a:off x="0" y="0"/>
                            <a:ext cx="2244218" cy="1683257"/>
                          </a:xfrm>
                          <a:prstGeom prst="rect">
                            <a:avLst/>
                          </a:prstGeom>
                        </pic:spPr>
                      </pic:pic>
                    </a:graphicData>
                  </a:graphic>
                </wp:inline>
              </w:drawing>
            </w:r>
            <w:r>
              <w:rPr>
                <w:sz w:val="20"/>
              </w:rPr>
            </w:r>
          </w:p>
        </w:tc>
      </w:tr>
      <w:tr>
        <w:trPr>
          <w:trHeight w:val="2989" w:hRule="exact"/>
        </w:trPr>
        <w:tc>
          <w:tcPr>
            <w:tcW w:w="3105"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103"/>
              <w:ind w:left="442" w:right="442"/>
              <w:jc w:val="center"/>
              <w:rPr>
                <w:sz w:val="18"/>
              </w:rPr>
            </w:pPr>
            <w:r>
              <w:rPr>
                <w:sz w:val="18"/>
              </w:rPr>
              <w:t>Muestra de recortes</w:t>
            </w:r>
          </w:p>
        </w:tc>
        <w:tc>
          <w:tcPr>
            <w:tcW w:w="4489" w:type="dxa"/>
          </w:tcPr>
          <w:p>
            <w:pPr>
              <w:pStyle w:val="TableParagraph"/>
              <w:spacing w:before="1" w:after="1"/>
              <w:rPr>
                <w:sz w:val="27"/>
              </w:rPr>
            </w:pPr>
          </w:p>
          <w:p>
            <w:pPr>
              <w:pStyle w:val="TableParagraph"/>
              <w:ind w:left="528"/>
              <w:rPr>
                <w:sz w:val="20"/>
              </w:rPr>
            </w:pPr>
            <w:r>
              <w:rPr>
                <w:sz w:val="20"/>
              </w:rPr>
              <w:drawing>
                <wp:inline distT="0" distB="0" distL="0" distR="0">
                  <wp:extent cx="2178514" cy="1634013"/>
                  <wp:effectExtent l="0" t="0" r="0" b="0"/>
                  <wp:docPr id="151" name="image76.jpeg" descr=""/>
                  <wp:cNvGraphicFramePr>
                    <a:graphicFrameLocks noChangeAspect="1"/>
                  </wp:cNvGraphicFramePr>
                  <a:graphic>
                    <a:graphicData uri="http://schemas.openxmlformats.org/drawingml/2006/picture">
                      <pic:pic>
                        <pic:nvPicPr>
                          <pic:cNvPr id="152" name="image76.jpeg"/>
                          <pic:cNvPicPr/>
                        </pic:nvPicPr>
                        <pic:blipFill>
                          <a:blip r:embed="rId132" cstate="print"/>
                          <a:stretch>
                            <a:fillRect/>
                          </a:stretch>
                        </pic:blipFill>
                        <pic:spPr>
                          <a:xfrm>
                            <a:off x="0" y="0"/>
                            <a:ext cx="2178514" cy="1634013"/>
                          </a:xfrm>
                          <a:prstGeom prst="rect">
                            <a:avLst/>
                          </a:prstGeom>
                        </pic:spPr>
                      </pic:pic>
                    </a:graphicData>
                  </a:graphic>
                </wp:inline>
              </w:drawing>
            </w:r>
            <w:r>
              <w:rPr>
                <w:sz w:val="20"/>
              </w:rPr>
            </w:r>
          </w:p>
        </w:tc>
      </w:tr>
      <w:tr>
        <w:trPr>
          <w:trHeight w:val="2973" w:hRule="exact"/>
        </w:trPr>
        <w:tc>
          <w:tcPr>
            <w:tcW w:w="3105"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8"/>
              <w:rPr>
                <w:sz w:val="17"/>
              </w:rPr>
            </w:pPr>
          </w:p>
          <w:p>
            <w:pPr>
              <w:pStyle w:val="TableParagraph"/>
              <w:ind w:left="442" w:right="442"/>
              <w:jc w:val="center"/>
              <w:rPr>
                <w:sz w:val="18"/>
              </w:rPr>
            </w:pPr>
            <w:r>
              <w:rPr>
                <w:sz w:val="18"/>
              </w:rPr>
              <w:t>Doblez manual de  la placa</w:t>
            </w:r>
          </w:p>
        </w:tc>
        <w:tc>
          <w:tcPr>
            <w:tcW w:w="4489" w:type="dxa"/>
          </w:tcPr>
          <w:p>
            <w:pPr>
              <w:pStyle w:val="TableParagraph"/>
              <w:spacing w:before="9"/>
              <w:rPr>
                <w:sz w:val="26"/>
              </w:rPr>
            </w:pPr>
          </w:p>
          <w:p>
            <w:pPr>
              <w:pStyle w:val="TableParagraph"/>
              <w:ind w:left="542"/>
              <w:rPr>
                <w:sz w:val="20"/>
              </w:rPr>
            </w:pPr>
            <w:r>
              <w:rPr>
                <w:sz w:val="20"/>
              </w:rPr>
              <w:drawing>
                <wp:inline distT="0" distB="0" distL="0" distR="0">
                  <wp:extent cx="2143803" cy="1608010"/>
                  <wp:effectExtent l="0" t="0" r="0" b="0"/>
                  <wp:docPr id="153" name="image77.jpeg" descr=""/>
                  <wp:cNvGraphicFramePr>
                    <a:graphicFrameLocks noChangeAspect="1"/>
                  </wp:cNvGraphicFramePr>
                  <a:graphic>
                    <a:graphicData uri="http://schemas.openxmlformats.org/drawingml/2006/picture">
                      <pic:pic>
                        <pic:nvPicPr>
                          <pic:cNvPr id="154" name="image77.jpeg"/>
                          <pic:cNvPicPr/>
                        </pic:nvPicPr>
                        <pic:blipFill>
                          <a:blip r:embed="rId133" cstate="print"/>
                          <a:stretch>
                            <a:fillRect/>
                          </a:stretch>
                        </pic:blipFill>
                        <pic:spPr>
                          <a:xfrm>
                            <a:off x="0" y="0"/>
                            <a:ext cx="2143803" cy="1608010"/>
                          </a:xfrm>
                          <a:prstGeom prst="rect">
                            <a:avLst/>
                          </a:prstGeom>
                        </pic:spPr>
                      </pic:pic>
                    </a:graphicData>
                  </a:graphic>
                </wp:inline>
              </w:drawing>
            </w:r>
            <w:r>
              <w:rPr>
                <w:sz w:val="20"/>
              </w:rPr>
            </w:r>
          </w:p>
        </w:tc>
      </w:tr>
    </w:tbl>
    <w:p>
      <w:pPr>
        <w:spacing w:after="0"/>
        <w:rPr>
          <w:sz w:val="20"/>
        </w:rPr>
        <w:sectPr>
          <w:pgSz w:w="12240" w:h="15840"/>
          <w:pgMar w:header="0" w:footer="1031" w:top="1360" w:bottom="1220" w:left="1600" w:right="1720"/>
        </w:sectPr>
      </w:pPr>
    </w:p>
    <w:tbl>
      <w:tblPr>
        <w:tblW w:w="0" w:type="auto"/>
        <w:jc w:val="left"/>
        <w:tblInd w:w="72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105"/>
        <w:gridCol w:w="4489"/>
      </w:tblGrid>
      <w:tr>
        <w:trPr>
          <w:trHeight w:val="3289" w:hRule="exact"/>
        </w:trPr>
        <w:tc>
          <w:tcPr>
            <w:tcW w:w="3105"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7"/>
              <w:rPr>
                <w:sz w:val="26"/>
              </w:rPr>
            </w:pPr>
          </w:p>
          <w:p>
            <w:pPr>
              <w:pStyle w:val="TableParagraph"/>
              <w:ind w:left="441" w:right="442"/>
              <w:jc w:val="center"/>
              <w:rPr>
                <w:sz w:val="18"/>
              </w:rPr>
            </w:pPr>
            <w:r>
              <w:rPr>
                <w:sz w:val="18"/>
              </w:rPr>
              <w:t>Modelado de pieza</w:t>
            </w:r>
          </w:p>
        </w:tc>
        <w:tc>
          <w:tcPr>
            <w:tcW w:w="4489" w:type="dxa"/>
          </w:tcPr>
          <w:p>
            <w:pPr>
              <w:pStyle w:val="TableParagraph"/>
              <w:rPr>
                <w:sz w:val="27"/>
              </w:rPr>
            </w:pPr>
          </w:p>
          <w:p>
            <w:pPr>
              <w:pStyle w:val="TableParagraph"/>
              <w:ind w:left="543"/>
              <w:rPr>
                <w:sz w:val="20"/>
              </w:rPr>
            </w:pPr>
            <w:r>
              <w:rPr>
                <w:sz w:val="20"/>
              </w:rPr>
              <w:drawing>
                <wp:inline distT="0" distB="0" distL="0" distR="0">
                  <wp:extent cx="2129706" cy="1597342"/>
                  <wp:effectExtent l="0" t="0" r="0" b="0"/>
                  <wp:docPr id="155" name="image78.jpeg" descr=""/>
                  <wp:cNvGraphicFramePr>
                    <a:graphicFrameLocks noChangeAspect="1"/>
                  </wp:cNvGraphicFramePr>
                  <a:graphic>
                    <a:graphicData uri="http://schemas.openxmlformats.org/drawingml/2006/picture">
                      <pic:pic>
                        <pic:nvPicPr>
                          <pic:cNvPr id="156" name="image78.jpeg"/>
                          <pic:cNvPicPr/>
                        </pic:nvPicPr>
                        <pic:blipFill>
                          <a:blip r:embed="rId134" cstate="print"/>
                          <a:stretch>
                            <a:fillRect/>
                          </a:stretch>
                        </pic:blipFill>
                        <pic:spPr>
                          <a:xfrm>
                            <a:off x="0" y="0"/>
                            <a:ext cx="2129706" cy="1597342"/>
                          </a:xfrm>
                          <a:prstGeom prst="rect">
                            <a:avLst/>
                          </a:prstGeom>
                        </pic:spPr>
                      </pic:pic>
                    </a:graphicData>
                  </a:graphic>
                </wp:inline>
              </w:drawing>
            </w:r>
            <w:r>
              <w:rPr>
                <w:sz w:val="20"/>
              </w:rPr>
            </w:r>
          </w:p>
          <w:p>
            <w:pPr>
              <w:pStyle w:val="TableParagraph"/>
              <w:rPr>
                <w:sz w:val="20"/>
              </w:rPr>
            </w:pPr>
          </w:p>
          <w:p>
            <w:pPr>
              <w:pStyle w:val="TableParagraph"/>
              <w:spacing w:before="5"/>
              <w:rPr>
                <w:sz w:val="19"/>
              </w:rPr>
            </w:pPr>
          </w:p>
        </w:tc>
      </w:tr>
      <w:tr>
        <w:trPr>
          <w:trHeight w:val="3065" w:hRule="exact"/>
        </w:trPr>
        <w:tc>
          <w:tcPr>
            <w:tcW w:w="3105"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5"/>
              <w:rPr>
                <w:sz w:val="17"/>
              </w:rPr>
            </w:pPr>
          </w:p>
          <w:p>
            <w:pPr>
              <w:pStyle w:val="TableParagraph"/>
              <w:ind w:left="442" w:right="440"/>
              <w:jc w:val="center"/>
              <w:rPr>
                <w:sz w:val="18"/>
              </w:rPr>
            </w:pPr>
            <w:r>
              <w:rPr>
                <w:sz w:val="18"/>
              </w:rPr>
              <w:t>Fijar forma con soldadura</w:t>
            </w:r>
          </w:p>
        </w:tc>
        <w:tc>
          <w:tcPr>
            <w:tcW w:w="4489" w:type="dxa"/>
          </w:tcPr>
          <w:p>
            <w:pPr>
              <w:pStyle w:val="TableParagraph"/>
              <w:spacing w:before="7"/>
              <w:rPr>
                <w:sz w:val="26"/>
              </w:rPr>
            </w:pPr>
          </w:p>
          <w:p>
            <w:pPr>
              <w:pStyle w:val="TableParagraph"/>
              <w:ind w:left="483"/>
              <w:rPr>
                <w:sz w:val="20"/>
              </w:rPr>
            </w:pPr>
            <w:r>
              <w:rPr>
                <w:sz w:val="20"/>
              </w:rPr>
              <w:drawing>
                <wp:inline distT="0" distB="0" distL="0" distR="0">
                  <wp:extent cx="2218732" cy="1664207"/>
                  <wp:effectExtent l="0" t="0" r="0" b="0"/>
                  <wp:docPr id="157" name="image79.jpeg" descr=""/>
                  <wp:cNvGraphicFramePr>
                    <a:graphicFrameLocks noChangeAspect="1"/>
                  </wp:cNvGraphicFramePr>
                  <a:graphic>
                    <a:graphicData uri="http://schemas.openxmlformats.org/drawingml/2006/picture">
                      <pic:pic>
                        <pic:nvPicPr>
                          <pic:cNvPr id="158" name="image79.jpeg"/>
                          <pic:cNvPicPr/>
                        </pic:nvPicPr>
                        <pic:blipFill>
                          <a:blip r:embed="rId135" cstate="print"/>
                          <a:stretch>
                            <a:fillRect/>
                          </a:stretch>
                        </pic:blipFill>
                        <pic:spPr>
                          <a:xfrm>
                            <a:off x="0" y="0"/>
                            <a:ext cx="2218732" cy="1664207"/>
                          </a:xfrm>
                          <a:prstGeom prst="rect">
                            <a:avLst/>
                          </a:prstGeom>
                        </pic:spPr>
                      </pic:pic>
                    </a:graphicData>
                  </a:graphic>
                </wp:inline>
              </w:drawing>
            </w:r>
            <w:r>
              <w:rPr>
                <w:sz w:val="20"/>
              </w:rPr>
            </w:r>
          </w:p>
        </w:tc>
      </w:tr>
      <w:tr>
        <w:trPr>
          <w:trHeight w:val="3229" w:hRule="exact"/>
        </w:trPr>
        <w:tc>
          <w:tcPr>
            <w:tcW w:w="3105"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5"/>
              <w:rPr>
                <w:sz w:val="17"/>
              </w:rPr>
            </w:pPr>
          </w:p>
          <w:p>
            <w:pPr>
              <w:pStyle w:val="TableParagraph"/>
              <w:ind w:left="441" w:right="442"/>
              <w:jc w:val="center"/>
              <w:rPr>
                <w:sz w:val="18"/>
              </w:rPr>
            </w:pPr>
            <w:r>
              <w:rPr>
                <w:sz w:val="18"/>
              </w:rPr>
              <w:t>Pieza final</w:t>
            </w:r>
          </w:p>
        </w:tc>
        <w:tc>
          <w:tcPr>
            <w:tcW w:w="4489" w:type="dxa"/>
          </w:tcPr>
          <w:p>
            <w:pPr>
              <w:pStyle w:val="TableParagraph"/>
              <w:spacing w:before="6"/>
              <w:rPr>
                <w:sz w:val="26"/>
              </w:rPr>
            </w:pPr>
          </w:p>
          <w:p>
            <w:pPr>
              <w:pStyle w:val="TableParagraph"/>
              <w:ind w:left="573"/>
              <w:rPr>
                <w:sz w:val="20"/>
              </w:rPr>
            </w:pPr>
            <w:r>
              <w:rPr>
                <w:sz w:val="20"/>
              </w:rPr>
              <w:drawing>
                <wp:inline distT="0" distB="0" distL="0" distR="0">
                  <wp:extent cx="2091353" cy="1568672"/>
                  <wp:effectExtent l="0" t="0" r="0" b="0"/>
                  <wp:docPr id="159" name="image80.jpeg" descr=""/>
                  <wp:cNvGraphicFramePr>
                    <a:graphicFrameLocks noChangeAspect="1"/>
                  </wp:cNvGraphicFramePr>
                  <a:graphic>
                    <a:graphicData uri="http://schemas.openxmlformats.org/drawingml/2006/picture">
                      <pic:pic>
                        <pic:nvPicPr>
                          <pic:cNvPr id="160" name="image80.jpeg"/>
                          <pic:cNvPicPr/>
                        </pic:nvPicPr>
                        <pic:blipFill>
                          <a:blip r:embed="rId136" cstate="print"/>
                          <a:stretch>
                            <a:fillRect/>
                          </a:stretch>
                        </pic:blipFill>
                        <pic:spPr>
                          <a:xfrm>
                            <a:off x="0" y="0"/>
                            <a:ext cx="2091353" cy="1568672"/>
                          </a:xfrm>
                          <a:prstGeom prst="rect">
                            <a:avLst/>
                          </a:prstGeom>
                        </pic:spPr>
                      </pic:pic>
                    </a:graphicData>
                  </a:graphic>
                </wp:inline>
              </w:drawing>
            </w:r>
            <w:r>
              <w:rPr>
                <w:sz w:val="20"/>
              </w:rPr>
            </w:r>
          </w:p>
          <w:p>
            <w:pPr>
              <w:pStyle w:val="TableParagraph"/>
              <w:rPr>
                <w:sz w:val="20"/>
              </w:rPr>
            </w:pPr>
          </w:p>
          <w:p>
            <w:pPr>
              <w:pStyle w:val="TableParagraph"/>
              <w:spacing w:before="7"/>
              <w:rPr>
                <w:sz w:val="18"/>
              </w:rPr>
            </w:pPr>
          </w:p>
        </w:tc>
      </w:tr>
    </w:tbl>
    <w:p>
      <w:pPr>
        <w:spacing w:line="203" w:lineRule="exact" w:before="0"/>
        <w:ind w:left="1213" w:right="0" w:firstLine="0"/>
        <w:jc w:val="left"/>
        <w:rPr>
          <w:sz w:val="18"/>
        </w:rPr>
      </w:pPr>
      <w:r>
        <w:rPr>
          <w:sz w:val="18"/>
        </w:rPr>
        <w:t>(Fuente: Ares </w:t>
      </w:r>
      <w:hyperlink r:id="rId137">
        <w:r>
          <w:rPr>
            <w:sz w:val="18"/>
          </w:rPr>
          <w:t>http://ares.cat/processos.php,</w:t>
        </w:r>
      </w:hyperlink>
      <w:r>
        <w:rPr>
          <w:sz w:val="18"/>
        </w:rPr>
        <w:t> consultado el día 30 de abril de 2015).</w:t>
      </w:r>
    </w:p>
    <w:p>
      <w:pPr>
        <w:pStyle w:val="BodyText"/>
        <w:rPr>
          <w:sz w:val="18"/>
        </w:rPr>
      </w:pPr>
    </w:p>
    <w:p>
      <w:pPr>
        <w:pStyle w:val="BodyText"/>
        <w:rPr>
          <w:sz w:val="18"/>
        </w:rPr>
      </w:pPr>
    </w:p>
    <w:p>
      <w:pPr>
        <w:pStyle w:val="BodyText"/>
        <w:spacing w:before="1"/>
        <w:rPr>
          <w:sz w:val="17"/>
        </w:rPr>
      </w:pPr>
    </w:p>
    <w:p>
      <w:pPr>
        <w:pStyle w:val="Heading2"/>
        <w:numPr>
          <w:ilvl w:val="3"/>
          <w:numId w:val="26"/>
        </w:numPr>
        <w:tabs>
          <w:tab w:pos="1593" w:val="left" w:leader="none"/>
        </w:tabs>
        <w:spacing w:line="240" w:lineRule="auto" w:before="0" w:after="0"/>
        <w:ind w:left="1593" w:right="0" w:hanging="1493"/>
        <w:jc w:val="both"/>
      </w:pPr>
      <w:bookmarkStart w:name="2.7.2.8.  Obra con intervención de escan" w:id="150"/>
      <w:bookmarkEnd w:id="150"/>
      <w:r>
        <w:rPr/>
      </w:r>
      <w:bookmarkStart w:name="_bookmark99" w:id="151"/>
      <w:bookmarkEnd w:id="151"/>
      <w:r>
        <w:rPr/>
        <w:t>O</w:t>
      </w:r>
      <w:r>
        <w:rPr/>
        <w:t>bra con intervención de escaner</w:t>
      </w:r>
      <w:r>
        <w:rPr>
          <w:spacing w:val="-7"/>
        </w:rPr>
        <w:t> </w:t>
      </w:r>
      <w:r>
        <w:rPr/>
        <w:t>3D</w:t>
      </w:r>
    </w:p>
    <w:p>
      <w:pPr>
        <w:pStyle w:val="BodyText"/>
        <w:rPr>
          <w:sz w:val="28"/>
        </w:rPr>
      </w:pPr>
    </w:p>
    <w:p>
      <w:pPr>
        <w:pStyle w:val="BodyText"/>
        <w:spacing w:before="4"/>
        <w:rPr>
          <w:sz w:val="22"/>
        </w:rPr>
      </w:pPr>
    </w:p>
    <w:p>
      <w:pPr>
        <w:pStyle w:val="BodyText"/>
        <w:spacing w:line="360" w:lineRule="auto"/>
        <w:ind w:left="100" w:right="98"/>
        <w:jc w:val="both"/>
      </w:pPr>
      <w:r>
        <w:rPr/>
        <w:t>Matía (2009), menciona que este método funciona marcando coordenadas de las tres magnitudes espaciales a través de un contacto directo con la superficie de la pieza a reproducir, gracias a un palpador electrónico, creando una nube de puntos (conjunto de coordenadas obtenidas de los puntos más relevantes que cortan  </w:t>
      </w:r>
      <w:r>
        <w:rPr>
          <w:spacing w:val="66"/>
        </w:rPr>
        <w:t> </w:t>
      </w:r>
      <w:r>
        <w:rPr/>
        <w:t>un</w:t>
      </w:r>
    </w:p>
    <w:p>
      <w:pPr>
        <w:spacing w:after="0" w:line="360" w:lineRule="auto"/>
        <w:jc w:val="both"/>
        <w:sectPr>
          <w:pgSz w:w="12240" w:h="15840"/>
          <w:pgMar w:header="0" w:footer="1031" w:top="1420" w:bottom="1220" w:left="1600" w:right="1600"/>
        </w:sectPr>
      </w:pPr>
    </w:p>
    <w:p>
      <w:pPr>
        <w:pStyle w:val="BodyText"/>
        <w:spacing w:line="362" w:lineRule="auto" w:before="55"/>
        <w:ind w:left="100" w:right="123"/>
        <w:jc w:val="both"/>
      </w:pPr>
      <w:r>
        <w:rPr/>
        <w:t>cuerpo volumétrico). Pueden emitir algún tipo de radiación (luz, ultrasonidos, láser) que barre la superficie.</w:t>
      </w:r>
    </w:p>
    <w:p>
      <w:pPr>
        <w:pStyle w:val="BodyText"/>
      </w:pPr>
    </w:p>
    <w:p>
      <w:pPr>
        <w:pStyle w:val="BodyText"/>
        <w:spacing w:line="360" w:lineRule="auto" w:before="139"/>
        <w:ind w:left="100" w:right="120"/>
        <w:jc w:val="both"/>
      </w:pPr>
      <w:r>
        <w:rPr/>
        <w:t>Underwood (2013), utiliza el escaner tridimensional para realizar la ampliación de esculturas sobre pedido. El método que él utiliza para modelar esculturas se describe a continuación:</w:t>
      </w:r>
    </w:p>
    <w:p>
      <w:pPr>
        <w:pStyle w:val="BodyText"/>
      </w:pPr>
    </w:p>
    <w:p>
      <w:pPr>
        <w:pStyle w:val="ListParagraph"/>
        <w:numPr>
          <w:ilvl w:val="0"/>
          <w:numId w:val="27"/>
        </w:numPr>
        <w:tabs>
          <w:tab w:pos="821" w:val="left" w:leader="none"/>
        </w:tabs>
        <w:spacing w:line="357" w:lineRule="auto" w:before="142" w:after="0"/>
        <w:ind w:left="821" w:right="121" w:hanging="361"/>
        <w:jc w:val="both"/>
        <w:rPr>
          <w:sz w:val="24"/>
        </w:rPr>
      </w:pPr>
      <w:r>
        <w:rPr>
          <w:sz w:val="24"/>
        </w:rPr>
        <w:t>Se realiza un escaneo con láser 3D de su modelo, los tamaños ideales están en el rango de 12 " a</w:t>
      </w:r>
      <w:r>
        <w:rPr>
          <w:spacing w:val="-21"/>
          <w:sz w:val="24"/>
        </w:rPr>
        <w:t> </w:t>
      </w:r>
      <w:r>
        <w:rPr>
          <w:sz w:val="24"/>
        </w:rPr>
        <w:t>24".</w:t>
      </w:r>
    </w:p>
    <w:p>
      <w:pPr>
        <w:pStyle w:val="BodyText"/>
      </w:pPr>
    </w:p>
    <w:p>
      <w:pPr>
        <w:pStyle w:val="ListParagraph"/>
        <w:numPr>
          <w:ilvl w:val="0"/>
          <w:numId w:val="27"/>
        </w:numPr>
        <w:tabs>
          <w:tab w:pos="821" w:val="left" w:leader="none"/>
        </w:tabs>
        <w:spacing w:line="360" w:lineRule="auto" w:before="145" w:after="0"/>
        <w:ind w:left="821" w:right="122" w:hanging="361"/>
        <w:jc w:val="both"/>
        <w:rPr>
          <w:sz w:val="24"/>
        </w:rPr>
      </w:pPr>
      <w:r>
        <w:rPr>
          <w:sz w:val="24"/>
        </w:rPr>
        <w:t>Se utilizan estos datos digitales (en millones de puntos que representan con exactitud la superficie y la textura de su modelo) de forjar de la espuma de la escala (por ejemplo, 8 ') réplica de su modelo. Se hace con una máquina de CNC que talla una superficie siguiendo la información proveniente del escáner.</w:t>
      </w:r>
    </w:p>
    <w:p>
      <w:pPr>
        <w:pStyle w:val="BodyText"/>
      </w:pPr>
    </w:p>
    <w:p>
      <w:pPr>
        <w:pStyle w:val="ListParagraph"/>
        <w:numPr>
          <w:ilvl w:val="0"/>
          <w:numId w:val="27"/>
        </w:numPr>
        <w:tabs>
          <w:tab w:pos="821" w:val="left" w:leader="none"/>
        </w:tabs>
        <w:spacing w:line="360" w:lineRule="auto" w:before="142" w:after="0"/>
        <w:ind w:left="821" w:right="120" w:hanging="361"/>
        <w:jc w:val="both"/>
        <w:rPr>
          <w:sz w:val="24"/>
        </w:rPr>
      </w:pPr>
      <w:r>
        <w:rPr>
          <w:sz w:val="24"/>
        </w:rPr>
        <w:t>Normalmente usamos 4 libras de espuma de poliuretano, que pintamos  para evitar cualquier contaminación por polvo en la arcilla. Utilizamos este tipo de espuma, </w:t>
      </w:r>
      <w:r>
        <w:rPr>
          <w:spacing w:val="-3"/>
          <w:sz w:val="24"/>
        </w:rPr>
        <w:t>ya </w:t>
      </w:r>
      <w:r>
        <w:rPr>
          <w:sz w:val="24"/>
        </w:rPr>
        <w:t>que es grandiosa para los detalles, tiene una fuerza considerable en relación al peso (sin necesidad de armaduras, inclusive para grandes ampliaciones) y porque es muy fácil trabajar con él si, el escultor decide modificar cualquier elemento de la escalas más</w:t>
      </w:r>
      <w:r>
        <w:rPr>
          <w:spacing w:val="-37"/>
          <w:sz w:val="24"/>
        </w:rPr>
        <w:t> </w:t>
      </w:r>
      <w:r>
        <w:rPr>
          <w:sz w:val="24"/>
        </w:rPr>
        <w:t>grandes.</w:t>
      </w:r>
    </w:p>
    <w:p>
      <w:pPr>
        <w:pStyle w:val="BodyText"/>
      </w:pPr>
    </w:p>
    <w:p>
      <w:pPr>
        <w:pStyle w:val="ListParagraph"/>
        <w:numPr>
          <w:ilvl w:val="0"/>
          <w:numId w:val="27"/>
        </w:numPr>
        <w:tabs>
          <w:tab w:pos="821" w:val="left" w:leader="none"/>
        </w:tabs>
        <w:spacing w:line="357" w:lineRule="auto" w:before="142" w:after="0"/>
        <w:ind w:left="821" w:right="122" w:hanging="361"/>
        <w:jc w:val="both"/>
        <w:rPr>
          <w:sz w:val="24"/>
        </w:rPr>
      </w:pPr>
      <w:r>
        <w:rPr>
          <w:sz w:val="24"/>
        </w:rPr>
        <w:t>Entonces se aplica una fina capa de arcilla / plastilina (que normalmente utilizamos arcillas a base de aceite libre de</w:t>
      </w:r>
      <w:r>
        <w:rPr>
          <w:spacing w:val="-32"/>
          <w:sz w:val="24"/>
        </w:rPr>
        <w:t> </w:t>
      </w:r>
      <w:r>
        <w:rPr>
          <w:sz w:val="24"/>
        </w:rPr>
        <w:t>azufre).</w:t>
      </w:r>
    </w:p>
    <w:p>
      <w:pPr>
        <w:pStyle w:val="BodyText"/>
      </w:pPr>
    </w:p>
    <w:p>
      <w:pPr>
        <w:pStyle w:val="ListParagraph"/>
        <w:numPr>
          <w:ilvl w:val="0"/>
          <w:numId w:val="27"/>
        </w:numPr>
        <w:tabs>
          <w:tab w:pos="821" w:val="left" w:leader="none"/>
        </w:tabs>
        <w:spacing w:line="362" w:lineRule="auto" w:before="144" w:after="0"/>
        <w:ind w:left="821" w:right="114" w:hanging="361"/>
        <w:jc w:val="both"/>
        <w:rPr>
          <w:sz w:val="24"/>
        </w:rPr>
      </w:pPr>
      <w:r>
        <w:rPr>
          <w:sz w:val="24"/>
        </w:rPr>
        <w:t>Después se esculpe la pieza en su detalle de superficie alrededor de 85% - 95% completado en función de los deseos del</w:t>
      </w:r>
      <w:r>
        <w:rPr>
          <w:spacing w:val="-27"/>
          <w:sz w:val="24"/>
        </w:rPr>
        <w:t> </w:t>
      </w:r>
      <w:r>
        <w:rPr>
          <w:sz w:val="24"/>
        </w:rPr>
        <w:t>artista.</w:t>
      </w:r>
    </w:p>
    <w:p>
      <w:pPr>
        <w:pStyle w:val="BodyText"/>
      </w:pPr>
    </w:p>
    <w:p>
      <w:pPr>
        <w:pStyle w:val="ListParagraph"/>
        <w:numPr>
          <w:ilvl w:val="0"/>
          <w:numId w:val="27"/>
        </w:numPr>
        <w:tabs>
          <w:tab w:pos="889" w:val="left" w:leader="none"/>
        </w:tabs>
        <w:spacing w:line="357" w:lineRule="auto" w:before="140" w:after="0"/>
        <w:ind w:left="821" w:right="118" w:hanging="361"/>
        <w:jc w:val="both"/>
        <w:rPr>
          <w:sz w:val="24"/>
        </w:rPr>
      </w:pPr>
      <w:r>
        <w:rPr>
          <w:sz w:val="24"/>
        </w:rPr>
        <w:t>El escultor termina el detalle final y reanuda el trabajo con </w:t>
      </w:r>
      <w:r>
        <w:rPr>
          <w:spacing w:val="3"/>
          <w:sz w:val="24"/>
        </w:rPr>
        <w:t>el </w:t>
      </w:r>
      <w:r>
        <w:rPr>
          <w:sz w:val="24"/>
        </w:rPr>
        <w:t>molde tradicional y el  proceso de</w:t>
      </w:r>
      <w:r>
        <w:rPr>
          <w:spacing w:val="-22"/>
          <w:sz w:val="24"/>
        </w:rPr>
        <w:t> </w:t>
      </w:r>
      <w:r>
        <w:rPr>
          <w:sz w:val="24"/>
        </w:rPr>
        <w:t>fundición.</w:t>
      </w:r>
    </w:p>
    <w:p>
      <w:pPr>
        <w:spacing w:after="0" w:line="357" w:lineRule="auto"/>
        <w:jc w:val="both"/>
        <w:rPr>
          <w:sz w:val="24"/>
        </w:rPr>
        <w:sectPr>
          <w:pgSz w:w="12240" w:h="15840"/>
          <w:pgMar w:header="0" w:footer="1031" w:top="1360" w:bottom="1220" w:left="1600" w:right="1580"/>
        </w:sectPr>
      </w:pPr>
    </w:p>
    <w:p>
      <w:pPr>
        <w:pStyle w:val="BodyText"/>
        <w:spacing w:line="362" w:lineRule="auto" w:before="55"/>
        <w:ind w:left="100" w:right="122"/>
        <w:jc w:val="both"/>
      </w:pPr>
      <w:r>
        <w:rPr/>
        <w:t>En la siguiente </w:t>
      </w:r>
      <w:hyperlink w:history="true" w:anchor="_bookmark100">
        <w:r>
          <w:rPr/>
          <w:t>Figura 2.46</w:t>
        </w:r>
      </w:hyperlink>
      <w:r>
        <w:rPr/>
        <w:t>, se muestra la imagen de una pieza que escanea para realizar la ampliación.</w:t>
      </w:r>
    </w:p>
    <w:p>
      <w:pPr>
        <w:pStyle w:val="BodyText"/>
        <w:rPr>
          <w:sz w:val="20"/>
        </w:rPr>
      </w:pPr>
    </w:p>
    <w:p>
      <w:pPr>
        <w:pStyle w:val="BodyText"/>
        <w:spacing w:before="8"/>
        <w:rPr>
          <w:sz w:val="12"/>
        </w:rPr>
      </w:pPr>
      <w:r>
        <w:rPr/>
        <w:drawing>
          <wp:anchor distT="0" distB="0" distL="0" distR="0" allowOverlap="1" layoutInCell="1" locked="0" behindDoc="0" simplePos="0" relativeHeight="1768">
            <wp:simplePos x="0" y="0"/>
            <wp:positionH relativeFrom="page">
              <wp:posOffset>3190875</wp:posOffset>
            </wp:positionH>
            <wp:positionV relativeFrom="paragraph">
              <wp:posOffset>117993</wp:posOffset>
            </wp:positionV>
            <wp:extent cx="1383740" cy="2085975"/>
            <wp:effectExtent l="0" t="0" r="0" b="0"/>
            <wp:wrapTopAndBottom/>
            <wp:docPr id="161" name="image81.jpeg" descr=""/>
            <wp:cNvGraphicFramePr>
              <a:graphicFrameLocks noChangeAspect="1"/>
            </wp:cNvGraphicFramePr>
            <a:graphic>
              <a:graphicData uri="http://schemas.openxmlformats.org/drawingml/2006/picture">
                <pic:pic>
                  <pic:nvPicPr>
                    <pic:cNvPr id="162" name="image81.jpeg"/>
                    <pic:cNvPicPr/>
                  </pic:nvPicPr>
                  <pic:blipFill>
                    <a:blip r:embed="rId138" cstate="print"/>
                    <a:stretch>
                      <a:fillRect/>
                    </a:stretch>
                  </pic:blipFill>
                  <pic:spPr>
                    <a:xfrm>
                      <a:off x="0" y="0"/>
                      <a:ext cx="1383740" cy="2085975"/>
                    </a:xfrm>
                    <a:prstGeom prst="rect">
                      <a:avLst/>
                    </a:prstGeom>
                  </pic:spPr>
                </pic:pic>
              </a:graphicData>
            </a:graphic>
          </wp:anchor>
        </w:drawing>
      </w:r>
    </w:p>
    <w:p>
      <w:pPr>
        <w:spacing w:before="86"/>
        <w:ind w:left="3329" w:right="235" w:hanging="2089"/>
        <w:jc w:val="left"/>
        <w:rPr>
          <w:sz w:val="18"/>
        </w:rPr>
      </w:pPr>
      <w:bookmarkStart w:name="_bookmark100" w:id="152"/>
      <w:bookmarkEnd w:id="152"/>
      <w:r>
        <w:rPr/>
      </w:r>
      <w:r>
        <w:rPr>
          <w:sz w:val="18"/>
        </w:rPr>
        <w:t>Figura 2.46. Escaneo de escultura. (Fuente: </w:t>
      </w:r>
      <w:hyperlink r:id="rId139">
        <w:r>
          <w:rPr>
            <w:sz w:val="18"/>
          </w:rPr>
          <w:t>http://carolinabronze.com/enlargement/,</w:t>
        </w:r>
      </w:hyperlink>
      <w:r>
        <w:rPr>
          <w:sz w:val="18"/>
        </w:rPr>
        <w:t> consultado 25 de junio de 2013).</w:t>
      </w:r>
    </w:p>
    <w:p>
      <w:pPr>
        <w:pStyle w:val="BodyText"/>
        <w:rPr>
          <w:sz w:val="18"/>
        </w:rPr>
      </w:pPr>
    </w:p>
    <w:p>
      <w:pPr>
        <w:pStyle w:val="BodyText"/>
        <w:spacing w:before="3"/>
        <w:rPr>
          <w:sz w:val="18"/>
        </w:rPr>
      </w:pPr>
    </w:p>
    <w:p>
      <w:pPr>
        <w:pStyle w:val="BodyText"/>
        <w:spacing w:line="362" w:lineRule="auto"/>
        <w:ind w:left="100" w:right="125"/>
        <w:jc w:val="both"/>
      </w:pPr>
      <w:r>
        <w:rPr/>
        <w:t>El autor plantea tres diferentes etapas del proceso que ayudan al artista en este uso de herramientas digitales:</w:t>
      </w:r>
    </w:p>
    <w:p>
      <w:pPr>
        <w:pStyle w:val="BodyText"/>
        <w:spacing w:before="8"/>
        <w:rPr>
          <w:sz w:val="35"/>
        </w:rPr>
      </w:pPr>
    </w:p>
    <w:p>
      <w:pPr>
        <w:pStyle w:val="ListParagraph"/>
        <w:numPr>
          <w:ilvl w:val="0"/>
          <w:numId w:val="22"/>
        </w:numPr>
        <w:tabs>
          <w:tab w:pos="269" w:val="left" w:leader="none"/>
        </w:tabs>
        <w:spacing w:line="360" w:lineRule="auto" w:before="1" w:after="0"/>
        <w:ind w:left="100" w:right="121" w:firstLine="0"/>
        <w:jc w:val="both"/>
        <w:rPr>
          <w:sz w:val="24"/>
        </w:rPr>
      </w:pPr>
      <w:r>
        <w:rPr>
          <w:b/>
          <w:sz w:val="24"/>
        </w:rPr>
        <w:t>Fase de diseño / exploración</w:t>
      </w:r>
      <w:r>
        <w:rPr>
          <w:sz w:val="24"/>
        </w:rPr>
        <w:t>: las herramientas de modelado 3D nos permiten esbozar rápidamente las ideas, las escalas y evaluar la dinámica espacial y relaciones que invariablemente son clave para cualquier composición escultórica o arquitectónica.</w:t>
      </w:r>
    </w:p>
    <w:p>
      <w:pPr>
        <w:pStyle w:val="BodyText"/>
      </w:pPr>
    </w:p>
    <w:p>
      <w:pPr>
        <w:pStyle w:val="ListParagraph"/>
        <w:numPr>
          <w:ilvl w:val="0"/>
          <w:numId w:val="28"/>
        </w:numPr>
        <w:tabs>
          <w:tab w:pos="281" w:val="left" w:leader="none"/>
        </w:tabs>
        <w:spacing w:line="360" w:lineRule="auto" w:before="138" w:after="0"/>
        <w:ind w:left="100" w:right="119" w:firstLine="0"/>
        <w:jc w:val="both"/>
        <w:rPr>
          <w:sz w:val="24"/>
        </w:rPr>
      </w:pPr>
      <w:r>
        <w:rPr>
          <w:b/>
          <w:sz w:val="24"/>
        </w:rPr>
        <w:t>Presentación: </w:t>
      </w:r>
      <w:r>
        <w:rPr>
          <w:sz w:val="24"/>
        </w:rPr>
        <w:t>en la búsqueda de las comisiones o convencer a un cliente que quiere el mejor diseño posible, nada es tan efectivo como completar representaciones foto realistas del proyecto en 3D in situ, animaciones en 3D y sobre vuelos también son también potentes herramientas de</w:t>
      </w:r>
      <w:r>
        <w:rPr>
          <w:spacing w:val="-42"/>
          <w:sz w:val="24"/>
        </w:rPr>
        <w:t> </w:t>
      </w:r>
      <w:r>
        <w:rPr>
          <w:sz w:val="24"/>
        </w:rPr>
        <w:t>presentación.</w:t>
      </w:r>
    </w:p>
    <w:p>
      <w:pPr>
        <w:pStyle w:val="BodyText"/>
        <w:spacing w:before="11"/>
        <w:rPr>
          <w:sz w:val="35"/>
        </w:rPr>
      </w:pPr>
    </w:p>
    <w:p>
      <w:pPr>
        <w:pStyle w:val="ListParagraph"/>
        <w:numPr>
          <w:ilvl w:val="0"/>
          <w:numId w:val="29"/>
        </w:numPr>
        <w:tabs>
          <w:tab w:pos="273" w:val="left" w:leader="none"/>
        </w:tabs>
        <w:spacing w:line="360" w:lineRule="auto" w:before="0" w:after="0"/>
        <w:ind w:left="100" w:right="117" w:firstLine="0"/>
        <w:jc w:val="both"/>
        <w:rPr>
          <w:sz w:val="24"/>
        </w:rPr>
      </w:pPr>
      <w:r>
        <w:rPr>
          <w:b/>
          <w:sz w:val="24"/>
        </w:rPr>
        <w:t>Las estimaciones de costos y selección de materiales</w:t>
      </w:r>
      <w:r>
        <w:rPr>
          <w:sz w:val="24"/>
        </w:rPr>
        <w:t>: opciones de diseño, hasta los detalles, pueden tener grandes efectos en los costos. El acabado o superficie de metal, la longitud de la soldadura, las estimaciones detalladas de los materiales requeridos, costos de diferentes espesores o arreglos escantillones, todos</w:t>
      </w:r>
      <w:r>
        <w:rPr>
          <w:spacing w:val="25"/>
          <w:sz w:val="24"/>
        </w:rPr>
        <w:t> </w:t>
      </w:r>
      <w:r>
        <w:rPr>
          <w:sz w:val="24"/>
        </w:rPr>
        <w:t>estos</w:t>
      </w:r>
      <w:r>
        <w:rPr>
          <w:spacing w:val="29"/>
          <w:sz w:val="24"/>
        </w:rPr>
        <w:t> </w:t>
      </w:r>
      <w:r>
        <w:rPr>
          <w:sz w:val="24"/>
        </w:rPr>
        <w:t>indicadores</w:t>
      </w:r>
      <w:r>
        <w:rPr>
          <w:spacing w:val="25"/>
          <w:sz w:val="24"/>
        </w:rPr>
        <w:t> </w:t>
      </w:r>
      <w:r>
        <w:rPr>
          <w:sz w:val="24"/>
        </w:rPr>
        <w:t>son</w:t>
      </w:r>
      <w:r>
        <w:rPr>
          <w:spacing w:val="23"/>
          <w:sz w:val="24"/>
        </w:rPr>
        <w:t> </w:t>
      </w:r>
      <w:r>
        <w:rPr>
          <w:sz w:val="24"/>
        </w:rPr>
        <w:t>fundamentales</w:t>
      </w:r>
      <w:r>
        <w:rPr>
          <w:spacing w:val="28"/>
          <w:sz w:val="24"/>
        </w:rPr>
        <w:t> </w:t>
      </w:r>
      <w:r>
        <w:rPr>
          <w:sz w:val="24"/>
        </w:rPr>
        <w:t>para</w:t>
      </w:r>
      <w:r>
        <w:rPr>
          <w:spacing w:val="23"/>
          <w:sz w:val="24"/>
        </w:rPr>
        <w:t> </w:t>
      </w:r>
      <w:r>
        <w:rPr>
          <w:sz w:val="24"/>
        </w:rPr>
        <w:t>la</w:t>
      </w:r>
      <w:r>
        <w:rPr>
          <w:spacing w:val="27"/>
          <w:sz w:val="24"/>
        </w:rPr>
        <w:t> </w:t>
      </w:r>
      <w:r>
        <w:rPr>
          <w:sz w:val="24"/>
        </w:rPr>
        <w:t>comprensión</w:t>
      </w:r>
      <w:r>
        <w:rPr>
          <w:spacing w:val="23"/>
          <w:sz w:val="24"/>
        </w:rPr>
        <w:t> </w:t>
      </w:r>
      <w:r>
        <w:rPr>
          <w:sz w:val="24"/>
        </w:rPr>
        <w:t>de</w:t>
      </w:r>
      <w:r>
        <w:rPr>
          <w:spacing w:val="23"/>
          <w:sz w:val="24"/>
        </w:rPr>
        <w:t> </w:t>
      </w:r>
      <w:r>
        <w:rPr>
          <w:sz w:val="24"/>
        </w:rPr>
        <w:t>los</w:t>
      </w:r>
      <w:r>
        <w:rPr>
          <w:spacing w:val="25"/>
          <w:sz w:val="24"/>
        </w:rPr>
        <w:t> </w:t>
      </w:r>
      <w:r>
        <w:rPr>
          <w:sz w:val="24"/>
        </w:rPr>
        <w:t>costos</w:t>
      </w:r>
      <w:r>
        <w:rPr>
          <w:spacing w:val="25"/>
          <w:sz w:val="24"/>
        </w:rPr>
        <w:t> </w:t>
      </w:r>
      <w:r>
        <w:rPr>
          <w:sz w:val="24"/>
        </w:rPr>
        <w:t>y</w:t>
      </w:r>
    </w:p>
    <w:p>
      <w:pPr>
        <w:spacing w:after="0" w:line="360" w:lineRule="auto"/>
        <w:jc w:val="both"/>
        <w:rPr>
          <w:sz w:val="24"/>
        </w:rPr>
        <w:sectPr>
          <w:pgSz w:w="12240" w:h="15840"/>
          <w:pgMar w:header="0" w:footer="1031" w:top="1360" w:bottom="1220" w:left="1600" w:right="1580"/>
        </w:sectPr>
      </w:pPr>
    </w:p>
    <w:p>
      <w:pPr>
        <w:pStyle w:val="BodyText"/>
        <w:spacing w:line="360" w:lineRule="auto" w:before="55"/>
        <w:ind w:left="100" w:right="123"/>
        <w:jc w:val="both"/>
      </w:pPr>
      <w:r>
        <w:rPr/>
        <w:t>de dónde vienen desde muy temprano en la etapa de diseño. Con nuestra experiencia en este campo podemos guiarlo a través de las dificultades de realizar el diseño más rentable sin sacrificar nada de la intención artística.</w:t>
      </w:r>
    </w:p>
    <w:p>
      <w:pPr>
        <w:pStyle w:val="BodyText"/>
      </w:pPr>
    </w:p>
    <w:p>
      <w:pPr>
        <w:pStyle w:val="BodyText"/>
        <w:spacing w:line="360" w:lineRule="auto" w:before="142"/>
        <w:ind w:left="100" w:right="124"/>
        <w:jc w:val="both"/>
      </w:pPr>
      <w:r>
        <w:rPr/>
        <w:t>Makharadza (2013) menciona que Jon Isherwood aumentó huellas dactilares que después las tallo en grandes rocas para una obra diseñada especialmente para lugar titulada Huellas y paisajes, ver </w:t>
      </w:r>
      <w:hyperlink w:history="true" w:anchor="_bookmark101">
        <w:r>
          <w:rPr/>
          <w:t>Figura 2.47</w:t>
        </w:r>
      </w:hyperlink>
    </w:p>
    <w:p>
      <w:pPr>
        <w:pStyle w:val="BodyText"/>
        <w:rPr>
          <w:sz w:val="20"/>
        </w:rPr>
      </w:pPr>
    </w:p>
    <w:p>
      <w:pPr>
        <w:pStyle w:val="BodyText"/>
        <w:spacing w:before="1"/>
        <w:rPr>
          <w:sz w:val="13"/>
        </w:rPr>
      </w:pPr>
      <w:r>
        <w:rPr/>
        <w:drawing>
          <wp:anchor distT="0" distB="0" distL="0" distR="0" allowOverlap="1" layoutInCell="1" locked="0" behindDoc="0" simplePos="0" relativeHeight="1792">
            <wp:simplePos x="0" y="0"/>
            <wp:positionH relativeFrom="page">
              <wp:posOffset>2676525</wp:posOffset>
            </wp:positionH>
            <wp:positionV relativeFrom="paragraph">
              <wp:posOffset>120585</wp:posOffset>
            </wp:positionV>
            <wp:extent cx="2424444" cy="1593723"/>
            <wp:effectExtent l="0" t="0" r="0" b="0"/>
            <wp:wrapTopAndBottom/>
            <wp:docPr id="163" name="image82.jpeg" descr=""/>
            <wp:cNvGraphicFramePr>
              <a:graphicFrameLocks noChangeAspect="1"/>
            </wp:cNvGraphicFramePr>
            <a:graphic>
              <a:graphicData uri="http://schemas.openxmlformats.org/drawingml/2006/picture">
                <pic:pic>
                  <pic:nvPicPr>
                    <pic:cNvPr id="164" name="image82.jpeg"/>
                    <pic:cNvPicPr/>
                  </pic:nvPicPr>
                  <pic:blipFill>
                    <a:blip r:embed="rId140" cstate="print"/>
                    <a:stretch>
                      <a:fillRect/>
                    </a:stretch>
                  </pic:blipFill>
                  <pic:spPr>
                    <a:xfrm>
                      <a:off x="0" y="0"/>
                      <a:ext cx="2424444" cy="1593723"/>
                    </a:xfrm>
                    <a:prstGeom prst="rect">
                      <a:avLst/>
                    </a:prstGeom>
                  </pic:spPr>
                </pic:pic>
              </a:graphicData>
            </a:graphic>
          </wp:anchor>
        </w:drawing>
      </w:r>
    </w:p>
    <w:p>
      <w:pPr>
        <w:spacing w:before="64"/>
        <w:ind w:left="1240" w:right="1031" w:hanging="4"/>
        <w:jc w:val="center"/>
        <w:rPr>
          <w:sz w:val="18"/>
        </w:rPr>
      </w:pPr>
      <w:bookmarkStart w:name="_bookmark101" w:id="153"/>
      <w:bookmarkEnd w:id="153"/>
      <w:r>
        <w:rPr/>
      </w:r>
      <w:r>
        <w:rPr>
          <w:sz w:val="18"/>
        </w:rPr>
        <w:t>Figura 2.47. Jon Isherwood. Granito, 6x7x5 feet.2003 (Fuente: </w:t>
      </w:r>
      <w:hyperlink r:id="rId141">
        <w:r>
          <w:rPr>
            <w:sz w:val="18"/>
          </w:rPr>
          <w:t>http://share.pdfonline.com/2dd940720a8a44098cd11ca4f82fc97a/Escultura%20digita</w:t>
        </w:r>
      </w:hyperlink>
      <w:r>
        <w:rPr>
          <w:sz w:val="18"/>
        </w:rPr>
        <w:t> </w:t>
      </w:r>
      <w:hyperlink r:id="rId141">
        <w:r>
          <w:rPr>
            <w:sz w:val="18"/>
          </w:rPr>
          <w:t>l.%20Resumen.Lasha%20M..htm,</w:t>
        </w:r>
      </w:hyperlink>
      <w:r>
        <w:rPr>
          <w:sz w:val="18"/>
        </w:rPr>
        <w:t>  consultado el 25 de junio de 2013).</w:t>
      </w:r>
    </w:p>
    <w:p>
      <w:pPr>
        <w:pStyle w:val="BodyText"/>
        <w:rPr>
          <w:sz w:val="18"/>
        </w:rPr>
      </w:pPr>
    </w:p>
    <w:p>
      <w:pPr>
        <w:pStyle w:val="BodyText"/>
        <w:spacing w:before="2"/>
        <w:rPr>
          <w:sz w:val="18"/>
        </w:rPr>
      </w:pPr>
    </w:p>
    <w:p>
      <w:pPr>
        <w:pStyle w:val="BodyText"/>
        <w:spacing w:line="360" w:lineRule="auto"/>
        <w:ind w:left="100" w:right="116"/>
        <w:jc w:val="both"/>
      </w:pPr>
      <w:r>
        <w:rPr/>
        <w:t>Otro ejemplo del uso de escaneo digital, Karen Sander, escanea personas de cuerpo completo y posteriormente las imprime en 3D utilizando RP. Como se puede ver en la </w:t>
      </w:r>
      <w:hyperlink w:history="true" w:anchor="_bookmark102">
        <w:r>
          <w:rPr/>
          <w:t>Figura 2.48</w:t>
        </w:r>
      </w:hyperlink>
      <w:r>
        <w:rPr/>
        <w:t>.</w:t>
      </w:r>
    </w:p>
    <w:p>
      <w:pPr>
        <w:pStyle w:val="BodyText"/>
        <w:rPr>
          <w:sz w:val="20"/>
        </w:rPr>
      </w:pPr>
    </w:p>
    <w:p>
      <w:pPr>
        <w:pStyle w:val="BodyText"/>
        <w:spacing w:before="9"/>
        <w:rPr>
          <w:sz w:val="12"/>
        </w:rPr>
      </w:pPr>
      <w:r>
        <w:rPr/>
        <w:drawing>
          <wp:anchor distT="0" distB="0" distL="0" distR="0" allowOverlap="1" layoutInCell="1" locked="0" behindDoc="0" simplePos="0" relativeHeight="1816">
            <wp:simplePos x="0" y="0"/>
            <wp:positionH relativeFrom="page">
              <wp:posOffset>1890776</wp:posOffset>
            </wp:positionH>
            <wp:positionV relativeFrom="paragraph">
              <wp:posOffset>118426</wp:posOffset>
            </wp:positionV>
            <wp:extent cx="3981445" cy="1882139"/>
            <wp:effectExtent l="0" t="0" r="0" b="0"/>
            <wp:wrapTopAndBottom/>
            <wp:docPr id="165" name="image83.jpeg" descr=""/>
            <wp:cNvGraphicFramePr>
              <a:graphicFrameLocks noChangeAspect="1"/>
            </wp:cNvGraphicFramePr>
            <a:graphic>
              <a:graphicData uri="http://schemas.openxmlformats.org/drawingml/2006/picture">
                <pic:pic>
                  <pic:nvPicPr>
                    <pic:cNvPr id="166" name="image83.jpeg"/>
                    <pic:cNvPicPr/>
                  </pic:nvPicPr>
                  <pic:blipFill>
                    <a:blip r:embed="rId142" cstate="print"/>
                    <a:stretch>
                      <a:fillRect/>
                    </a:stretch>
                  </pic:blipFill>
                  <pic:spPr>
                    <a:xfrm>
                      <a:off x="0" y="0"/>
                      <a:ext cx="3981445" cy="1882139"/>
                    </a:xfrm>
                    <a:prstGeom prst="rect">
                      <a:avLst/>
                    </a:prstGeom>
                  </pic:spPr>
                </pic:pic>
              </a:graphicData>
            </a:graphic>
          </wp:anchor>
        </w:drawing>
      </w:r>
    </w:p>
    <w:p>
      <w:pPr>
        <w:spacing w:line="237" w:lineRule="auto" w:before="83"/>
        <w:ind w:left="1237" w:right="1029" w:firstLine="0"/>
        <w:jc w:val="center"/>
        <w:rPr>
          <w:sz w:val="18"/>
        </w:rPr>
      </w:pPr>
      <w:bookmarkStart w:name="_bookmark102" w:id="154"/>
      <w:bookmarkEnd w:id="154"/>
      <w:r>
        <w:rPr/>
      </w:r>
      <w:r>
        <w:rPr>
          <w:sz w:val="18"/>
        </w:rPr>
        <w:t>Figura 2.48. Sander, Cuerpos escaneados e impresos en PR. (Fuente </w:t>
      </w:r>
      <w:hyperlink r:id="rId143">
        <w:r>
          <w:rPr>
            <w:sz w:val="18"/>
          </w:rPr>
          <w:t>http://www.vvork.com/index.php?s=karin+sander,</w:t>
        </w:r>
      </w:hyperlink>
      <w:r>
        <w:rPr>
          <w:sz w:val="18"/>
        </w:rPr>
        <w:t> consultado el día 11 de agosto de 2013).</w:t>
      </w:r>
    </w:p>
    <w:p>
      <w:pPr>
        <w:spacing w:after="0" w:line="237" w:lineRule="auto"/>
        <w:jc w:val="center"/>
        <w:rPr>
          <w:sz w:val="18"/>
        </w:rPr>
        <w:sectPr>
          <w:pgSz w:w="12240" w:h="15840"/>
          <w:pgMar w:header="0" w:footer="1031" w:top="1360" w:bottom="1220" w:left="1600" w:right="1580"/>
        </w:sectPr>
      </w:pPr>
    </w:p>
    <w:p>
      <w:pPr>
        <w:pStyle w:val="BodyText"/>
        <w:spacing w:line="360" w:lineRule="auto" w:before="55"/>
        <w:ind w:left="100" w:right="128"/>
        <w:jc w:val="both"/>
      </w:pPr>
      <w:r>
        <w:rPr/>
        <w:t>Atelier Johnson en su búsqueda de replicar magníficas obras maestras más rápido y con mayor precisión, evaluó estrechamente varias técnicas. Su elección final fue Innov Metric Poly Works / Modeler, la solución de software de modelado 3D más completo del mercado:</w:t>
      </w:r>
    </w:p>
    <w:p>
      <w:pPr>
        <w:pStyle w:val="BodyText"/>
      </w:pPr>
    </w:p>
    <w:p>
      <w:pPr>
        <w:spacing w:line="360" w:lineRule="auto" w:before="140"/>
        <w:ind w:left="809" w:right="115" w:firstLine="0"/>
        <w:jc w:val="both"/>
        <w:rPr>
          <w:sz w:val="24"/>
        </w:rPr>
      </w:pPr>
      <w:r>
        <w:rPr>
          <w:i/>
          <w:sz w:val="20"/>
        </w:rPr>
        <w:t>Para eliminar la ineficiencia de su técnica de reproducción tradicional, Johnson Atelier saltó </w:t>
      </w:r>
      <w:r>
        <w:rPr>
          <w:i/>
          <w:sz w:val="20"/>
        </w:rPr>
        <w:t>hacia el futuro mediante la evaluación de los escáneres láser 3D y soluciones de software de procesamiento de nubes de puntos. Este enfoque revolucionario los llevó a PolyWorks / Modeler, solución de software de modelado de nubes de puntos del estado-of-the-art de Innov Metric. "Hemos evaluado varios paquetes de software de procesamiento de nubes  de puntos, y encontramos Poly Works para ser el mejor solución para unir nuestros procesos juntos ", declaró John Rannou, Ingeniero de Sistemas en Johnson Atelier. "PolyWorks / Modeler nos ofrece un conjunto completo de herramientas que nos permiten alinear rápidamente y malla densa de datos conjuntos, crear modelos maestros poligonales precisos que pueden ser editados y utilizados directamente para la molienda y rápida creación de prototipos, fabricación de moldes de fundición y, o exportados a otro software CAD / edición". </w:t>
      </w:r>
      <w:r>
        <w:rPr>
          <w:sz w:val="24"/>
        </w:rPr>
        <w:t>(Altelier,</w:t>
      </w:r>
      <w:r>
        <w:rPr>
          <w:spacing w:val="-8"/>
          <w:sz w:val="24"/>
        </w:rPr>
        <w:t> </w:t>
      </w:r>
      <w:r>
        <w:rPr>
          <w:sz w:val="24"/>
        </w:rPr>
        <w:t>2004).</w:t>
      </w:r>
    </w:p>
    <w:p>
      <w:pPr>
        <w:pStyle w:val="BodyText"/>
      </w:pPr>
    </w:p>
    <w:p>
      <w:pPr>
        <w:pStyle w:val="BodyText"/>
        <w:spacing w:line="360" w:lineRule="auto" w:before="142"/>
        <w:ind w:left="100" w:right="118"/>
        <w:jc w:val="both"/>
      </w:pPr>
      <w:r>
        <w:rPr/>
        <w:t>Es entonces como asegura el autor, el trabajo del artista original se digitaliza utilizando un digitalizador de nubes de puntos de alta densidad. Las diversas exploraciones se cargan en Poly Works y están alineados con precisión en un único modelo de nube de puntos 3D. El modelo de nube de puntos 3D está engranado para crear una poligonal de alta precisión modelo. El modelo poligonal se edita y luego ampliada por un factor de escala. El archivo de poligonal se exporta directamente como un archivo STL para el equipo mecanizado (CAM). Ver </w:t>
      </w:r>
      <w:hyperlink w:history="true" w:anchor="_bookmark103">
        <w:r>
          <w:rPr/>
          <w:t>Figura 2.49</w:t>
        </w:r>
      </w:hyperlink>
      <w:r>
        <w:rPr/>
        <w:t>.</w:t>
      </w:r>
    </w:p>
    <w:p>
      <w:pPr>
        <w:pStyle w:val="BodyText"/>
      </w:pPr>
    </w:p>
    <w:p>
      <w:pPr>
        <w:pStyle w:val="BodyText"/>
        <w:spacing w:before="142"/>
        <w:ind w:left="100"/>
        <w:jc w:val="both"/>
      </w:pPr>
      <w:r>
        <w:rPr/>
        <w:t>Los beneficios de utilizar este método son:</w:t>
      </w:r>
    </w:p>
    <w:p>
      <w:pPr>
        <w:pStyle w:val="ListParagraph"/>
        <w:numPr>
          <w:ilvl w:val="1"/>
          <w:numId w:val="29"/>
        </w:numPr>
        <w:tabs>
          <w:tab w:pos="820" w:val="left" w:leader="none"/>
          <w:tab w:pos="821" w:val="left" w:leader="none"/>
        </w:tabs>
        <w:spacing w:line="240" w:lineRule="auto" w:before="140" w:after="0"/>
        <w:ind w:left="821" w:right="0" w:hanging="361"/>
        <w:jc w:val="left"/>
        <w:rPr>
          <w:sz w:val="24"/>
        </w:rPr>
      </w:pPr>
      <w:r>
        <w:rPr>
          <w:sz w:val="24"/>
        </w:rPr>
        <w:t>Una reducción del 83% del tiempo total</w:t>
      </w:r>
      <w:r>
        <w:rPr>
          <w:spacing w:val="-32"/>
          <w:sz w:val="24"/>
        </w:rPr>
        <w:t> </w:t>
      </w:r>
      <w:r>
        <w:rPr>
          <w:sz w:val="24"/>
        </w:rPr>
        <w:t>requisitos.</w:t>
      </w:r>
    </w:p>
    <w:p>
      <w:pPr>
        <w:pStyle w:val="BodyText"/>
      </w:pPr>
    </w:p>
    <w:p>
      <w:pPr>
        <w:pStyle w:val="BodyText"/>
        <w:spacing w:before="9"/>
        <w:rPr>
          <w:sz w:val="23"/>
        </w:rPr>
      </w:pPr>
    </w:p>
    <w:p>
      <w:pPr>
        <w:pStyle w:val="ListParagraph"/>
        <w:numPr>
          <w:ilvl w:val="1"/>
          <w:numId w:val="29"/>
        </w:numPr>
        <w:tabs>
          <w:tab w:pos="820" w:val="left" w:leader="none"/>
          <w:tab w:pos="821" w:val="left" w:leader="none"/>
        </w:tabs>
        <w:spacing w:line="240" w:lineRule="auto" w:before="1" w:after="0"/>
        <w:ind w:left="821" w:right="0" w:hanging="361"/>
        <w:jc w:val="left"/>
        <w:rPr>
          <w:sz w:val="24"/>
        </w:rPr>
      </w:pPr>
      <w:r>
        <w:rPr>
          <w:sz w:val="24"/>
        </w:rPr>
        <w:t>La ampliación de varios objetos por más de 14</w:t>
      </w:r>
      <w:r>
        <w:rPr>
          <w:spacing w:val="-24"/>
          <w:sz w:val="24"/>
        </w:rPr>
        <w:t> </w:t>
      </w:r>
      <w:r>
        <w:rPr>
          <w:sz w:val="24"/>
        </w:rPr>
        <w:t>veces.</w:t>
      </w:r>
    </w:p>
    <w:p>
      <w:pPr>
        <w:spacing w:after="0" w:line="240" w:lineRule="auto"/>
        <w:jc w:val="left"/>
        <w:rPr>
          <w:sz w:val="24"/>
        </w:rPr>
        <w:sectPr>
          <w:pgSz w:w="12240" w:h="15840"/>
          <w:pgMar w:header="0" w:footer="1031" w:top="1360" w:bottom="1220" w:left="1600" w:right="1580"/>
        </w:sectPr>
      </w:pPr>
    </w:p>
    <w:p>
      <w:pPr>
        <w:pStyle w:val="ListParagraph"/>
        <w:numPr>
          <w:ilvl w:val="1"/>
          <w:numId w:val="29"/>
        </w:numPr>
        <w:tabs>
          <w:tab w:pos="820" w:val="left" w:leader="none"/>
          <w:tab w:pos="821" w:val="left" w:leader="none"/>
        </w:tabs>
        <w:spacing w:line="352" w:lineRule="auto" w:before="35" w:after="0"/>
        <w:ind w:left="821" w:right="118" w:hanging="361"/>
        <w:jc w:val="left"/>
        <w:rPr>
          <w:sz w:val="24"/>
        </w:rPr>
      </w:pPr>
      <w:r>
        <w:rPr>
          <w:sz w:val="24"/>
        </w:rPr>
        <w:t>Los objetos finales son casi idénticas a los modelos originales, preservando al mismo grado de</w:t>
      </w:r>
      <w:r>
        <w:rPr>
          <w:spacing w:val="-18"/>
          <w:sz w:val="24"/>
        </w:rPr>
        <w:t> </w:t>
      </w:r>
      <w:r>
        <w:rPr>
          <w:sz w:val="24"/>
        </w:rPr>
        <w:t>detalle.</w:t>
      </w:r>
    </w:p>
    <w:p>
      <w:pPr>
        <w:pStyle w:val="BodyText"/>
      </w:pPr>
    </w:p>
    <w:p>
      <w:pPr>
        <w:pStyle w:val="ListParagraph"/>
        <w:numPr>
          <w:ilvl w:val="1"/>
          <w:numId w:val="29"/>
        </w:numPr>
        <w:tabs>
          <w:tab w:pos="884" w:val="left" w:leader="none"/>
          <w:tab w:pos="885" w:val="left" w:leader="none"/>
        </w:tabs>
        <w:spacing w:line="352" w:lineRule="auto" w:before="150" w:after="0"/>
        <w:ind w:left="885" w:right="128" w:hanging="361"/>
        <w:jc w:val="left"/>
        <w:rPr>
          <w:sz w:val="24"/>
        </w:rPr>
      </w:pPr>
      <w:r>
        <w:rPr>
          <w:sz w:val="24"/>
        </w:rPr>
        <w:t>El uso de metas físicas durante digitalización no es necesario. Los objetos y escáner también se pueden mover durante el proceso de</w:t>
      </w:r>
      <w:r>
        <w:rPr>
          <w:spacing w:val="-40"/>
          <w:sz w:val="24"/>
        </w:rPr>
        <w:t> </w:t>
      </w:r>
      <w:r>
        <w:rPr>
          <w:sz w:val="24"/>
        </w:rPr>
        <w:t>digitalización.</w:t>
      </w:r>
    </w:p>
    <w:p>
      <w:pPr>
        <w:pStyle w:val="BodyText"/>
      </w:pPr>
    </w:p>
    <w:p>
      <w:pPr>
        <w:pStyle w:val="ListParagraph"/>
        <w:numPr>
          <w:ilvl w:val="1"/>
          <w:numId w:val="29"/>
        </w:numPr>
        <w:tabs>
          <w:tab w:pos="884" w:val="left" w:leader="none"/>
          <w:tab w:pos="885" w:val="left" w:leader="none"/>
        </w:tabs>
        <w:spacing w:line="350" w:lineRule="auto" w:before="150" w:after="0"/>
        <w:ind w:left="885" w:right="117" w:hanging="361"/>
        <w:jc w:val="left"/>
        <w:rPr>
          <w:sz w:val="24"/>
        </w:rPr>
      </w:pPr>
      <w:r>
        <w:rPr>
          <w:sz w:val="24"/>
        </w:rPr>
        <w:t>La escultura original no necesariamente tienen que ser llevados a la de fundición, como el escaneo se puede hacer en el</w:t>
      </w:r>
      <w:r>
        <w:rPr>
          <w:spacing w:val="-31"/>
          <w:sz w:val="24"/>
        </w:rPr>
        <w:t> </w:t>
      </w:r>
      <w:r>
        <w:rPr>
          <w:sz w:val="24"/>
        </w:rPr>
        <w:t>lugar.</w:t>
      </w:r>
    </w:p>
    <w:p>
      <w:pPr>
        <w:pStyle w:val="ListParagraph"/>
        <w:numPr>
          <w:ilvl w:val="1"/>
          <w:numId w:val="29"/>
        </w:numPr>
        <w:tabs>
          <w:tab w:pos="884" w:val="left" w:leader="none"/>
          <w:tab w:pos="885" w:val="left" w:leader="none"/>
        </w:tabs>
        <w:spacing w:line="240" w:lineRule="auto" w:before="17" w:after="0"/>
        <w:ind w:left="885" w:right="0" w:hanging="361"/>
        <w:jc w:val="left"/>
        <w:rPr>
          <w:sz w:val="24"/>
        </w:rPr>
      </w:pPr>
      <w:r>
        <w:rPr>
          <w:spacing w:val="-2"/>
          <w:sz w:val="24"/>
        </w:rPr>
        <w:t>Más </w:t>
      </w:r>
      <w:r>
        <w:rPr>
          <w:sz w:val="24"/>
        </w:rPr>
        <w:t>proyectos se dieron cuenta de todos los</w:t>
      </w:r>
      <w:r>
        <w:rPr>
          <w:spacing w:val="-17"/>
          <w:sz w:val="24"/>
        </w:rPr>
        <w:t> </w:t>
      </w:r>
      <w:r>
        <w:rPr>
          <w:sz w:val="24"/>
        </w:rPr>
        <w:t>años.</w:t>
      </w:r>
    </w:p>
    <w:p>
      <w:pPr>
        <w:pStyle w:val="ListParagraph"/>
        <w:numPr>
          <w:ilvl w:val="1"/>
          <w:numId w:val="29"/>
        </w:numPr>
        <w:tabs>
          <w:tab w:pos="884" w:val="left" w:leader="none"/>
          <w:tab w:pos="885" w:val="left" w:leader="none"/>
        </w:tabs>
        <w:spacing w:line="352" w:lineRule="auto" w:before="133" w:after="0"/>
        <w:ind w:left="885" w:right="127" w:hanging="361"/>
        <w:jc w:val="left"/>
        <w:rPr>
          <w:sz w:val="24"/>
        </w:rPr>
      </w:pPr>
      <w:r>
        <w:rPr>
          <w:sz w:val="24"/>
        </w:rPr>
        <w:t>Formación integral ofreciendo apoyo técnico directo a los usuarios para la asistencia inmediata durante</w:t>
      </w:r>
      <w:r>
        <w:rPr>
          <w:spacing w:val="-18"/>
          <w:sz w:val="24"/>
        </w:rPr>
        <w:t> </w:t>
      </w:r>
      <w:r>
        <w:rPr>
          <w:sz w:val="24"/>
        </w:rPr>
        <w:t>proyectos.</w:t>
      </w:r>
    </w:p>
    <w:p>
      <w:pPr>
        <w:pStyle w:val="BodyText"/>
        <w:rPr>
          <w:sz w:val="20"/>
        </w:rPr>
      </w:pPr>
    </w:p>
    <w:p>
      <w:pPr>
        <w:pStyle w:val="BodyText"/>
        <w:spacing w:before="7"/>
        <w:rPr>
          <w:sz w:val="13"/>
        </w:rPr>
      </w:pPr>
      <w:r>
        <w:rPr/>
        <w:drawing>
          <wp:anchor distT="0" distB="0" distL="0" distR="0" allowOverlap="1" layoutInCell="1" locked="0" behindDoc="0" simplePos="0" relativeHeight="1840">
            <wp:simplePos x="0" y="0"/>
            <wp:positionH relativeFrom="page">
              <wp:posOffset>3038475</wp:posOffset>
            </wp:positionH>
            <wp:positionV relativeFrom="paragraph">
              <wp:posOffset>124295</wp:posOffset>
            </wp:positionV>
            <wp:extent cx="1690353" cy="2428875"/>
            <wp:effectExtent l="0" t="0" r="0" b="0"/>
            <wp:wrapTopAndBottom/>
            <wp:docPr id="167" name="image84.jpeg" descr=""/>
            <wp:cNvGraphicFramePr>
              <a:graphicFrameLocks noChangeAspect="1"/>
            </wp:cNvGraphicFramePr>
            <a:graphic>
              <a:graphicData uri="http://schemas.openxmlformats.org/drawingml/2006/picture">
                <pic:pic>
                  <pic:nvPicPr>
                    <pic:cNvPr id="168" name="image84.jpeg"/>
                    <pic:cNvPicPr/>
                  </pic:nvPicPr>
                  <pic:blipFill>
                    <a:blip r:embed="rId144" cstate="print"/>
                    <a:stretch>
                      <a:fillRect/>
                    </a:stretch>
                  </pic:blipFill>
                  <pic:spPr>
                    <a:xfrm>
                      <a:off x="0" y="0"/>
                      <a:ext cx="1690353" cy="2428875"/>
                    </a:xfrm>
                    <a:prstGeom prst="rect">
                      <a:avLst/>
                    </a:prstGeom>
                  </pic:spPr>
                </pic:pic>
              </a:graphicData>
            </a:graphic>
          </wp:anchor>
        </w:drawing>
      </w:r>
    </w:p>
    <w:p>
      <w:pPr>
        <w:spacing w:line="240" w:lineRule="auto" w:before="63"/>
        <w:ind w:left="1297" w:right="1083" w:hanging="7"/>
        <w:jc w:val="center"/>
        <w:rPr>
          <w:sz w:val="18"/>
        </w:rPr>
      </w:pPr>
      <w:bookmarkStart w:name="_bookmark103" w:id="155"/>
      <w:bookmarkEnd w:id="155"/>
      <w:r>
        <w:rPr/>
      </w:r>
      <w:r>
        <w:rPr>
          <w:sz w:val="18"/>
        </w:rPr>
        <w:t>Figura 2.49. Escultura de un aviador ampliado seis veces. (Fuente: </w:t>
      </w:r>
      <w:hyperlink r:id="rId145">
        <w:r>
          <w:rPr>
            <w:sz w:val="18"/>
          </w:rPr>
          <w:t>http://www.innovmetric.com/polyworks/3D-</w:t>
        </w:r>
      </w:hyperlink>
      <w:r>
        <w:rPr>
          <w:sz w:val="18"/>
        </w:rPr>
        <w:t> </w:t>
      </w:r>
      <w:hyperlink r:id="rId145">
        <w:r>
          <w:rPr>
            <w:sz w:val="18"/>
          </w:rPr>
          <w:t>scanners/pdf/PolyWorks_CaseStudy_Johnson_Atelier.pdf,</w:t>
        </w:r>
      </w:hyperlink>
      <w:r>
        <w:rPr>
          <w:sz w:val="18"/>
        </w:rPr>
        <w:t> consultado el día 22 de noviembre de 2014).</w:t>
      </w:r>
    </w:p>
    <w:p>
      <w:pPr>
        <w:pStyle w:val="BodyText"/>
        <w:rPr>
          <w:sz w:val="18"/>
        </w:rPr>
      </w:pPr>
    </w:p>
    <w:p>
      <w:pPr>
        <w:pStyle w:val="BodyText"/>
        <w:spacing w:before="6"/>
        <w:rPr>
          <w:sz w:val="18"/>
        </w:rPr>
      </w:pPr>
    </w:p>
    <w:p>
      <w:pPr>
        <w:pStyle w:val="BodyText"/>
        <w:spacing w:line="360" w:lineRule="auto"/>
        <w:ind w:left="100" w:right="117"/>
        <w:jc w:val="both"/>
      </w:pPr>
      <w:r>
        <w:rPr/>
        <w:t>Otros ejemplos de procesos de escaneo los realizan en el taller de Laran Bronze Inc., en un caso de restauración fue que un águila de bronce estatua original de la galería de Alfred O. Deshong fue golpeada, y el ala robada en un acto de vandalismo; Laran Bronce Inc. fue capaz de escanear el ala restante, creando una imagen de espejo, entonces se modificó para que coincida con el ángulo y la propagación de la original; luego la armadura de acero inoxidable se le instaló en la base y una nueva a la de bronce para mayor seguridad, ver la </w:t>
      </w:r>
      <w:hyperlink w:history="true" w:anchor="_bookmark104">
        <w:r>
          <w:rPr/>
          <w:t>Figura</w:t>
        </w:r>
        <w:r>
          <w:rPr>
            <w:spacing w:val="-29"/>
          </w:rPr>
          <w:t> </w:t>
        </w:r>
        <w:r>
          <w:rPr/>
          <w:t>2.50</w:t>
        </w:r>
      </w:hyperlink>
      <w:r>
        <w:rPr/>
        <w:t>.</w:t>
      </w:r>
    </w:p>
    <w:p>
      <w:pPr>
        <w:spacing w:after="0" w:line="360" w:lineRule="auto"/>
        <w:jc w:val="both"/>
        <w:sectPr>
          <w:pgSz w:w="12240" w:h="15840"/>
          <w:pgMar w:header="0" w:footer="1031" w:top="1380" w:bottom="1220" w:left="1600" w:right="1580"/>
        </w:sectPr>
      </w:pPr>
    </w:p>
    <w:p>
      <w:pPr>
        <w:pStyle w:val="BodyText"/>
        <w:spacing w:before="10"/>
        <w:rPr>
          <w:sz w:val="28"/>
        </w:rPr>
      </w:pPr>
    </w:p>
    <w:p>
      <w:pPr>
        <w:spacing w:line="240" w:lineRule="auto"/>
        <w:ind w:left="474" w:right="0" w:firstLine="0"/>
        <w:rPr>
          <w:sz w:val="20"/>
        </w:rPr>
      </w:pPr>
      <w:r>
        <w:rPr>
          <w:sz w:val="20"/>
        </w:rPr>
        <w:pict>
          <v:group style="width:180.55pt;height:144.65pt;mso-position-horizontal-relative:char;mso-position-vertical-relative:line" coordorigin="0,0" coordsize="3611,2893">
            <v:shape style="position:absolute;left:0;top:0;width:3611;height:2893" type="#_x0000_t75" stroked="false">
              <v:imagedata r:id="rId146" o:title=""/>
            </v:shape>
            <v:shape style="position:absolute;left:107;top:2417;width:512;height:349" type="#_x0000_t75" stroked="false">
              <v:imagedata r:id="rId147" o:title=""/>
            </v:shape>
            <v:shape style="position:absolute;left:263;top:2518;width:160;height:180" type="#_x0000_t202" filled="false" stroked="false">
              <v:textbox inset="0,0,0,0">
                <w:txbxContent>
                  <w:p>
                    <w:pPr>
                      <w:spacing w:line="180" w:lineRule="exact" w:before="0"/>
                      <w:ind w:left="0" w:right="-19" w:firstLine="0"/>
                      <w:jc w:val="left"/>
                      <w:rPr>
                        <w:sz w:val="18"/>
                      </w:rPr>
                    </w:pPr>
                    <w:r>
                      <w:rPr>
                        <w:spacing w:val="-1"/>
                        <w:sz w:val="18"/>
                      </w:rPr>
                      <w:t>a)</w:t>
                    </w:r>
                  </w:p>
                </w:txbxContent>
              </v:textbox>
              <w10:wrap type="none"/>
            </v:shape>
          </v:group>
        </w:pict>
      </w:r>
      <w:r>
        <w:rPr>
          <w:sz w:val="20"/>
        </w:rPr>
      </w:r>
      <w:r>
        <w:rPr>
          <w:rFonts w:ascii="Times New Roman"/>
          <w:spacing w:val="40"/>
          <w:sz w:val="20"/>
        </w:rPr>
        <w:t> </w:t>
      </w:r>
      <w:r>
        <w:rPr>
          <w:spacing w:val="40"/>
          <w:position w:val="1"/>
          <w:sz w:val="20"/>
        </w:rPr>
        <w:pict>
          <v:group style="width:218.5pt;height:145pt;mso-position-horizontal-relative:char;mso-position-vertical-relative:line" coordorigin="0,0" coordsize="4370,2900">
            <v:shape style="position:absolute;left:0;top:0;width:4369;height:2900" type="#_x0000_t75" stroked="false">
              <v:imagedata r:id="rId148" o:title=""/>
            </v:shape>
            <v:shape style="position:absolute;left:3794;top:2429;width:512;height:349" type="#_x0000_t75" stroked="false">
              <v:imagedata r:id="rId149" o:title=""/>
            </v:shape>
            <v:shape style="position:absolute;left:3949;top:2531;width:160;height:180" type="#_x0000_t202" filled="false" stroked="false">
              <v:textbox inset="0,0,0,0">
                <w:txbxContent>
                  <w:p>
                    <w:pPr>
                      <w:spacing w:line="180" w:lineRule="exact" w:before="0"/>
                      <w:ind w:left="0" w:right="-19" w:firstLine="0"/>
                      <w:jc w:val="left"/>
                      <w:rPr>
                        <w:sz w:val="18"/>
                      </w:rPr>
                    </w:pPr>
                    <w:r>
                      <w:rPr>
                        <w:spacing w:val="-1"/>
                        <w:sz w:val="18"/>
                      </w:rPr>
                      <w:t>b)</w:t>
                    </w:r>
                  </w:p>
                </w:txbxContent>
              </v:textbox>
              <w10:wrap type="none"/>
            </v:shape>
          </v:group>
        </w:pict>
      </w:r>
      <w:r>
        <w:rPr>
          <w:spacing w:val="40"/>
          <w:position w:val="1"/>
          <w:sz w:val="20"/>
        </w:rPr>
      </w:r>
    </w:p>
    <w:p>
      <w:pPr>
        <w:spacing w:before="88"/>
        <w:ind w:left="1341" w:right="1107" w:hanging="6"/>
        <w:jc w:val="center"/>
        <w:rPr>
          <w:sz w:val="18"/>
        </w:rPr>
      </w:pPr>
      <w:bookmarkStart w:name="_bookmark104" w:id="156"/>
      <w:bookmarkEnd w:id="156"/>
      <w:r>
        <w:rPr/>
      </w:r>
      <w:r>
        <w:rPr>
          <w:sz w:val="18"/>
        </w:rPr>
        <w:t>Figura 2.50. El taller de producción LaranBronze Inc., a) Ala restaura colocada en espejo, b) Foto de escaneado 3D y ampliación (Fuente: </w:t>
      </w:r>
      <w:hyperlink r:id="rId150">
        <w:r>
          <w:rPr>
            <w:sz w:val="18"/>
          </w:rPr>
          <w:t>http://laranbronze.com/3d-</w:t>
        </w:r>
      </w:hyperlink>
      <w:r>
        <w:rPr>
          <w:sz w:val="18"/>
        </w:rPr>
        <w:t> scanning-and-enlarging/,  consultado el día 22 de noviembre  de 2013).</w:t>
      </w:r>
    </w:p>
    <w:p>
      <w:pPr>
        <w:pStyle w:val="BodyText"/>
        <w:rPr>
          <w:sz w:val="18"/>
        </w:rPr>
      </w:pPr>
    </w:p>
    <w:p>
      <w:pPr>
        <w:pStyle w:val="BodyText"/>
        <w:spacing w:before="2"/>
        <w:rPr>
          <w:sz w:val="18"/>
        </w:rPr>
      </w:pPr>
    </w:p>
    <w:p>
      <w:pPr>
        <w:pStyle w:val="BodyText"/>
        <w:spacing w:line="362" w:lineRule="auto"/>
        <w:ind w:left="100" w:right="101"/>
        <w:jc w:val="both"/>
      </w:pPr>
      <w:r>
        <w:rPr/>
        <w:t>Otro ejemplo de escaneo utilizado para posteriormente tallar en CNC un mármol lo podemos apreciar en el siguiente video, Ver </w:t>
      </w:r>
      <w:hyperlink w:history="true" w:anchor="_bookmark105">
        <w:r>
          <w:rPr/>
          <w:t>Figura 2.51</w:t>
        </w:r>
      </w:hyperlink>
    </w:p>
    <w:p>
      <w:pPr>
        <w:pStyle w:val="BodyText"/>
        <w:rPr>
          <w:sz w:val="20"/>
        </w:rPr>
      </w:pPr>
    </w:p>
    <w:p>
      <w:pPr>
        <w:pStyle w:val="BodyText"/>
        <w:spacing w:before="7"/>
        <w:rPr>
          <w:sz w:val="12"/>
        </w:rPr>
      </w:pPr>
      <w:r>
        <w:rPr/>
        <w:drawing>
          <wp:anchor distT="0" distB="0" distL="0" distR="0" allowOverlap="1" layoutInCell="1" locked="0" behindDoc="0" simplePos="0" relativeHeight="1960">
            <wp:simplePos x="0" y="0"/>
            <wp:positionH relativeFrom="page">
              <wp:posOffset>1762125</wp:posOffset>
            </wp:positionH>
            <wp:positionV relativeFrom="paragraph">
              <wp:posOffset>117358</wp:posOffset>
            </wp:positionV>
            <wp:extent cx="4222352" cy="1628775"/>
            <wp:effectExtent l="0" t="0" r="0" b="0"/>
            <wp:wrapTopAndBottom/>
            <wp:docPr id="169" name="image89.jpeg" descr=""/>
            <wp:cNvGraphicFramePr>
              <a:graphicFrameLocks noChangeAspect="1"/>
            </wp:cNvGraphicFramePr>
            <a:graphic>
              <a:graphicData uri="http://schemas.openxmlformats.org/drawingml/2006/picture">
                <pic:pic>
                  <pic:nvPicPr>
                    <pic:cNvPr id="170" name="image89.jpeg"/>
                    <pic:cNvPicPr/>
                  </pic:nvPicPr>
                  <pic:blipFill>
                    <a:blip r:embed="rId151" cstate="print"/>
                    <a:stretch>
                      <a:fillRect/>
                    </a:stretch>
                  </pic:blipFill>
                  <pic:spPr>
                    <a:xfrm>
                      <a:off x="0" y="0"/>
                      <a:ext cx="4222352" cy="1628775"/>
                    </a:xfrm>
                    <a:prstGeom prst="rect">
                      <a:avLst/>
                    </a:prstGeom>
                  </pic:spPr>
                </pic:pic>
              </a:graphicData>
            </a:graphic>
          </wp:anchor>
        </w:drawing>
      </w:r>
    </w:p>
    <w:p>
      <w:pPr>
        <w:spacing w:before="83"/>
        <w:ind w:left="1316" w:right="1089" w:firstLine="0"/>
        <w:jc w:val="center"/>
        <w:rPr>
          <w:sz w:val="18"/>
        </w:rPr>
      </w:pPr>
      <w:bookmarkStart w:name="_bookmark105" w:id="157"/>
      <w:bookmarkEnd w:id="157"/>
      <w:r>
        <w:rPr/>
      </w:r>
      <w:r>
        <w:rPr>
          <w:sz w:val="18"/>
        </w:rPr>
        <w:t>Figura 2.51. Escaneo 3D y el corte en una máquina CNC de 5 ejes, imágenes obtenidas de video Youtube (Fuente: </w:t>
      </w:r>
      <w:hyperlink r:id="rId152">
        <w:r>
          <w:rPr>
            <w:sz w:val="18"/>
          </w:rPr>
          <w:t>http://www.youtube.com/watch?v=1p-</w:t>
        </w:r>
      </w:hyperlink>
      <w:r>
        <w:rPr>
          <w:sz w:val="18"/>
        </w:rPr>
        <w:t> </w:t>
      </w:r>
      <w:hyperlink r:id="rId152">
        <w:r>
          <w:rPr>
            <w:sz w:val="18"/>
          </w:rPr>
          <w:t>nTYKPo_I,</w:t>
        </w:r>
      </w:hyperlink>
      <w:r>
        <w:rPr>
          <w:sz w:val="18"/>
        </w:rPr>
        <w:t>  consultado el  29 de marzo de 2014).</w:t>
      </w:r>
    </w:p>
    <w:p>
      <w:pPr>
        <w:pStyle w:val="BodyText"/>
        <w:rPr>
          <w:sz w:val="18"/>
        </w:rPr>
      </w:pPr>
    </w:p>
    <w:p>
      <w:pPr>
        <w:pStyle w:val="BodyText"/>
        <w:spacing w:before="3"/>
        <w:rPr>
          <w:sz w:val="18"/>
        </w:rPr>
      </w:pPr>
    </w:p>
    <w:p>
      <w:pPr>
        <w:pStyle w:val="BodyText"/>
        <w:spacing w:line="360" w:lineRule="auto"/>
        <w:ind w:left="100" w:right="99"/>
        <w:jc w:val="both"/>
      </w:pPr>
      <w:r>
        <w:rPr/>
        <w:t>Para concluir, el escáner es una herramienta importante en los procesos de arte y restauración, como lo menciona Lozano la manera de intervenir los procesos tradicionales con este tipo de tecnologías:</w:t>
      </w:r>
    </w:p>
    <w:p>
      <w:pPr>
        <w:pStyle w:val="BodyText"/>
      </w:pPr>
    </w:p>
    <w:p>
      <w:pPr>
        <w:spacing w:line="360" w:lineRule="auto" w:before="139"/>
        <w:ind w:left="809" w:right="108" w:firstLine="0"/>
        <w:jc w:val="both"/>
        <w:rPr>
          <w:i/>
          <w:sz w:val="20"/>
        </w:rPr>
      </w:pPr>
      <w:r>
        <w:rPr>
          <w:i/>
          <w:sz w:val="20"/>
        </w:rPr>
        <w:t>Dentro de los procedimientos tradicionales de reproducción tridimensional debemos añadir </w:t>
      </w:r>
      <w:r>
        <w:rPr>
          <w:i/>
          <w:sz w:val="20"/>
        </w:rPr>
        <w:t>unas nuevas herramientas que nos aporta la tecnología procedente de sectores industriales. Por un lado encontramos las herramientas de lectura formal, como son los escáneres tridimensionales, y por otra, las herramientas de materialización formal, como son las impresoras tridimensionales o los equipos de mecanización, ya sean de tres, varios</w:t>
      </w:r>
    </w:p>
    <w:p>
      <w:pPr>
        <w:spacing w:after="0" w:line="360" w:lineRule="auto"/>
        <w:jc w:val="both"/>
        <w:rPr>
          <w:sz w:val="20"/>
        </w:rPr>
        <w:sectPr>
          <w:pgSz w:w="12240" w:h="15840"/>
          <w:pgMar w:header="0" w:footer="1031" w:top="1500" w:bottom="1220" w:left="1600" w:right="1600"/>
        </w:sectPr>
      </w:pPr>
    </w:p>
    <w:p>
      <w:pPr>
        <w:spacing w:before="53"/>
        <w:ind w:left="809" w:right="0" w:firstLine="0"/>
        <w:jc w:val="both"/>
        <w:rPr>
          <w:i/>
          <w:sz w:val="20"/>
        </w:rPr>
      </w:pPr>
      <w:r>
        <w:rPr>
          <w:i/>
          <w:sz w:val="20"/>
        </w:rPr>
        <w:t>ejes o un robot de mecanizado. Estas tecnologías se fundamentan en la obtención de un</w:t>
      </w:r>
    </w:p>
    <w:p>
      <w:pPr>
        <w:spacing w:line="360" w:lineRule="auto" w:before="118"/>
        <w:ind w:left="809" w:right="99" w:firstLine="0"/>
        <w:jc w:val="both"/>
        <w:rPr>
          <w:sz w:val="24"/>
        </w:rPr>
      </w:pPr>
      <w:r>
        <w:rPr>
          <w:i/>
          <w:sz w:val="20"/>
        </w:rPr>
        <w:t>«archivo digital» y en su utilización para realizar la copia. Y a la vez nos pueden permitir el </w:t>
      </w:r>
      <w:r>
        <w:rPr>
          <w:i/>
          <w:sz w:val="20"/>
        </w:rPr>
        <w:t>diseño y materialización de objetos tridimensionales, réplicas de patrimonio tridimensional, registros de piezas arqueológicas, estudios comparativos de degradación de piezas, y confección de bibliotecas digitales o de museos virtuales. </w:t>
      </w:r>
      <w:r>
        <w:rPr>
          <w:sz w:val="24"/>
        </w:rPr>
        <w:t>(Lozano, 2012).</w:t>
      </w:r>
    </w:p>
    <w:p>
      <w:pPr>
        <w:pStyle w:val="BodyText"/>
      </w:pPr>
    </w:p>
    <w:p>
      <w:pPr>
        <w:pStyle w:val="BodyText"/>
        <w:spacing w:line="360" w:lineRule="auto" w:before="142"/>
        <w:ind w:left="100" w:right="101"/>
        <w:jc w:val="both"/>
      </w:pPr>
      <w:r>
        <w:rPr/>
        <w:t>Como lo muestra de ello, la réplica de Retablo de la pasión, muerte, resurrección y ascensión de Cristo, de Bernat Saulet (MEV 576) fue realizado por el escultor Francisco Javier Lozano Villardell (2012), en conjunto con Museo Episcopal de  Vic. A continuación observaremos el proceso de trabajo de restauración donde se observa claramente la resolución del problema que implica la restauración. Ver </w:t>
      </w:r>
      <w:hyperlink w:history="true" w:anchor="_bookmark106">
        <w:r>
          <w:rPr/>
          <w:t>Tabla</w:t>
        </w:r>
        <w:r>
          <w:rPr>
            <w:spacing w:val="-7"/>
          </w:rPr>
          <w:t> </w:t>
        </w:r>
        <w:r>
          <w:rPr/>
          <w:t>2.12</w:t>
        </w:r>
      </w:hyperlink>
      <w:r>
        <w:rPr/>
        <w:t>.</w:t>
      </w:r>
    </w:p>
    <w:p>
      <w:pPr>
        <w:pStyle w:val="BodyText"/>
      </w:pPr>
    </w:p>
    <w:p>
      <w:pPr>
        <w:spacing w:before="138"/>
        <w:ind w:left="1748" w:right="1021" w:hanging="484"/>
        <w:jc w:val="left"/>
        <w:rPr>
          <w:sz w:val="18"/>
        </w:rPr>
      </w:pPr>
      <w:bookmarkStart w:name="_bookmark106" w:id="158"/>
      <w:bookmarkEnd w:id="158"/>
      <w:r>
        <w:rPr/>
      </w:r>
      <w:r>
        <w:rPr>
          <w:sz w:val="18"/>
        </w:rPr>
        <w:t>Tabla 2.12. Proceso de escaneo y mecanizado para réplica de Retablo de la pasión, muerte, resurrección y ascensión de Cristo, de BernatSaulet (MEV 576).</w:t>
      </w:r>
    </w:p>
    <w:tbl>
      <w:tblPr>
        <w:tblW w:w="0" w:type="auto"/>
        <w:jc w:val="left"/>
        <w:tblInd w:w="949"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529"/>
        <w:gridCol w:w="3986"/>
      </w:tblGrid>
      <w:tr>
        <w:trPr>
          <w:trHeight w:val="325" w:hRule="exact"/>
        </w:trPr>
        <w:tc>
          <w:tcPr>
            <w:tcW w:w="3529" w:type="dxa"/>
          </w:tcPr>
          <w:p>
            <w:pPr>
              <w:pStyle w:val="TableParagraph"/>
              <w:spacing w:line="207" w:lineRule="exact"/>
              <w:ind w:left="156" w:right="156"/>
              <w:jc w:val="center"/>
              <w:rPr>
                <w:sz w:val="18"/>
              </w:rPr>
            </w:pPr>
            <w:r>
              <w:rPr>
                <w:sz w:val="18"/>
              </w:rPr>
              <w:t>Proceso</w:t>
            </w:r>
          </w:p>
        </w:tc>
        <w:tc>
          <w:tcPr>
            <w:tcW w:w="3986" w:type="dxa"/>
          </w:tcPr>
          <w:p>
            <w:pPr>
              <w:pStyle w:val="TableParagraph"/>
              <w:spacing w:line="207" w:lineRule="exact"/>
              <w:ind w:left="133" w:right="126"/>
              <w:jc w:val="center"/>
              <w:rPr>
                <w:sz w:val="18"/>
              </w:rPr>
            </w:pPr>
            <w:r>
              <w:rPr>
                <w:sz w:val="18"/>
              </w:rPr>
              <w:t>Imagen</w:t>
            </w:r>
          </w:p>
        </w:tc>
      </w:tr>
      <w:tr>
        <w:trPr>
          <w:trHeight w:val="4545" w:hRule="exact"/>
        </w:trPr>
        <w:tc>
          <w:tcPr>
            <w:tcW w:w="3529"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5"/>
              <w:rPr>
                <w:sz w:val="26"/>
              </w:rPr>
            </w:pPr>
          </w:p>
          <w:p>
            <w:pPr>
              <w:pStyle w:val="TableParagraph"/>
              <w:spacing w:before="1"/>
              <w:ind w:left="156" w:right="156"/>
              <w:jc w:val="center"/>
              <w:rPr>
                <w:sz w:val="18"/>
              </w:rPr>
            </w:pPr>
            <w:r>
              <w:rPr>
                <w:sz w:val="18"/>
              </w:rPr>
              <w:t>Pieza a reproducir.</w:t>
            </w:r>
          </w:p>
        </w:tc>
        <w:tc>
          <w:tcPr>
            <w:tcW w:w="3986" w:type="dxa"/>
          </w:tcPr>
          <w:p>
            <w:pPr>
              <w:pStyle w:val="TableParagraph"/>
              <w:spacing w:before="9"/>
              <w:rPr>
                <w:sz w:val="26"/>
              </w:rPr>
            </w:pPr>
          </w:p>
          <w:p>
            <w:pPr>
              <w:pStyle w:val="TableParagraph"/>
              <w:ind w:left="1012"/>
              <w:rPr>
                <w:sz w:val="20"/>
              </w:rPr>
            </w:pPr>
            <w:r>
              <w:rPr>
                <w:sz w:val="20"/>
              </w:rPr>
              <w:drawing>
                <wp:inline distT="0" distB="0" distL="0" distR="0">
                  <wp:extent cx="1232265" cy="1836134"/>
                  <wp:effectExtent l="0" t="0" r="0" b="0"/>
                  <wp:docPr id="171" name="image90.jpeg" descr=""/>
                  <wp:cNvGraphicFramePr>
                    <a:graphicFrameLocks noChangeAspect="1"/>
                  </wp:cNvGraphicFramePr>
                  <a:graphic>
                    <a:graphicData uri="http://schemas.openxmlformats.org/drawingml/2006/picture">
                      <pic:pic>
                        <pic:nvPicPr>
                          <pic:cNvPr id="172" name="image90.jpeg"/>
                          <pic:cNvPicPr/>
                        </pic:nvPicPr>
                        <pic:blipFill>
                          <a:blip r:embed="rId153" cstate="print"/>
                          <a:stretch>
                            <a:fillRect/>
                          </a:stretch>
                        </pic:blipFill>
                        <pic:spPr>
                          <a:xfrm>
                            <a:off x="0" y="0"/>
                            <a:ext cx="1232265" cy="1836134"/>
                          </a:xfrm>
                          <a:prstGeom prst="rect">
                            <a:avLst/>
                          </a:prstGeom>
                        </pic:spPr>
                      </pic:pic>
                    </a:graphicData>
                  </a:graphic>
                </wp:inline>
              </w:drawing>
            </w:r>
            <w:r>
              <w:rPr>
                <w:sz w:val="20"/>
              </w:rPr>
            </w:r>
          </w:p>
          <w:p>
            <w:pPr>
              <w:pStyle w:val="TableParagraph"/>
              <w:spacing w:line="362" w:lineRule="auto" w:before="87"/>
              <w:ind w:left="133" w:right="123"/>
              <w:jc w:val="center"/>
              <w:rPr>
                <w:sz w:val="18"/>
              </w:rPr>
            </w:pPr>
            <w:r>
              <w:rPr>
                <w:sz w:val="18"/>
              </w:rPr>
              <w:t>Retablo de la pasión, muerte, resurrección y ascensión de Cristo. BernatSaulet y colaboradores. 1341 a 1342.</w:t>
            </w:r>
          </w:p>
          <w:p>
            <w:pPr>
              <w:pStyle w:val="TableParagraph"/>
              <w:spacing w:line="205" w:lineRule="exact"/>
              <w:ind w:left="133" w:right="128"/>
              <w:jc w:val="center"/>
              <w:rPr>
                <w:sz w:val="18"/>
              </w:rPr>
            </w:pPr>
            <w:r>
              <w:rPr>
                <w:sz w:val="18"/>
              </w:rPr>
              <w:t>MEV 576.</w:t>
            </w:r>
          </w:p>
        </w:tc>
      </w:tr>
      <w:tr>
        <w:trPr>
          <w:trHeight w:val="2504" w:hRule="exact"/>
        </w:trPr>
        <w:tc>
          <w:tcPr>
            <w:tcW w:w="3529" w:type="dxa"/>
          </w:tcPr>
          <w:p>
            <w:pPr>
              <w:pStyle w:val="TableParagraph"/>
              <w:rPr>
                <w:sz w:val="18"/>
              </w:rPr>
            </w:pPr>
          </w:p>
          <w:p>
            <w:pPr>
              <w:pStyle w:val="TableParagraph"/>
              <w:rPr>
                <w:sz w:val="18"/>
              </w:rPr>
            </w:pPr>
          </w:p>
          <w:p>
            <w:pPr>
              <w:pStyle w:val="TableParagraph"/>
              <w:spacing w:before="9"/>
              <w:rPr>
                <w:sz w:val="17"/>
              </w:rPr>
            </w:pPr>
          </w:p>
          <w:p>
            <w:pPr>
              <w:pStyle w:val="TableParagraph"/>
              <w:ind w:left="156" w:right="154"/>
              <w:jc w:val="center"/>
              <w:rPr>
                <w:sz w:val="18"/>
              </w:rPr>
            </w:pPr>
            <w:r>
              <w:rPr>
                <w:sz w:val="18"/>
              </w:rPr>
              <w:t>Escaneo:</w:t>
            </w:r>
          </w:p>
          <w:p>
            <w:pPr>
              <w:pStyle w:val="TableParagraph"/>
              <w:rPr>
                <w:sz w:val="18"/>
              </w:rPr>
            </w:pPr>
          </w:p>
          <w:p>
            <w:pPr>
              <w:pStyle w:val="TableParagraph"/>
              <w:spacing w:before="10"/>
              <w:rPr>
                <w:sz w:val="17"/>
              </w:rPr>
            </w:pPr>
          </w:p>
          <w:p>
            <w:pPr>
              <w:pStyle w:val="TableParagraph"/>
              <w:spacing w:line="360" w:lineRule="auto" w:before="1"/>
              <w:ind w:left="154" w:right="160"/>
              <w:jc w:val="center"/>
              <w:rPr>
                <w:sz w:val="18"/>
              </w:rPr>
            </w:pPr>
            <w:r>
              <w:rPr>
                <w:sz w:val="18"/>
              </w:rPr>
              <w:t>Se obtiene una nube de puntos a partir del cual se genera una malla de triángulos que definen la superficie.</w:t>
            </w:r>
          </w:p>
        </w:tc>
        <w:tc>
          <w:tcPr>
            <w:tcW w:w="3986" w:type="dxa"/>
          </w:tcPr>
          <w:p>
            <w:pPr>
              <w:pStyle w:val="TableParagraph"/>
              <w:spacing w:before="10"/>
              <w:rPr>
                <w:sz w:val="26"/>
              </w:rPr>
            </w:pPr>
          </w:p>
          <w:p>
            <w:pPr>
              <w:pStyle w:val="TableParagraph"/>
              <w:ind w:left="1125"/>
              <w:rPr>
                <w:sz w:val="20"/>
              </w:rPr>
            </w:pPr>
            <w:r>
              <w:rPr>
                <w:sz w:val="20"/>
              </w:rPr>
              <w:drawing>
                <wp:inline distT="0" distB="0" distL="0" distR="0">
                  <wp:extent cx="1087931" cy="1115568"/>
                  <wp:effectExtent l="0" t="0" r="0" b="0"/>
                  <wp:docPr id="173" name="image91.jpeg" descr=""/>
                  <wp:cNvGraphicFramePr>
                    <a:graphicFrameLocks noChangeAspect="1"/>
                  </wp:cNvGraphicFramePr>
                  <a:graphic>
                    <a:graphicData uri="http://schemas.openxmlformats.org/drawingml/2006/picture">
                      <pic:pic>
                        <pic:nvPicPr>
                          <pic:cNvPr id="174" name="image91.jpeg"/>
                          <pic:cNvPicPr/>
                        </pic:nvPicPr>
                        <pic:blipFill>
                          <a:blip r:embed="rId154" cstate="print"/>
                          <a:stretch>
                            <a:fillRect/>
                          </a:stretch>
                        </pic:blipFill>
                        <pic:spPr>
                          <a:xfrm>
                            <a:off x="0" y="0"/>
                            <a:ext cx="1087931" cy="1115568"/>
                          </a:xfrm>
                          <a:prstGeom prst="rect">
                            <a:avLst/>
                          </a:prstGeom>
                        </pic:spPr>
                      </pic:pic>
                    </a:graphicData>
                  </a:graphic>
                </wp:inline>
              </w:drawing>
            </w:r>
            <w:r>
              <w:rPr>
                <w:sz w:val="20"/>
              </w:rPr>
            </w:r>
          </w:p>
          <w:p>
            <w:pPr>
              <w:pStyle w:val="TableParagraph"/>
              <w:spacing w:before="113"/>
              <w:ind w:left="133" w:right="131"/>
              <w:jc w:val="center"/>
              <w:rPr>
                <w:sz w:val="18"/>
              </w:rPr>
            </w:pPr>
            <w:r>
              <w:rPr>
                <w:sz w:val="18"/>
              </w:rPr>
              <w:t>Escáner tridimensional de la empresa Nub3D.</w:t>
            </w:r>
          </w:p>
        </w:tc>
      </w:tr>
    </w:tbl>
    <w:p>
      <w:pPr>
        <w:spacing w:after="0"/>
        <w:jc w:val="center"/>
        <w:rPr>
          <w:sz w:val="18"/>
        </w:rPr>
        <w:sectPr>
          <w:pgSz w:w="12240" w:h="15840"/>
          <w:pgMar w:header="0" w:footer="1031" w:top="1360" w:bottom="1220" w:left="1600" w:right="1600"/>
        </w:sectPr>
      </w:pPr>
    </w:p>
    <w:tbl>
      <w:tblPr>
        <w:tblW w:w="0" w:type="auto"/>
        <w:jc w:val="left"/>
        <w:tblInd w:w="829"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529"/>
        <w:gridCol w:w="3986"/>
      </w:tblGrid>
      <w:tr>
        <w:trPr>
          <w:trHeight w:val="2997" w:hRule="exact"/>
        </w:trPr>
        <w:tc>
          <w:tcPr>
            <w:tcW w:w="3529" w:type="dxa"/>
          </w:tcPr>
          <w:p>
            <w:pPr>
              <w:pStyle w:val="TableParagraph"/>
              <w:spacing w:line="203" w:lineRule="exact"/>
              <w:ind w:left="156" w:right="160"/>
              <w:jc w:val="center"/>
              <w:rPr>
                <w:sz w:val="18"/>
              </w:rPr>
            </w:pPr>
            <w:r>
              <w:rPr>
                <w:sz w:val="18"/>
              </w:rPr>
              <w:t>Mecanizado:</w:t>
            </w:r>
          </w:p>
          <w:p>
            <w:pPr>
              <w:pStyle w:val="TableParagraph"/>
              <w:rPr>
                <w:sz w:val="18"/>
              </w:rPr>
            </w:pPr>
          </w:p>
          <w:p>
            <w:pPr>
              <w:pStyle w:val="TableParagraph"/>
              <w:spacing w:before="10"/>
              <w:rPr>
                <w:sz w:val="17"/>
              </w:rPr>
            </w:pPr>
          </w:p>
          <w:p>
            <w:pPr>
              <w:pStyle w:val="TableParagraph"/>
              <w:spacing w:line="360" w:lineRule="auto"/>
              <w:ind w:left="156" w:right="160"/>
              <w:jc w:val="center"/>
              <w:rPr>
                <w:sz w:val="18"/>
              </w:rPr>
            </w:pPr>
            <w:r>
              <w:rPr>
                <w:sz w:val="18"/>
              </w:rPr>
              <w:t>El archivo obtenido mediante el escáner tridimensional, y una vez triangulado toda la nube de puntos para construir la superficie, es introducido en esta máquina y desbasta.</w:t>
            </w:r>
          </w:p>
        </w:tc>
        <w:tc>
          <w:tcPr>
            <w:tcW w:w="3986" w:type="dxa"/>
          </w:tcPr>
          <w:p>
            <w:pPr>
              <w:pStyle w:val="TableParagraph"/>
              <w:rPr>
                <w:sz w:val="27"/>
              </w:rPr>
            </w:pPr>
          </w:p>
          <w:p>
            <w:pPr>
              <w:pStyle w:val="TableParagraph"/>
              <w:ind w:left="510"/>
              <w:rPr>
                <w:sz w:val="20"/>
              </w:rPr>
            </w:pPr>
            <w:r>
              <w:rPr>
                <w:sz w:val="20"/>
              </w:rPr>
              <w:drawing>
                <wp:inline distT="0" distB="0" distL="0" distR="0">
                  <wp:extent cx="1878911" cy="1237869"/>
                  <wp:effectExtent l="0" t="0" r="0" b="0"/>
                  <wp:docPr id="175" name="image92.jpeg" descr=""/>
                  <wp:cNvGraphicFramePr>
                    <a:graphicFrameLocks noChangeAspect="1"/>
                  </wp:cNvGraphicFramePr>
                  <a:graphic>
                    <a:graphicData uri="http://schemas.openxmlformats.org/drawingml/2006/picture">
                      <pic:pic>
                        <pic:nvPicPr>
                          <pic:cNvPr id="176" name="image92.jpeg"/>
                          <pic:cNvPicPr/>
                        </pic:nvPicPr>
                        <pic:blipFill>
                          <a:blip r:embed="rId155" cstate="print"/>
                          <a:stretch>
                            <a:fillRect/>
                          </a:stretch>
                        </pic:blipFill>
                        <pic:spPr>
                          <a:xfrm>
                            <a:off x="0" y="0"/>
                            <a:ext cx="1878911" cy="1237869"/>
                          </a:xfrm>
                          <a:prstGeom prst="rect">
                            <a:avLst/>
                          </a:prstGeom>
                        </pic:spPr>
                      </pic:pic>
                    </a:graphicData>
                  </a:graphic>
                </wp:inline>
              </w:drawing>
            </w:r>
            <w:r>
              <w:rPr>
                <w:sz w:val="20"/>
              </w:rPr>
            </w:r>
          </w:p>
          <w:p>
            <w:pPr>
              <w:pStyle w:val="TableParagraph"/>
              <w:spacing w:line="362" w:lineRule="auto" w:before="99"/>
              <w:ind w:left="1540" w:right="350" w:hanging="1165"/>
              <w:rPr>
                <w:sz w:val="18"/>
              </w:rPr>
            </w:pPr>
            <w:r>
              <w:rPr>
                <w:sz w:val="18"/>
              </w:rPr>
              <w:t>Interior del centro de mecanizado. Fresa trabajando.</w:t>
            </w:r>
          </w:p>
        </w:tc>
      </w:tr>
      <w:tr>
        <w:trPr>
          <w:trHeight w:val="3653" w:hRule="exact"/>
        </w:trPr>
        <w:tc>
          <w:tcPr>
            <w:tcW w:w="3529" w:type="dxa"/>
          </w:tcPr>
          <w:p>
            <w:pPr>
              <w:pStyle w:val="TableParagraph"/>
              <w:spacing w:before="4"/>
              <w:rPr>
                <w:sz w:val="26"/>
              </w:rPr>
            </w:pPr>
          </w:p>
          <w:p>
            <w:pPr>
              <w:pStyle w:val="TableParagraph"/>
              <w:ind w:left="156" w:right="156"/>
              <w:jc w:val="center"/>
              <w:rPr>
                <w:sz w:val="18"/>
              </w:rPr>
            </w:pPr>
            <w:r>
              <w:rPr>
                <w:sz w:val="18"/>
              </w:rPr>
              <w:t>Trabajos en el taller del escultor:</w:t>
            </w:r>
          </w:p>
          <w:p>
            <w:pPr>
              <w:pStyle w:val="TableParagraph"/>
              <w:rPr>
                <w:sz w:val="18"/>
              </w:rPr>
            </w:pPr>
          </w:p>
          <w:p>
            <w:pPr>
              <w:pStyle w:val="TableParagraph"/>
              <w:spacing w:before="3"/>
              <w:rPr>
                <w:sz w:val="18"/>
              </w:rPr>
            </w:pPr>
          </w:p>
          <w:p>
            <w:pPr>
              <w:pStyle w:val="TableParagraph"/>
              <w:spacing w:line="357" w:lineRule="auto"/>
              <w:ind w:left="156" w:right="152"/>
              <w:jc w:val="center"/>
              <w:rPr>
                <w:sz w:val="18"/>
              </w:rPr>
            </w:pPr>
            <w:r>
              <w:rPr>
                <w:sz w:val="18"/>
              </w:rPr>
              <w:t>Se ha de repasar toda la superficie terminando las</w:t>
            </w:r>
          </w:p>
          <w:p>
            <w:pPr>
              <w:pStyle w:val="TableParagraph"/>
              <w:spacing w:line="360" w:lineRule="auto" w:before="6"/>
              <w:ind w:left="104" w:right="102" w:hanging="5"/>
              <w:jc w:val="center"/>
              <w:rPr>
                <w:sz w:val="18"/>
              </w:rPr>
            </w:pPr>
            <w:r>
              <w:rPr>
                <w:sz w:val="18"/>
              </w:rPr>
              <w:t>formas, acentuando las líneas oscuras, moldeando el pelo y barbas, rizos; dibujando la forma completa de los ojos y oídos, así como terminando los detalles de manos, pies y vestiduras.</w:t>
            </w:r>
          </w:p>
        </w:tc>
        <w:tc>
          <w:tcPr>
            <w:tcW w:w="3986" w:type="dxa"/>
          </w:tcPr>
          <w:p>
            <w:pPr>
              <w:pStyle w:val="TableParagraph"/>
              <w:spacing w:before="9"/>
              <w:rPr>
                <w:sz w:val="26"/>
              </w:rPr>
            </w:pPr>
          </w:p>
          <w:p>
            <w:pPr>
              <w:pStyle w:val="TableParagraph"/>
              <w:ind w:left="547"/>
              <w:rPr>
                <w:sz w:val="20"/>
              </w:rPr>
            </w:pPr>
            <w:r>
              <w:rPr>
                <w:sz w:val="20"/>
              </w:rPr>
              <w:drawing>
                <wp:inline distT="0" distB="0" distL="0" distR="0">
                  <wp:extent cx="1806725" cy="1257300"/>
                  <wp:effectExtent l="0" t="0" r="0" b="0"/>
                  <wp:docPr id="177" name="image93.jpeg" descr=""/>
                  <wp:cNvGraphicFramePr>
                    <a:graphicFrameLocks noChangeAspect="1"/>
                  </wp:cNvGraphicFramePr>
                  <a:graphic>
                    <a:graphicData uri="http://schemas.openxmlformats.org/drawingml/2006/picture">
                      <pic:pic>
                        <pic:nvPicPr>
                          <pic:cNvPr id="178" name="image93.jpeg"/>
                          <pic:cNvPicPr/>
                        </pic:nvPicPr>
                        <pic:blipFill>
                          <a:blip r:embed="rId156" cstate="print"/>
                          <a:stretch>
                            <a:fillRect/>
                          </a:stretch>
                        </pic:blipFill>
                        <pic:spPr>
                          <a:xfrm>
                            <a:off x="0" y="0"/>
                            <a:ext cx="1806725" cy="1257300"/>
                          </a:xfrm>
                          <a:prstGeom prst="rect">
                            <a:avLst/>
                          </a:prstGeom>
                        </pic:spPr>
                      </pic:pic>
                    </a:graphicData>
                  </a:graphic>
                </wp:inline>
              </w:drawing>
            </w:r>
            <w:r>
              <w:rPr>
                <w:sz w:val="20"/>
              </w:rPr>
            </w:r>
          </w:p>
          <w:p>
            <w:pPr>
              <w:pStyle w:val="TableParagraph"/>
              <w:spacing w:line="360" w:lineRule="auto" w:before="108"/>
              <w:ind w:left="133" w:right="131"/>
              <w:jc w:val="center"/>
              <w:rPr>
                <w:sz w:val="18"/>
              </w:rPr>
            </w:pPr>
            <w:r>
              <w:rPr>
                <w:sz w:val="18"/>
              </w:rPr>
              <w:t>El escultor trabajando sobre la pieza. Al fondo de la imagen del ordenador con el archivo digital.</w:t>
            </w:r>
          </w:p>
        </w:tc>
      </w:tr>
      <w:tr>
        <w:trPr>
          <w:trHeight w:val="2881" w:hRule="exact"/>
        </w:trPr>
        <w:tc>
          <w:tcPr>
            <w:tcW w:w="3529" w:type="dxa"/>
          </w:tcPr>
          <w:p>
            <w:pPr>
              <w:pStyle w:val="TableParagraph"/>
              <w:spacing w:line="203" w:lineRule="exact"/>
              <w:ind w:left="156" w:right="156"/>
              <w:jc w:val="center"/>
              <w:rPr>
                <w:sz w:val="18"/>
              </w:rPr>
            </w:pPr>
            <w:r>
              <w:rPr>
                <w:sz w:val="18"/>
              </w:rPr>
              <w:t>Trabajos en el taller del escultor:</w:t>
            </w:r>
          </w:p>
          <w:p>
            <w:pPr>
              <w:pStyle w:val="TableParagraph"/>
              <w:rPr>
                <w:sz w:val="18"/>
              </w:rPr>
            </w:pPr>
          </w:p>
          <w:p>
            <w:pPr>
              <w:pStyle w:val="TableParagraph"/>
              <w:rPr>
                <w:sz w:val="18"/>
              </w:rPr>
            </w:pPr>
          </w:p>
          <w:p>
            <w:pPr>
              <w:pStyle w:val="TableParagraph"/>
              <w:rPr>
                <w:sz w:val="18"/>
              </w:rPr>
            </w:pPr>
          </w:p>
          <w:p>
            <w:pPr>
              <w:pStyle w:val="TableParagraph"/>
              <w:spacing w:line="360" w:lineRule="auto" w:before="104"/>
              <w:ind w:left="124" w:right="121" w:hanging="4"/>
              <w:jc w:val="center"/>
              <w:rPr>
                <w:sz w:val="18"/>
              </w:rPr>
            </w:pPr>
            <w:r>
              <w:rPr>
                <w:sz w:val="18"/>
              </w:rPr>
              <w:t>Se utilizan diferentes tipos de buriles de acero y en la parte de acabado y afinado usamos pequeñas escofinas metálicas y otras de papel de esmeril montado sobre palitos de madera.</w:t>
            </w:r>
          </w:p>
        </w:tc>
        <w:tc>
          <w:tcPr>
            <w:tcW w:w="3986" w:type="dxa"/>
          </w:tcPr>
          <w:p>
            <w:pPr>
              <w:pStyle w:val="TableParagraph"/>
              <w:spacing w:before="9"/>
              <w:rPr>
                <w:sz w:val="26"/>
              </w:rPr>
            </w:pPr>
          </w:p>
          <w:p>
            <w:pPr>
              <w:pStyle w:val="TableParagraph"/>
              <w:ind w:left="574"/>
              <w:rPr>
                <w:sz w:val="20"/>
              </w:rPr>
            </w:pPr>
            <w:r>
              <w:rPr>
                <w:sz w:val="20"/>
              </w:rPr>
              <w:drawing>
                <wp:inline distT="0" distB="0" distL="0" distR="0">
                  <wp:extent cx="1771558" cy="1156049"/>
                  <wp:effectExtent l="0" t="0" r="0" b="0"/>
                  <wp:docPr id="179" name="image94.jpeg" descr=""/>
                  <wp:cNvGraphicFramePr>
                    <a:graphicFrameLocks noChangeAspect="1"/>
                  </wp:cNvGraphicFramePr>
                  <a:graphic>
                    <a:graphicData uri="http://schemas.openxmlformats.org/drawingml/2006/picture">
                      <pic:pic>
                        <pic:nvPicPr>
                          <pic:cNvPr id="180" name="image94.jpeg"/>
                          <pic:cNvPicPr/>
                        </pic:nvPicPr>
                        <pic:blipFill>
                          <a:blip r:embed="rId157" cstate="print"/>
                          <a:stretch>
                            <a:fillRect/>
                          </a:stretch>
                        </pic:blipFill>
                        <pic:spPr>
                          <a:xfrm>
                            <a:off x="0" y="0"/>
                            <a:ext cx="1771558" cy="1156049"/>
                          </a:xfrm>
                          <a:prstGeom prst="rect">
                            <a:avLst/>
                          </a:prstGeom>
                        </pic:spPr>
                      </pic:pic>
                    </a:graphicData>
                  </a:graphic>
                </wp:inline>
              </w:drawing>
            </w:r>
            <w:r>
              <w:rPr>
                <w:sz w:val="20"/>
              </w:rPr>
            </w:r>
          </w:p>
          <w:p>
            <w:pPr>
              <w:pStyle w:val="TableParagraph"/>
              <w:spacing w:line="357" w:lineRule="auto" w:before="114"/>
              <w:ind w:left="1392" w:right="122" w:hanging="1249"/>
              <w:rPr>
                <w:sz w:val="18"/>
              </w:rPr>
            </w:pPr>
            <w:r>
              <w:rPr>
                <w:sz w:val="18"/>
              </w:rPr>
              <w:t>Trabajos de detalle sobre el follaje que decora las arquivoltas.</w:t>
            </w:r>
          </w:p>
        </w:tc>
      </w:tr>
      <w:tr>
        <w:trPr>
          <w:trHeight w:val="3173" w:hRule="exact"/>
        </w:trPr>
        <w:tc>
          <w:tcPr>
            <w:tcW w:w="3529" w:type="dxa"/>
          </w:tcPr>
          <w:p>
            <w:pPr>
              <w:pStyle w:val="TableParagraph"/>
              <w:spacing w:before="5"/>
              <w:rPr>
                <w:sz w:val="26"/>
              </w:rPr>
            </w:pPr>
          </w:p>
          <w:p>
            <w:pPr>
              <w:pStyle w:val="TableParagraph"/>
              <w:ind w:left="460" w:right="150"/>
              <w:rPr>
                <w:sz w:val="18"/>
              </w:rPr>
            </w:pPr>
            <w:r>
              <w:rPr>
                <w:sz w:val="18"/>
              </w:rPr>
              <w:t>Trabajos en el taller del escultor:</w:t>
            </w:r>
          </w:p>
          <w:p>
            <w:pPr>
              <w:pStyle w:val="TableParagraph"/>
              <w:rPr>
                <w:sz w:val="18"/>
              </w:rPr>
            </w:pPr>
          </w:p>
          <w:p>
            <w:pPr>
              <w:pStyle w:val="TableParagraph"/>
              <w:spacing w:before="10"/>
              <w:rPr>
                <w:sz w:val="17"/>
              </w:rPr>
            </w:pPr>
          </w:p>
          <w:p>
            <w:pPr>
              <w:pStyle w:val="TableParagraph"/>
              <w:spacing w:line="362" w:lineRule="auto"/>
              <w:ind w:left="168" w:right="150" w:firstLine="56"/>
              <w:rPr>
                <w:sz w:val="18"/>
              </w:rPr>
            </w:pPr>
            <w:r>
              <w:rPr>
                <w:sz w:val="18"/>
              </w:rPr>
              <w:t>Se procede a cortar en cartón duro las plantillas que darán la forma para cortar el vidrio azulado del fondo de cada una.</w:t>
            </w:r>
          </w:p>
        </w:tc>
        <w:tc>
          <w:tcPr>
            <w:tcW w:w="3986" w:type="dxa"/>
          </w:tcPr>
          <w:p>
            <w:pPr>
              <w:pStyle w:val="TableParagraph"/>
              <w:spacing w:before="7"/>
              <w:rPr>
                <w:sz w:val="26"/>
              </w:rPr>
            </w:pPr>
          </w:p>
          <w:p>
            <w:pPr>
              <w:pStyle w:val="TableParagraph"/>
              <w:ind w:left="757"/>
              <w:rPr>
                <w:sz w:val="20"/>
              </w:rPr>
            </w:pPr>
            <w:r>
              <w:rPr>
                <w:sz w:val="20"/>
              </w:rPr>
              <w:drawing>
                <wp:inline distT="0" distB="0" distL="0" distR="0">
                  <wp:extent cx="1546390" cy="1548955"/>
                  <wp:effectExtent l="0" t="0" r="0" b="0"/>
                  <wp:docPr id="181" name="image95.jpeg" descr=""/>
                  <wp:cNvGraphicFramePr>
                    <a:graphicFrameLocks noChangeAspect="1"/>
                  </wp:cNvGraphicFramePr>
                  <a:graphic>
                    <a:graphicData uri="http://schemas.openxmlformats.org/drawingml/2006/picture">
                      <pic:pic>
                        <pic:nvPicPr>
                          <pic:cNvPr id="182" name="image95.jpeg"/>
                          <pic:cNvPicPr/>
                        </pic:nvPicPr>
                        <pic:blipFill>
                          <a:blip r:embed="rId158" cstate="print"/>
                          <a:stretch>
                            <a:fillRect/>
                          </a:stretch>
                        </pic:blipFill>
                        <pic:spPr>
                          <a:xfrm>
                            <a:off x="0" y="0"/>
                            <a:ext cx="1546390" cy="1548955"/>
                          </a:xfrm>
                          <a:prstGeom prst="rect">
                            <a:avLst/>
                          </a:prstGeom>
                        </pic:spPr>
                      </pic:pic>
                    </a:graphicData>
                  </a:graphic>
                </wp:inline>
              </w:drawing>
            </w:r>
            <w:r>
              <w:rPr>
                <w:sz w:val="20"/>
              </w:rPr>
            </w:r>
          </w:p>
          <w:p>
            <w:pPr>
              <w:pStyle w:val="TableParagraph"/>
              <w:spacing w:before="102"/>
              <w:ind w:left="399" w:right="350"/>
              <w:rPr>
                <w:sz w:val="18"/>
              </w:rPr>
            </w:pPr>
            <w:r>
              <w:rPr>
                <w:sz w:val="18"/>
              </w:rPr>
              <w:t>Fondo de vidrio preparado para montar.</w:t>
            </w:r>
          </w:p>
        </w:tc>
      </w:tr>
    </w:tbl>
    <w:p>
      <w:pPr>
        <w:spacing w:after="0"/>
        <w:rPr>
          <w:sz w:val="18"/>
        </w:rPr>
        <w:sectPr>
          <w:pgSz w:w="12240" w:h="15840"/>
          <w:pgMar w:header="0" w:footer="1031" w:top="1420" w:bottom="1160" w:left="1720" w:right="1600"/>
        </w:sectPr>
      </w:pPr>
    </w:p>
    <w:tbl>
      <w:tblPr>
        <w:tblW w:w="0" w:type="auto"/>
        <w:jc w:val="left"/>
        <w:tblInd w:w="949"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7515"/>
      </w:tblGrid>
      <w:tr>
        <w:trPr>
          <w:trHeight w:val="3009" w:hRule="exact"/>
        </w:trPr>
        <w:tc>
          <w:tcPr>
            <w:tcW w:w="7515" w:type="dxa"/>
            <w:tcBorders>
              <w:bottom w:val="nil"/>
            </w:tcBorders>
          </w:tcPr>
          <w:p>
            <w:pPr>
              <w:pStyle w:val="TableParagraph"/>
              <w:rPr>
                <w:sz w:val="18"/>
              </w:rPr>
            </w:pPr>
          </w:p>
          <w:p>
            <w:pPr>
              <w:pStyle w:val="TableParagraph"/>
              <w:rPr>
                <w:sz w:val="18"/>
              </w:rPr>
            </w:pPr>
          </w:p>
          <w:p>
            <w:pPr>
              <w:pStyle w:val="TableParagraph"/>
              <w:spacing w:before="6"/>
              <w:rPr>
                <w:sz w:val="17"/>
              </w:rPr>
            </w:pPr>
          </w:p>
          <w:p>
            <w:pPr>
              <w:pStyle w:val="TableParagraph"/>
              <w:ind w:left="103" w:right="4088"/>
              <w:jc w:val="center"/>
              <w:rPr>
                <w:sz w:val="18"/>
              </w:rPr>
            </w:pPr>
            <w:r>
              <w:rPr>
                <w:sz w:val="18"/>
              </w:rPr>
              <w:t>Acabados:</w:t>
            </w:r>
          </w:p>
          <w:p>
            <w:pPr>
              <w:pStyle w:val="TableParagraph"/>
              <w:rPr>
                <w:sz w:val="18"/>
              </w:rPr>
            </w:pPr>
          </w:p>
          <w:p>
            <w:pPr>
              <w:pStyle w:val="TableParagraph"/>
              <w:rPr>
                <w:sz w:val="18"/>
              </w:rPr>
            </w:pPr>
          </w:p>
          <w:p>
            <w:pPr>
              <w:pStyle w:val="TableParagraph"/>
              <w:rPr>
                <w:sz w:val="18"/>
              </w:rPr>
            </w:pPr>
          </w:p>
          <w:p>
            <w:pPr>
              <w:pStyle w:val="TableParagraph"/>
              <w:spacing w:line="360" w:lineRule="auto" w:before="104"/>
              <w:ind w:left="104" w:right="4088"/>
              <w:jc w:val="center"/>
              <w:rPr>
                <w:sz w:val="18"/>
              </w:rPr>
            </w:pPr>
            <w:r>
              <w:rPr>
                <w:sz w:val="18"/>
              </w:rPr>
              <w:t>Terminado el montaje del vidrio de fondo, se procede a darle una pátina de envejecimiento y, para finalizar, doramos el follaje decorativo de las arquerías.</w:t>
            </w:r>
          </w:p>
        </w:tc>
      </w:tr>
      <w:tr>
        <w:trPr>
          <w:trHeight w:val="616" w:hRule="exact"/>
        </w:trPr>
        <w:tc>
          <w:tcPr>
            <w:tcW w:w="7515" w:type="dxa"/>
            <w:tcBorders>
              <w:top w:val="nil"/>
            </w:tcBorders>
          </w:tcPr>
          <w:p>
            <w:pPr>
              <w:pStyle w:val="TableParagraph"/>
              <w:spacing w:before="3"/>
              <w:rPr>
                <w:sz w:val="25"/>
              </w:rPr>
            </w:pPr>
          </w:p>
          <w:p>
            <w:pPr>
              <w:pStyle w:val="TableParagraph"/>
              <w:spacing w:before="1"/>
              <w:ind w:left="4789"/>
              <w:rPr>
                <w:sz w:val="18"/>
              </w:rPr>
            </w:pPr>
            <w:r>
              <w:rPr>
                <w:sz w:val="18"/>
              </w:rPr>
              <w:t>Escena finalizada.</w:t>
            </w:r>
          </w:p>
        </w:tc>
      </w:tr>
    </w:tbl>
    <w:p>
      <w:pPr>
        <w:spacing w:line="202" w:lineRule="exact" w:before="0"/>
        <w:ind w:left="1008" w:right="1029" w:firstLine="0"/>
        <w:jc w:val="center"/>
        <w:rPr>
          <w:sz w:val="18"/>
        </w:rPr>
      </w:pPr>
      <w:r>
        <w:rPr/>
        <w:pict>
          <v:line style="position:absolute;mso-position-horizontal-relative:page;mso-position-vertical-relative:paragraph;z-index:-284896" from="304.100006pt,-181.839981pt" to="304.100006pt,-.179991pt" stroked="true" strokeweight=".40002pt" strokecolor="#000000">
            <w10:wrap type="none"/>
          </v:line>
        </w:pict>
      </w:r>
      <w:r>
        <w:rPr/>
        <w:drawing>
          <wp:anchor distT="0" distB="0" distL="0" distR="0" allowOverlap="1" layoutInCell="1" locked="0" behindDoc="1" simplePos="0" relativeHeight="268150583">
            <wp:simplePos x="0" y="0"/>
            <wp:positionH relativeFrom="page">
              <wp:posOffset>4364735</wp:posOffset>
            </wp:positionH>
            <wp:positionV relativeFrom="paragraph">
              <wp:posOffset>-2104987</wp:posOffset>
            </wp:positionV>
            <wp:extent cx="1523518" cy="1844611"/>
            <wp:effectExtent l="0" t="0" r="0" b="0"/>
            <wp:wrapNone/>
            <wp:docPr id="183" name="image96.jpeg" descr=""/>
            <wp:cNvGraphicFramePr>
              <a:graphicFrameLocks noChangeAspect="1"/>
            </wp:cNvGraphicFramePr>
            <a:graphic>
              <a:graphicData uri="http://schemas.openxmlformats.org/drawingml/2006/picture">
                <pic:pic>
                  <pic:nvPicPr>
                    <pic:cNvPr id="184" name="image96.jpeg"/>
                    <pic:cNvPicPr/>
                  </pic:nvPicPr>
                  <pic:blipFill>
                    <a:blip r:embed="rId159" cstate="print"/>
                    <a:stretch>
                      <a:fillRect/>
                    </a:stretch>
                  </pic:blipFill>
                  <pic:spPr>
                    <a:xfrm>
                      <a:off x="0" y="0"/>
                      <a:ext cx="1523518" cy="1844611"/>
                    </a:xfrm>
                    <a:prstGeom prst="rect">
                      <a:avLst/>
                    </a:prstGeom>
                  </pic:spPr>
                </pic:pic>
              </a:graphicData>
            </a:graphic>
          </wp:anchor>
        </w:drawing>
      </w:r>
      <w:r>
        <w:rPr>
          <w:sz w:val="18"/>
        </w:rPr>
        <w:t>(Fuente: Lozano, 2012).</w:t>
      </w:r>
    </w:p>
    <w:p>
      <w:pPr>
        <w:pStyle w:val="BodyText"/>
        <w:rPr>
          <w:sz w:val="18"/>
        </w:rPr>
      </w:pPr>
    </w:p>
    <w:p>
      <w:pPr>
        <w:pStyle w:val="BodyText"/>
        <w:rPr>
          <w:sz w:val="18"/>
        </w:rPr>
      </w:pPr>
    </w:p>
    <w:p>
      <w:pPr>
        <w:pStyle w:val="BodyText"/>
        <w:spacing w:before="1"/>
        <w:rPr>
          <w:sz w:val="17"/>
        </w:rPr>
      </w:pPr>
    </w:p>
    <w:p>
      <w:pPr>
        <w:pStyle w:val="Heading2"/>
        <w:numPr>
          <w:ilvl w:val="1"/>
          <w:numId w:val="30"/>
        </w:numPr>
        <w:tabs>
          <w:tab w:pos="677" w:val="left" w:leader="none"/>
        </w:tabs>
        <w:spacing w:line="360" w:lineRule="auto" w:before="1" w:after="0"/>
        <w:ind w:left="676" w:right="120" w:hanging="576"/>
        <w:jc w:val="left"/>
      </w:pPr>
      <w:bookmarkStart w:name="2.8. Conclusiones de tecnología de model" w:id="159"/>
      <w:bookmarkEnd w:id="159"/>
      <w:r>
        <w:rPr/>
      </w:r>
      <w:bookmarkStart w:name="_bookmark107" w:id="160"/>
      <w:bookmarkEnd w:id="160"/>
      <w:r>
        <w:rPr/>
      </w:r>
      <w:bookmarkStart w:name="_bookmark107" w:id="161"/>
      <w:bookmarkEnd w:id="161"/>
      <w:r>
        <w:rPr/>
        <w:t>C</w:t>
      </w:r>
      <w:r>
        <w:rPr/>
        <w:t>onclusiones de tecnología de modelado 3D y su aplicación en la escultura</w:t>
      </w:r>
    </w:p>
    <w:p>
      <w:pPr>
        <w:pStyle w:val="BodyText"/>
        <w:spacing w:before="9"/>
        <w:rPr>
          <w:sz w:val="36"/>
        </w:rPr>
      </w:pPr>
    </w:p>
    <w:p>
      <w:pPr>
        <w:pStyle w:val="BodyText"/>
        <w:ind w:left="100" w:right="235"/>
      </w:pPr>
      <w:r>
        <w:rPr/>
        <w:t>De las tecnologías de modelado 3D podemos concluir con los siguientes puntos:</w:t>
      </w:r>
    </w:p>
    <w:p>
      <w:pPr>
        <w:pStyle w:val="BodyText"/>
      </w:pPr>
    </w:p>
    <w:p>
      <w:pPr>
        <w:pStyle w:val="BodyText"/>
      </w:pPr>
    </w:p>
    <w:p>
      <w:pPr>
        <w:pStyle w:val="ListParagraph"/>
        <w:numPr>
          <w:ilvl w:val="2"/>
          <w:numId w:val="30"/>
        </w:numPr>
        <w:tabs>
          <w:tab w:pos="821" w:val="left" w:leader="none"/>
        </w:tabs>
        <w:spacing w:line="360" w:lineRule="auto" w:before="0" w:after="0"/>
        <w:ind w:left="821" w:right="125" w:hanging="361"/>
        <w:jc w:val="both"/>
        <w:rPr>
          <w:sz w:val="24"/>
        </w:rPr>
      </w:pPr>
      <w:r>
        <w:rPr>
          <w:sz w:val="24"/>
        </w:rPr>
        <w:t>El RP es fabricación de una parte física, en tres dimensiones de forma arbitraria directamente de una descripción numérica (típicamente un modelo CAD) por un proceso rápido, totalmente</w:t>
      </w:r>
      <w:r>
        <w:rPr>
          <w:spacing w:val="-27"/>
          <w:sz w:val="24"/>
        </w:rPr>
        <w:t> </w:t>
      </w:r>
      <w:r>
        <w:rPr>
          <w:sz w:val="24"/>
        </w:rPr>
        <w:t>automatizado.</w:t>
      </w:r>
    </w:p>
    <w:p>
      <w:pPr>
        <w:pStyle w:val="BodyText"/>
      </w:pPr>
    </w:p>
    <w:p>
      <w:pPr>
        <w:pStyle w:val="ListParagraph"/>
        <w:numPr>
          <w:ilvl w:val="2"/>
          <w:numId w:val="30"/>
        </w:numPr>
        <w:tabs>
          <w:tab w:pos="821" w:val="left" w:leader="none"/>
        </w:tabs>
        <w:spacing w:line="357" w:lineRule="auto" w:before="141" w:after="0"/>
        <w:ind w:left="821" w:right="123" w:hanging="361"/>
        <w:jc w:val="both"/>
        <w:rPr>
          <w:sz w:val="24"/>
        </w:rPr>
      </w:pPr>
      <w:r>
        <w:rPr>
          <w:sz w:val="24"/>
        </w:rPr>
        <w:t>Los procesos de fabricación, manual o automatizada, se pueden clasificar como sustractivo, aditivo, o</w:t>
      </w:r>
      <w:r>
        <w:rPr>
          <w:spacing w:val="-19"/>
          <w:sz w:val="24"/>
        </w:rPr>
        <w:t> </w:t>
      </w:r>
      <w:r>
        <w:rPr>
          <w:sz w:val="24"/>
        </w:rPr>
        <w:t>formativa.</w:t>
      </w:r>
    </w:p>
    <w:p>
      <w:pPr>
        <w:pStyle w:val="BodyText"/>
      </w:pPr>
    </w:p>
    <w:p>
      <w:pPr>
        <w:pStyle w:val="ListParagraph"/>
        <w:numPr>
          <w:ilvl w:val="2"/>
          <w:numId w:val="30"/>
        </w:numPr>
        <w:tabs>
          <w:tab w:pos="821" w:val="left" w:leader="none"/>
        </w:tabs>
        <w:spacing w:line="360" w:lineRule="auto" w:before="145" w:after="0"/>
        <w:ind w:left="821" w:right="120" w:hanging="361"/>
        <w:jc w:val="both"/>
        <w:rPr>
          <w:sz w:val="24"/>
        </w:rPr>
      </w:pPr>
      <w:r>
        <w:rPr>
          <w:sz w:val="24"/>
        </w:rPr>
        <w:t>Las más importantes son: SLA, Estereolitografía; SGC, Fotopolimerización por luz; SLS, Sinterización selectiva láser; LOM, Fabricación de objetos laminados; FDM, Deposición de hilo</w:t>
      </w:r>
      <w:r>
        <w:rPr>
          <w:spacing w:val="-20"/>
          <w:sz w:val="24"/>
        </w:rPr>
        <w:t> </w:t>
      </w:r>
      <w:r>
        <w:rPr>
          <w:sz w:val="24"/>
        </w:rPr>
        <w:t>fundido.</w:t>
      </w:r>
    </w:p>
    <w:p>
      <w:pPr>
        <w:pStyle w:val="BodyText"/>
      </w:pPr>
    </w:p>
    <w:p>
      <w:pPr>
        <w:pStyle w:val="ListParagraph"/>
        <w:numPr>
          <w:ilvl w:val="2"/>
          <w:numId w:val="30"/>
        </w:numPr>
        <w:tabs>
          <w:tab w:pos="821" w:val="left" w:leader="none"/>
        </w:tabs>
        <w:spacing w:line="362" w:lineRule="auto" w:before="142" w:after="0"/>
        <w:ind w:left="821" w:right="115" w:hanging="361"/>
        <w:jc w:val="both"/>
        <w:rPr>
          <w:sz w:val="24"/>
        </w:rPr>
      </w:pPr>
      <w:r>
        <w:rPr>
          <w:sz w:val="24"/>
        </w:rPr>
        <w:t>Control Numérico Computarizado (CNC) es un sistema en el que una microcomputadora de control es parte integral de la</w:t>
      </w:r>
      <w:r>
        <w:rPr>
          <w:spacing w:val="-31"/>
          <w:sz w:val="24"/>
        </w:rPr>
        <w:t> </w:t>
      </w:r>
      <w:r>
        <w:rPr>
          <w:sz w:val="24"/>
        </w:rPr>
        <w:t>máquina.</w:t>
      </w:r>
    </w:p>
    <w:p>
      <w:pPr>
        <w:spacing w:after="0" w:line="362" w:lineRule="auto"/>
        <w:jc w:val="both"/>
        <w:rPr>
          <w:sz w:val="24"/>
        </w:rPr>
        <w:sectPr>
          <w:pgSz w:w="12240" w:h="15840"/>
          <w:pgMar w:header="0" w:footer="1031" w:top="1420" w:bottom="1220" w:left="1600" w:right="1580"/>
        </w:sectPr>
      </w:pPr>
    </w:p>
    <w:p>
      <w:pPr>
        <w:pStyle w:val="ListParagraph"/>
        <w:numPr>
          <w:ilvl w:val="0"/>
          <w:numId w:val="31"/>
        </w:numPr>
        <w:tabs>
          <w:tab w:pos="701" w:val="left" w:leader="none"/>
        </w:tabs>
        <w:spacing w:line="360" w:lineRule="auto" w:before="55" w:after="0"/>
        <w:ind w:left="701" w:right="118" w:hanging="361"/>
        <w:jc w:val="both"/>
        <w:rPr>
          <w:sz w:val="24"/>
        </w:rPr>
      </w:pPr>
      <w:r>
        <w:rPr>
          <w:sz w:val="24"/>
        </w:rPr>
        <w:t>El proceso de la CNC inicia con el Dibujo en 3D en algún software CAD/CAM, se monta la pieza en bruto a maquinar, luego se monta la herramienta y se programa la secuencia de corte, se efectúa el post proceso para el cálculo de coordenadas y se determina un origen de la máquina con la secuencia de corte; se transforma el pseudo código en código y se pone en marcha una simulación para evitar</w:t>
      </w:r>
      <w:r>
        <w:rPr>
          <w:spacing w:val="-36"/>
          <w:sz w:val="24"/>
        </w:rPr>
        <w:t> </w:t>
      </w:r>
      <w:r>
        <w:rPr>
          <w:sz w:val="24"/>
        </w:rPr>
        <w:t>colisiones.</w:t>
      </w:r>
    </w:p>
    <w:p>
      <w:pPr>
        <w:pStyle w:val="BodyText"/>
      </w:pPr>
    </w:p>
    <w:p>
      <w:pPr>
        <w:pStyle w:val="ListParagraph"/>
        <w:numPr>
          <w:ilvl w:val="0"/>
          <w:numId w:val="31"/>
        </w:numPr>
        <w:tabs>
          <w:tab w:pos="701" w:val="left" w:leader="none"/>
        </w:tabs>
        <w:spacing w:line="357" w:lineRule="auto" w:before="142" w:after="0"/>
        <w:ind w:left="701" w:right="126" w:hanging="361"/>
        <w:jc w:val="both"/>
        <w:rPr>
          <w:sz w:val="24"/>
        </w:rPr>
      </w:pPr>
      <w:r>
        <w:rPr>
          <w:sz w:val="24"/>
        </w:rPr>
        <w:t>Del proceso CNC se consideró enunciar: Corte chorro de agua, corte láser, y corte</w:t>
      </w:r>
      <w:r>
        <w:rPr>
          <w:spacing w:val="-12"/>
          <w:sz w:val="24"/>
        </w:rPr>
        <w:t> </w:t>
      </w:r>
      <w:r>
        <w:rPr>
          <w:sz w:val="24"/>
        </w:rPr>
        <w:t>plasma.</w:t>
      </w:r>
    </w:p>
    <w:p>
      <w:pPr>
        <w:pStyle w:val="BodyText"/>
      </w:pPr>
    </w:p>
    <w:p>
      <w:pPr>
        <w:pStyle w:val="ListParagraph"/>
        <w:numPr>
          <w:ilvl w:val="0"/>
          <w:numId w:val="31"/>
        </w:numPr>
        <w:tabs>
          <w:tab w:pos="701" w:val="left" w:leader="none"/>
        </w:tabs>
        <w:spacing w:line="362" w:lineRule="auto" w:before="145" w:after="0"/>
        <w:ind w:left="701" w:right="122" w:hanging="361"/>
        <w:jc w:val="both"/>
        <w:rPr>
          <w:sz w:val="24"/>
        </w:rPr>
      </w:pPr>
      <w:r>
        <w:rPr>
          <w:sz w:val="24"/>
        </w:rPr>
        <w:t>Se mencionó el proceso del escáner 3D e impresión 3D como tecnología de modelado</w:t>
      </w:r>
      <w:r>
        <w:rPr>
          <w:spacing w:val="-8"/>
          <w:sz w:val="24"/>
        </w:rPr>
        <w:t> </w:t>
      </w:r>
      <w:r>
        <w:rPr>
          <w:sz w:val="24"/>
        </w:rPr>
        <w:t>3D.</w:t>
      </w:r>
    </w:p>
    <w:p>
      <w:pPr>
        <w:pStyle w:val="BodyText"/>
      </w:pPr>
    </w:p>
    <w:p>
      <w:pPr>
        <w:pStyle w:val="ListParagraph"/>
        <w:numPr>
          <w:ilvl w:val="0"/>
          <w:numId w:val="31"/>
        </w:numPr>
        <w:tabs>
          <w:tab w:pos="701" w:val="left" w:leader="none"/>
        </w:tabs>
        <w:spacing w:line="360" w:lineRule="auto" w:before="140" w:after="0"/>
        <w:ind w:left="701" w:right="115" w:hanging="361"/>
        <w:jc w:val="both"/>
        <w:rPr>
          <w:sz w:val="24"/>
        </w:rPr>
      </w:pPr>
      <w:r>
        <w:rPr>
          <w:sz w:val="24"/>
        </w:rPr>
        <w:t>De software utilizado para escultura: Mathematica®, Surf-X®, K3DSurf®, Mudbox®, 3ds Max®, Maya®, Carrara®, Houdini®,  Blender®, Rhinoceros®, ZBrush® y</w:t>
      </w:r>
      <w:r>
        <w:rPr>
          <w:spacing w:val="-11"/>
          <w:sz w:val="24"/>
        </w:rPr>
        <w:t> </w:t>
      </w:r>
      <w:r>
        <w:rPr>
          <w:color w:val="333333"/>
          <w:sz w:val="24"/>
        </w:rPr>
        <w:t>Grasshopper®.</w:t>
      </w:r>
    </w:p>
    <w:p>
      <w:pPr>
        <w:pStyle w:val="BodyText"/>
      </w:pPr>
    </w:p>
    <w:p>
      <w:pPr>
        <w:pStyle w:val="BodyText"/>
        <w:spacing w:before="142"/>
        <w:ind w:left="701" w:right="104"/>
      </w:pPr>
      <w:r>
        <w:rPr/>
        <w:t>Se encontraron con mayor frecuencia el uso de tecnología con:</w:t>
      </w:r>
    </w:p>
    <w:p>
      <w:pPr>
        <w:pStyle w:val="BodyText"/>
      </w:pPr>
    </w:p>
    <w:p>
      <w:pPr>
        <w:pStyle w:val="BodyText"/>
      </w:pPr>
    </w:p>
    <w:p>
      <w:pPr>
        <w:pStyle w:val="ListParagraph"/>
        <w:numPr>
          <w:ilvl w:val="0"/>
          <w:numId w:val="31"/>
        </w:numPr>
        <w:tabs>
          <w:tab w:pos="701" w:val="left" w:leader="none"/>
        </w:tabs>
        <w:spacing w:line="357" w:lineRule="auto" w:before="0" w:after="0"/>
        <w:ind w:left="701" w:right="118" w:hanging="361"/>
        <w:jc w:val="both"/>
        <w:rPr>
          <w:sz w:val="24"/>
        </w:rPr>
      </w:pPr>
      <w:r>
        <w:rPr>
          <w:sz w:val="24"/>
        </w:rPr>
        <w:t>Impresoras 3D utilizadas por escultores: RepRap, Objet500 Connex3 Stratasys.</w:t>
      </w:r>
    </w:p>
    <w:p>
      <w:pPr>
        <w:pStyle w:val="BodyText"/>
      </w:pPr>
    </w:p>
    <w:p>
      <w:pPr>
        <w:pStyle w:val="ListParagraph"/>
        <w:numPr>
          <w:ilvl w:val="0"/>
          <w:numId w:val="31"/>
        </w:numPr>
        <w:tabs>
          <w:tab w:pos="701" w:val="left" w:leader="none"/>
        </w:tabs>
        <w:spacing w:line="240" w:lineRule="auto" w:before="145" w:after="0"/>
        <w:ind w:left="701" w:right="0" w:hanging="361"/>
        <w:jc w:val="left"/>
        <w:rPr>
          <w:sz w:val="24"/>
        </w:rPr>
      </w:pPr>
      <w:r>
        <w:rPr>
          <w:sz w:val="24"/>
        </w:rPr>
        <w:t>Casos de intervención de CNC: ampliación de escultura y</w:t>
      </w:r>
      <w:r>
        <w:rPr>
          <w:spacing w:val="-44"/>
          <w:sz w:val="24"/>
        </w:rPr>
        <w:t> </w:t>
      </w:r>
      <w:r>
        <w:rPr>
          <w:sz w:val="24"/>
        </w:rPr>
        <w:t>restauración.</w:t>
      </w:r>
    </w:p>
    <w:p>
      <w:pPr>
        <w:pStyle w:val="BodyText"/>
      </w:pPr>
    </w:p>
    <w:p>
      <w:pPr>
        <w:pStyle w:val="BodyText"/>
      </w:pPr>
    </w:p>
    <w:p>
      <w:pPr>
        <w:pStyle w:val="ListParagraph"/>
        <w:numPr>
          <w:ilvl w:val="0"/>
          <w:numId w:val="31"/>
        </w:numPr>
        <w:tabs>
          <w:tab w:pos="701" w:val="left" w:leader="none"/>
        </w:tabs>
        <w:spacing w:line="362" w:lineRule="auto" w:before="0" w:after="0"/>
        <w:ind w:left="701" w:right="119" w:hanging="361"/>
        <w:jc w:val="both"/>
        <w:rPr>
          <w:sz w:val="24"/>
        </w:rPr>
      </w:pPr>
      <w:r>
        <w:rPr>
          <w:sz w:val="24"/>
        </w:rPr>
        <w:t>Casos de uso de escáner 3D: ampliación de escultura, réplicas y restauración, escaneo de cuerpo completo, procesos continuos a</w:t>
      </w:r>
      <w:r>
        <w:rPr>
          <w:spacing w:val="-32"/>
          <w:sz w:val="24"/>
        </w:rPr>
        <w:t> </w:t>
      </w:r>
      <w:r>
        <w:rPr>
          <w:sz w:val="24"/>
        </w:rPr>
        <w:t>CNC.</w:t>
      </w:r>
    </w:p>
    <w:p>
      <w:pPr>
        <w:pStyle w:val="BodyText"/>
      </w:pPr>
    </w:p>
    <w:p>
      <w:pPr>
        <w:pStyle w:val="ListParagraph"/>
        <w:numPr>
          <w:ilvl w:val="0"/>
          <w:numId w:val="31"/>
        </w:numPr>
        <w:tabs>
          <w:tab w:pos="701" w:val="left" w:leader="none"/>
        </w:tabs>
        <w:spacing w:line="240" w:lineRule="auto" w:before="139" w:after="0"/>
        <w:ind w:left="701" w:right="0" w:hanging="361"/>
        <w:jc w:val="left"/>
        <w:rPr>
          <w:sz w:val="24"/>
        </w:rPr>
      </w:pPr>
      <w:r>
        <w:rPr>
          <w:sz w:val="24"/>
        </w:rPr>
        <w:t>Casos de uso de corte chorro de agua: talla de</w:t>
      </w:r>
      <w:r>
        <w:rPr>
          <w:spacing w:val="-29"/>
          <w:sz w:val="24"/>
        </w:rPr>
        <w:t> </w:t>
      </w:r>
      <w:r>
        <w:rPr>
          <w:sz w:val="24"/>
        </w:rPr>
        <w:t>mármol.</w:t>
      </w:r>
    </w:p>
    <w:p>
      <w:pPr>
        <w:pStyle w:val="BodyText"/>
      </w:pPr>
    </w:p>
    <w:p>
      <w:pPr>
        <w:pStyle w:val="BodyText"/>
      </w:pPr>
    </w:p>
    <w:p>
      <w:pPr>
        <w:pStyle w:val="ListParagraph"/>
        <w:numPr>
          <w:ilvl w:val="0"/>
          <w:numId w:val="31"/>
        </w:numPr>
        <w:tabs>
          <w:tab w:pos="701" w:val="left" w:leader="none"/>
        </w:tabs>
        <w:spacing w:line="240" w:lineRule="auto" w:before="0" w:after="0"/>
        <w:ind w:left="701" w:right="0" w:hanging="361"/>
        <w:jc w:val="left"/>
        <w:rPr>
          <w:sz w:val="24"/>
        </w:rPr>
      </w:pPr>
      <w:r>
        <w:rPr>
          <w:sz w:val="24"/>
        </w:rPr>
        <w:t>Casos de uso de corte láser:</w:t>
      </w:r>
      <w:r>
        <w:rPr>
          <w:spacing w:val="-21"/>
          <w:sz w:val="24"/>
        </w:rPr>
        <w:t> </w:t>
      </w:r>
      <w:r>
        <w:rPr>
          <w:sz w:val="24"/>
        </w:rPr>
        <w:t>ampliación.</w:t>
      </w:r>
    </w:p>
    <w:p>
      <w:pPr>
        <w:spacing w:after="0" w:line="240" w:lineRule="auto"/>
        <w:jc w:val="left"/>
        <w:rPr>
          <w:sz w:val="24"/>
        </w:rPr>
        <w:sectPr>
          <w:pgSz w:w="12240" w:h="15840"/>
          <w:pgMar w:header="0" w:footer="1031" w:top="1360" w:bottom="1160" w:left="1720" w:right="1580"/>
        </w:sectPr>
      </w:pPr>
    </w:p>
    <w:p>
      <w:pPr>
        <w:pStyle w:val="ListParagraph"/>
        <w:numPr>
          <w:ilvl w:val="1"/>
          <w:numId w:val="31"/>
        </w:numPr>
        <w:tabs>
          <w:tab w:pos="821" w:val="left" w:leader="none"/>
        </w:tabs>
        <w:spacing w:line="240" w:lineRule="auto" w:before="55" w:after="0"/>
        <w:ind w:left="821" w:right="0" w:hanging="361"/>
        <w:jc w:val="left"/>
        <w:rPr>
          <w:sz w:val="24"/>
        </w:rPr>
      </w:pPr>
      <w:r>
        <w:rPr>
          <w:sz w:val="24"/>
        </w:rPr>
        <w:t>Casos de uso de corte de plasma: escultura en</w:t>
      </w:r>
      <w:r>
        <w:rPr>
          <w:spacing w:val="-27"/>
          <w:sz w:val="24"/>
        </w:rPr>
        <w:t> </w:t>
      </w:r>
      <w:r>
        <w:rPr>
          <w:sz w:val="24"/>
        </w:rPr>
        <w:t>metal.</w:t>
      </w:r>
    </w:p>
    <w:p>
      <w:pPr>
        <w:pStyle w:val="BodyText"/>
      </w:pPr>
    </w:p>
    <w:p>
      <w:pPr>
        <w:pStyle w:val="BodyText"/>
        <w:spacing w:before="11"/>
        <w:rPr>
          <w:sz w:val="23"/>
        </w:rPr>
      </w:pPr>
    </w:p>
    <w:p>
      <w:pPr>
        <w:pStyle w:val="BodyText"/>
        <w:spacing w:line="360" w:lineRule="auto"/>
        <w:ind w:left="100" w:right="99"/>
        <w:jc w:val="both"/>
      </w:pPr>
      <w:r>
        <w:rPr/>
        <w:t>En general estos procesos digitales (previos digitales) permiten la detección temprana de errores durante el desarrollo de la pieza confirmada por Tortosa: el artista puede retocar y repetir el proceso hasta estar completamente satisfecho; deshacer y rehacer es fácil y barato en el mundo virtual.</w:t>
      </w:r>
    </w:p>
    <w:p>
      <w:pPr>
        <w:spacing w:after="0" w:line="360" w:lineRule="auto"/>
        <w:jc w:val="both"/>
        <w:sectPr>
          <w:pgSz w:w="12240" w:h="15840"/>
          <w:pgMar w:header="0" w:footer="1031" w:top="1360" w:bottom="1220" w:left="1600" w:right="16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ind w:right="2726"/>
      </w:pPr>
      <w:r>
        <w:rPr/>
        <w:t>Capítulo</w:t>
      </w:r>
    </w:p>
    <w:p>
      <w:pPr>
        <w:pStyle w:val="Heading2"/>
        <w:spacing w:before="240"/>
        <w:ind w:left="1833" w:firstLine="0"/>
        <w:jc w:val="left"/>
      </w:pPr>
      <w:bookmarkStart w:name="3. Conceptos básicos de sustentabilidad" w:id="162"/>
      <w:bookmarkEnd w:id="162"/>
      <w:r>
        <w:rPr/>
      </w:r>
      <w:bookmarkStart w:name="_bookmark108" w:id="163"/>
      <w:bookmarkEnd w:id="163"/>
      <w:r>
        <w:rPr/>
      </w:r>
      <w:r>
        <w:rPr/>
        <w:t>3.   Conceptos básicos de sustentabilidad</w:t>
      </w:r>
    </w:p>
    <w:p>
      <w:pPr>
        <w:spacing w:after="0"/>
        <w:jc w:val="left"/>
        <w:sectPr>
          <w:pgSz w:w="12240" w:h="15840"/>
          <w:pgMar w:header="0" w:footer="1031" w:top="1500" w:bottom="1220" w:left="1720" w:right="1600"/>
        </w:sectPr>
      </w:pPr>
    </w:p>
    <w:p>
      <w:pPr>
        <w:pStyle w:val="BodyText"/>
        <w:rPr>
          <w:sz w:val="20"/>
        </w:rPr>
      </w:pPr>
    </w:p>
    <w:p>
      <w:pPr>
        <w:pStyle w:val="Heading2"/>
        <w:numPr>
          <w:ilvl w:val="1"/>
          <w:numId w:val="32"/>
        </w:numPr>
        <w:tabs>
          <w:tab w:pos="677" w:val="left" w:leader="none"/>
        </w:tabs>
        <w:spacing w:line="240" w:lineRule="auto" w:before="184" w:after="0"/>
        <w:ind w:left="676" w:right="0" w:hanging="576"/>
        <w:jc w:val="both"/>
      </w:pPr>
      <w:bookmarkStart w:name="3.1. Introducción de capítulo" w:id="164"/>
      <w:bookmarkEnd w:id="164"/>
      <w:r>
        <w:rPr/>
      </w:r>
      <w:bookmarkStart w:name="_bookmark109" w:id="165"/>
      <w:bookmarkEnd w:id="165"/>
      <w:r>
        <w:rPr/>
      </w:r>
      <w:bookmarkStart w:name="_bookmark109" w:id="166"/>
      <w:bookmarkEnd w:id="166"/>
      <w:r>
        <w:rPr/>
        <w:t>I</w:t>
      </w:r>
      <w:r>
        <w:rPr/>
        <w:t>ntroducción de</w:t>
      </w:r>
      <w:r>
        <w:rPr>
          <w:spacing w:val="-7"/>
        </w:rPr>
        <w:t> </w:t>
      </w:r>
      <w:r>
        <w:rPr/>
        <w:t>capítulo</w:t>
      </w:r>
    </w:p>
    <w:p>
      <w:pPr>
        <w:pStyle w:val="BodyText"/>
        <w:rPr>
          <w:sz w:val="28"/>
        </w:rPr>
      </w:pPr>
    </w:p>
    <w:p>
      <w:pPr>
        <w:pStyle w:val="BodyText"/>
        <w:spacing w:before="5"/>
        <w:rPr>
          <w:sz w:val="22"/>
        </w:rPr>
      </w:pPr>
    </w:p>
    <w:p>
      <w:pPr>
        <w:pStyle w:val="BodyText"/>
        <w:spacing w:line="360" w:lineRule="auto"/>
        <w:ind w:left="100" w:right="117"/>
        <w:jc w:val="both"/>
      </w:pPr>
      <w:r>
        <w:rPr/>
        <w:t>En este apartado se mencionan los conceptos primarios que implican la sustentabilidad y el Análisis de Ciclo de Vida - ACV (en inglés </w:t>
      </w:r>
      <w:r>
        <w:rPr>
          <w:i/>
          <w:color w:val="212121"/>
        </w:rPr>
        <w:t>Life Cycle </w:t>
      </w:r>
      <w:r>
        <w:rPr>
          <w:i/>
          <w:color w:val="212121"/>
        </w:rPr>
        <w:t>Assessment</w:t>
      </w:r>
      <w:r>
        <w:rPr>
          <w:color w:val="212121"/>
        </w:rPr>
        <w:t>, </w:t>
      </w:r>
      <w:r>
        <w:rPr/>
        <w:t>LCA) que se utiliza en el capítulo 5. Se enuncia el concepto de Análisis de Vida y sus aplicaciones; las etapas del ACV, su objeto de estudio, análisis de inventario, evaluación de impacto, cálculo de indicadores, y metodologías básicas para su evaluación.</w:t>
      </w:r>
    </w:p>
    <w:p>
      <w:pPr>
        <w:pStyle w:val="BodyText"/>
      </w:pPr>
    </w:p>
    <w:p>
      <w:pPr>
        <w:pStyle w:val="BodyText"/>
        <w:spacing w:before="3"/>
        <w:rPr>
          <w:sz w:val="29"/>
        </w:rPr>
      </w:pPr>
    </w:p>
    <w:p>
      <w:pPr>
        <w:pStyle w:val="Heading2"/>
        <w:numPr>
          <w:ilvl w:val="1"/>
          <w:numId w:val="32"/>
        </w:numPr>
        <w:tabs>
          <w:tab w:pos="677" w:val="left" w:leader="none"/>
        </w:tabs>
        <w:spacing w:line="240" w:lineRule="auto" w:before="0" w:after="0"/>
        <w:ind w:left="676" w:right="0" w:hanging="576"/>
        <w:jc w:val="both"/>
      </w:pPr>
      <w:bookmarkStart w:name="3.2. Conceptos básicos de sustentabilida" w:id="167"/>
      <w:bookmarkEnd w:id="167"/>
      <w:r>
        <w:rPr/>
      </w:r>
      <w:bookmarkStart w:name="_bookmark110" w:id="168"/>
      <w:bookmarkEnd w:id="168"/>
      <w:r>
        <w:rPr/>
      </w:r>
      <w:bookmarkStart w:name="_bookmark110" w:id="169"/>
      <w:bookmarkEnd w:id="169"/>
      <w:r>
        <w:rPr/>
        <w:t>C</w:t>
      </w:r>
      <w:r>
        <w:rPr/>
        <w:t>onceptos básicos de</w:t>
      </w:r>
      <w:r>
        <w:rPr>
          <w:spacing w:val="-7"/>
        </w:rPr>
        <w:t> </w:t>
      </w:r>
      <w:r>
        <w:rPr/>
        <w:t>sustentabilidad</w:t>
      </w:r>
    </w:p>
    <w:p>
      <w:pPr>
        <w:pStyle w:val="BodyText"/>
        <w:rPr>
          <w:sz w:val="28"/>
        </w:rPr>
      </w:pPr>
    </w:p>
    <w:p>
      <w:pPr>
        <w:pStyle w:val="BodyText"/>
        <w:spacing w:before="5"/>
        <w:rPr>
          <w:sz w:val="22"/>
        </w:rPr>
      </w:pPr>
    </w:p>
    <w:p>
      <w:pPr>
        <w:pStyle w:val="BodyText"/>
        <w:spacing w:line="360" w:lineRule="auto"/>
        <w:ind w:left="100" w:right="118"/>
        <w:jc w:val="both"/>
      </w:pPr>
      <w:r>
        <w:rPr/>
        <w:t>Para comprender el enfoque de sustentabilidad, en este sub apartado se mencionan los conceptos básicos de Desarrollo Sustentable, Eco-diseño, Eco- rediseño, y Diseño Sustentable.</w:t>
      </w:r>
    </w:p>
    <w:p>
      <w:pPr>
        <w:pStyle w:val="BodyText"/>
      </w:pPr>
    </w:p>
    <w:p>
      <w:pPr>
        <w:pStyle w:val="BodyText"/>
        <w:spacing w:before="3"/>
        <w:rPr>
          <w:sz w:val="29"/>
        </w:rPr>
      </w:pPr>
    </w:p>
    <w:p>
      <w:pPr>
        <w:pStyle w:val="Heading2"/>
        <w:numPr>
          <w:ilvl w:val="2"/>
          <w:numId w:val="32"/>
        </w:numPr>
        <w:tabs>
          <w:tab w:pos="821" w:val="left" w:leader="none"/>
        </w:tabs>
        <w:spacing w:line="240" w:lineRule="auto" w:before="0" w:after="0"/>
        <w:ind w:left="821" w:right="0" w:hanging="721"/>
        <w:jc w:val="both"/>
      </w:pPr>
      <w:bookmarkStart w:name="3.2.1. Desarrollo sustentable o Sustenta" w:id="170"/>
      <w:bookmarkEnd w:id="170"/>
      <w:r>
        <w:rPr/>
      </w:r>
      <w:bookmarkStart w:name="_bookmark111" w:id="171"/>
      <w:bookmarkEnd w:id="171"/>
      <w:r>
        <w:rPr/>
      </w:r>
      <w:bookmarkStart w:name="_bookmark111" w:id="172"/>
      <w:bookmarkEnd w:id="172"/>
      <w:r>
        <w:rPr/>
        <w:t>D</w:t>
      </w:r>
      <w:r>
        <w:rPr/>
        <w:t>esarrollo sustentable o</w:t>
      </w:r>
      <w:r>
        <w:rPr>
          <w:spacing w:val="-7"/>
        </w:rPr>
        <w:t> </w:t>
      </w:r>
      <w:r>
        <w:rPr/>
        <w:t>Sustentabilidad</w:t>
      </w:r>
    </w:p>
    <w:p>
      <w:pPr>
        <w:pStyle w:val="BodyText"/>
        <w:rPr>
          <w:sz w:val="28"/>
        </w:rPr>
      </w:pPr>
    </w:p>
    <w:p>
      <w:pPr>
        <w:pStyle w:val="BodyText"/>
        <w:spacing w:before="5"/>
        <w:rPr>
          <w:sz w:val="22"/>
        </w:rPr>
      </w:pPr>
    </w:p>
    <w:p>
      <w:pPr>
        <w:pStyle w:val="BodyText"/>
        <w:spacing w:line="360" w:lineRule="auto"/>
        <w:ind w:left="100" w:right="120"/>
        <w:jc w:val="both"/>
      </w:pPr>
      <w:r>
        <w:rPr/>
        <w:t>Iniciando con tan conocido reporte Brundtland (1987), fue un informe para la ONU en 1987, donde nace el concepto de Sustentabilidad o Desarrollo Sustentable como “aquel que satisface las necesidades del presente sin comprometer las necesidades de las futuras generaciones.” Originalmente el informe, se llamó Nuestro Futuro Común (</w:t>
      </w:r>
      <w:r>
        <w:rPr>
          <w:i/>
        </w:rPr>
        <w:t>Our Common Future, </w:t>
      </w:r>
      <w:r>
        <w:rPr/>
        <w:t>en inglés).</w:t>
      </w:r>
    </w:p>
    <w:p>
      <w:pPr>
        <w:pStyle w:val="BodyText"/>
      </w:pPr>
    </w:p>
    <w:p>
      <w:pPr>
        <w:pStyle w:val="BodyText"/>
        <w:spacing w:line="360" w:lineRule="auto" w:before="146"/>
        <w:ind w:left="100" w:right="118"/>
        <w:jc w:val="both"/>
      </w:pPr>
      <w:r>
        <w:rPr/>
        <w:t>En la conferencia de la ONU sobre el medio ambiente en 1992 en Río de Janeiro se señaló que los diferentes factores sociales, económicos y medio ambientales están interrelacionados y cambian simultáneamente, quedando así  establecidos los tres pilares para dicho modelo de sustentabilidad, ver siguiente </w:t>
      </w:r>
      <w:hyperlink w:history="true" w:anchor="_bookmark112">
        <w:r>
          <w:rPr/>
          <w:t>Figura 3.1</w:t>
        </w:r>
      </w:hyperlink>
    </w:p>
    <w:p>
      <w:pPr>
        <w:spacing w:after="0" w:line="360" w:lineRule="auto"/>
        <w:jc w:val="both"/>
        <w:sectPr>
          <w:pgSz w:w="12240" w:h="15840"/>
          <w:pgMar w:header="0" w:footer="1031" w:top="1500" w:bottom="1220" w:left="1600" w:right="1580"/>
        </w:sectPr>
      </w:pPr>
    </w:p>
    <w:p>
      <w:pPr>
        <w:pStyle w:val="BodyText"/>
        <w:ind w:left="2795"/>
        <w:rPr>
          <w:sz w:val="20"/>
        </w:rPr>
      </w:pPr>
      <w:r>
        <w:rPr>
          <w:sz w:val="20"/>
        </w:rPr>
        <w:drawing>
          <wp:inline distT="0" distB="0" distL="0" distR="0">
            <wp:extent cx="2178446" cy="2027777"/>
            <wp:effectExtent l="0" t="0" r="0" b="0"/>
            <wp:docPr id="185" name="image97.png" descr=""/>
            <wp:cNvGraphicFramePr>
              <a:graphicFrameLocks noChangeAspect="1"/>
            </wp:cNvGraphicFramePr>
            <a:graphic>
              <a:graphicData uri="http://schemas.openxmlformats.org/drawingml/2006/picture">
                <pic:pic>
                  <pic:nvPicPr>
                    <pic:cNvPr id="186" name="image97.png"/>
                    <pic:cNvPicPr/>
                  </pic:nvPicPr>
                  <pic:blipFill>
                    <a:blip r:embed="rId160" cstate="print"/>
                    <a:stretch>
                      <a:fillRect/>
                    </a:stretch>
                  </pic:blipFill>
                  <pic:spPr>
                    <a:xfrm>
                      <a:off x="0" y="0"/>
                      <a:ext cx="2178446" cy="2027777"/>
                    </a:xfrm>
                    <a:prstGeom prst="rect">
                      <a:avLst/>
                    </a:prstGeom>
                  </pic:spPr>
                </pic:pic>
              </a:graphicData>
            </a:graphic>
          </wp:inline>
        </w:drawing>
      </w:r>
      <w:r>
        <w:rPr>
          <w:sz w:val="20"/>
        </w:rPr>
      </w:r>
    </w:p>
    <w:p>
      <w:pPr>
        <w:spacing w:before="146"/>
        <w:ind w:left="1256" w:right="0" w:firstLine="0"/>
        <w:jc w:val="left"/>
        <w:rPr>
          <w:sz w:val="18"/>
        </w:rPr>
      </w:pPr>
      <w:bookmarkStart w:name="_bookmark112" w:id="173"/>
      <w:bookmarkEnd w:id="173"/>
      <w:r>
        <w:rPr/>
      </w:r>
      <w:r>
        <w:rPr>
          <w:sz w:val="18"/>
        </w:rPr>
        <w:t>Figura 3.1. Tres pilares del modelo de sustentabilidad. (Fuente: Elkington, 2002: 73).</w:t>
      </w:r>
    </w:p>
    <w:p>
      <w:pPr>
        <w:pStyle w:val="BodyText"/>
        <w:rPr>
          <w:sz w:val="18"/>
        </w:rPr>
      </w:pPr>
    </w:p>
    <w:p>
      <w:pPr>
        <w:pStyle w:val="BodyText"/>
        <w:spacing w:before="7"/>
        <w:rPr>
          <w:sz w:val="18"/>
        </w:rPr>
      </w:pPr>
    </w:p>
    <w:p>
      <w:pPr>
        <w:pStyle w:val="BodyText"/>
        <w:spacing w:line="360" w:lineRule="auto"/>
        <w:ind w:left="100" w:right="102"/>
        <w:jc w:val="both"/>
      </w:pPr>
      <w:r>
        <w:rPr/>
        <w:t>Para Elkington (2002) presenta la “triple línea de fondo” que comprende la prosperidad económica, la calidad ambiental y la justicia social; detalla que dichos pilares son interdependientes al afirmar que la sociedad depende de la economía, y que la economía depende del ecosistema global.</w:t>
      </w:r>
    </w:p>
    <w:p>
      <w:pPr>
        <w:pStyle w:val="BodyText"/>
      </w:pPr>
    </w:p>
    <w:p>
      <w:pPr>
        <w:pStyle w:val="BodyText"/>
        <w:spacing w:line="360" w:lineRule="auto" w:before="142"/>
        <w:ind w:left="100" w:right="101"/>
        <w:jc w:val="both"/>
      </w:pPr>
      <w:r>
        <w:rPr/>
        <w:t>De estas esferas Bell S. y S. Morse, (2003) los autores sostienen que para mejorar la calidad de la vida de las personas no debe degradarse el medio ambiente (en  su ámbito biofísico y socioeconómico) y recursos para no degradar la calidad de vida de las futuras generaciones; de esta forma dichas esferas están interrelacionadas.</w:t>
      </w:r>
    </w:p>
    <w:p>
      <w:pPr>
        <w:pStyle w:val="BodyText"/>
      </w:pPr>
    </w:p>
    <w:p>
      <w:pPr>
        <w:pStyle w:val="BodyText"/>
        <w:spacing w:line="360" w:lineRule="auto" w:before="142"/>
        <w:ind w:left="100" w:right="98"/>
        <w:jc w:val="both"/>
      </w:pPr>
      <w:r>
        <w:rPr/>
        <w:t>Los tres desarrollos, el económico, el comunitario y el ecológico describen una interrelación, pues una depende de otra y para que exista un real desarrollo deben estar las tres en equilibrio, solo de esa forma habrá Desarrollo sustentable.</w:t>
      </w:r>
    </w:p>
    <w:p>
      <w:pPr>
        <w:pStyle w:val="BodyText"/>
      </w:pPr>
    </w:p>
    <w:p>
      <w:pPr>
        <w:pStyle w:val="BodyText"/>
        <w:spacing w:line="360" w:lineRule="auto" w:before="142"/>
        <w:ind w:left="100" w:right="98"/>
        <w:jc w:val="both"/>
      </w:pPr>
      <w:r>
        <w:rPr/>
        <w:t>El desarrollo económico consta de crecimiento económico, ganancias privadas, expansión de mercado y externalización de costos; El desarrollo comunitario consta de auto dependencia local, necesidades humanas básicas, equidad, participación, responsabilidad social, y tecnología apropiada; el desarrollo ecológico consta de capacidades para mantener la población, cantidades sustentables de producción, conservación de recursos y biodiversidad. Como se muestra en la siguiente </w:t>
      </w:r>
      <w:hyperlink w:history="true" w:anchor="_bookmark113">
        <w:r>
          <w:rPr/>
          <w:t>Figura 3.2</w:t>
        </w:r>
      </w:hyperlink>
    </w:p>
    <w:p>
      <w:pPr>
        <w:spacing w:after="0" w:line="360" w:lineRule="auto"/>
        <w:jc w:val="both"/>
        <w:sectPr>
          <w:pgSz w:w="12240" w:h="15840"/>
          <w:pgMar w:header="0" w:footer="1031" w:top="1420" w:bottom="1220" w:left="1600" w:right="1600"/>
        </w:sectPr>
      </w:pPr>
    </w:p>
    <w:p>
      <w:pPr>
        <w:pStyle w:val="BodyText"/>
        <w:ind w:left="1473"/>
        <w:rPr>
          <w:sz w:val="20"/>
        </w:rPr>
      </w:pPr>
      <w:r>
        <w:rPr>
          <w:sz w:val="20"/>
        </w:rPr>
        <w:drawing>
          <wp:inline distT="0" distB="0" distL="0" distR="0">
            <wp:extent cx="3875061" cy="3334035"/>
            <wp:effectExtent l="0" t="0" r="0" b="0"/>
            <wp:docPr id="187" name="image98.jpeg" descr=""/>
            <wp:cNvGraphicFramePr>
              <a:graphicFrameLocks noChangeAspect="1"/>
            </wp:cNvGraphicFramePr>
            <a:graphic>
              <a:graphicData uri="http://schemas.openxmlformats.org/drawingml/2006/picture">
                <pic:pic>
                  <pic:nvPicPr>
                    <pic:cNvPr id="188" name="image98.jpeg"/>
                    <pic:cNvPicPr/>
                  </pic:nvPicPr>
                  <pic:blipFill>
                    <a:blip r:embed="rId161" cstate="print"/>
                    <a:stretch>
                      <a:fillRect/>
                    </a:stretch>
                  </pic:blipFill>
                  <pic:spPr>
                    <a:xfrm>
                      <a:off x="0" y="0"/>
                      <a:ext cx="3875061" cy="3334035"/>
                    </a:xfrm>
                    <a:prstGeom prst="rect">
                      <a:avLst/>
                    </a:prstGeom>
                  </pic:spPr>
                </pic:pic>
              </a:graphicData>
            </a:graphic>
          </wp:inline>
        </w:drawing>
      </w:r>
      <w:r>
        <w:rPr>
          <w:sz w:val="20"/>
        </w:rPr>
      </w:r>
    </w:p>
    <w:p>
      <w:pPr>
        <w:pStyle w:val="BodyText"/>
        <w:spacing w:before="8"/>
        <w:rPr>
          <w:sz w:val="6"/>
        </w:rPr>
      </w:pPr>
    </w:p>
    <w:p>
      <w:pPr>
        <w:spacing w:before="77"/>
        <w:ind w:left="2909" w:right="1476" w:hanging="1189"/>
        <w:jc w:val="left"/>
        <w:rPr>
          <w:sz w:val="18"/>
        </w:rPr>
      </w:pPr>
      <w:bookmarkStart w:name="_bookmark113" w:id="174"/>
      <w:bookmarkEnd w:id="174"/>
      <w:r>
        <w:rPr/>
      </w:r>
      <w:r>
        <w:rPr>
          <w:sz w:val="18"/>
        </w:rPr>
        <w:t>Figura 3.2. Las interacciones entre lo ecológico, lo económico y lo social. (Fuente: Bell, S. and S. Morse, 2003: 4).</w:t>
      </w:r>
    </w:p>
    <w:p>
      <w:pPr>
        <w:pStyle w:val="BodyText"/>
        <w:rPr>
          <w:sz w:val="18"/>
        </w:rPr>
      </w:pPr>
    </w:p>
    <w:p>
      <w:pPr>
        <w:pStyle w:val="BodyText"/>
        <w:rPr>
          <w:sz w:val="18"/>
        </w:rPr>
      </w:pPr>
    </w:p>
    <w:p>
      <w:pPr>
        <w:pStyle w:val="BodyText"/>
        <w:spacing w:line="362" w:lineRule="auto" w:before="106"/>
        <w:ind w:left="100" w:right="104"/>
        <w:jc w:val="both"/>
      </w:pPr>
      <w:r>
        <w:rPr/>
        <w:t>Cada uno de estos desarrollos debe beneficiar a la sociedad en lo económico, social y ambiental.</w:t>
      </w:r>
    </w:p>
    <w:p>
      <w:pPr>
        <w:pStyle w:val="BodyText"/>
      </w:pPr>
    </w:p>
    <w:p>
      <w:pPr>
        <w:pStyle w:val="BodyText"/>
        <w:rPr>
          <w:sz w:val="29"/>
        </w:rPr>
      </w:pPr>
    </w:p>
    <w:p>
      <w:pPr>
        <w:pStyle w:val="Heading2"/>
        <w:numPr>
          <w:ilvl w:val="2"/>
          <w:numId w:val="32"/>
        </w:numPr>
        <w:tabs>
          <w:tab w:pos="897" w:val="left" w:leader="none"/>
        </w:tabs>
        <w:spacing w:line="240" w:lineRule="auto" w:before="0" w:after="0"/>
        <w:ind w:left="897" w:right="0" w:hanging="797"/>
        <w:jc w:val="both"/>
      </w:pPr>
      <w:bookmarkStart w:name="3.2.2.  Eco-Diseño" w:id="175"/>
      <w:bookmarkEnd w:id="175"/>
      <w:r>
        <w:rPr/>
      </w:r>
      <w:bookmarkStart w:name="_bookmark114" w:id="176"/>
      <w:bookmarkEnd w:id="176"/>
      <w:r>
        <w:rPr/>
        <w:t>E</w:t>
      </w:r>
      <w:r>
        <w:rPr/>
        <w:t>co-Diseño</w:t>
      </w:r>
    </w:p>
    <w:p>
      <w:pPr>
        <w:pStyle w:val="BodyText"/>
        <w:rPr>
          <w:sz w:val="28"/>
        </w:rPr>
      </w:pPr>
    </w:p>
    <w:p>
      <w:pPr>
        <w:pStyle w:val="BodyText"/>
        <w:spacing w:before="4"/>
        <w:rPr>
          <w:sz w:val="22"/>
        </w:rPr>
      </w:pPr>
    </w:p>
    <w:p>
      <w:pPr>
        <w:pStyle w:val="BodyText"/>
        <w:spacing w:line="360" w:lineRule="auto"/>
        <w:ind w:left="100" w:right="101"/>
        <w:jc w:val="both"/>
      </w:pPr>
      <w:r>
        <w:rPr/>
        <w:t>El concepto de sustentabilidad plantea el equilibrio entre lo económico, ambiental  y social, pero ¿cómo se puede intentar lograr dicho ideal?, en el campo  del Diseño, el área de diseño de productos y servicios inicia el arduo trabajo de  cumplir con  dicho</w:t>
      </w:r>
      <w:r>
        <w:rPr>
          <w:spacing w:val="-17"/>
        </w:rPr>
        <w:t> </w:t>
      </w:r>
      <w:r>
        <w:rPr/>
        <w:t>propósito.</w:t>
      </w:r>
    </w:p>
    <w:p>
      <w:pPr>
        <w:pStyle w:val="BodyText"/>
      </w:pPr>
    </w:p>
    <w:p>
      <w:pPr>
        <w:pStyle w:val="BodyText"/>
        <w:spacing w:line="360" w:lineRule="auto" w:before="142"/>
        <w:ind w:left="100" w:right="102"/>
        <w:jc w:val="both"/>
      </w:pPr>
      <w:r>
        <w:rPr/>
        <w:t>Para Brezet y Hemel (1997) el Eco-diseño considera los aspectos ambientales en todas las etapas del proceso de desarrollo del producto, buscando productos que produzcan el menor impacto ambiental posible a lo largo del ciclo de vida del producto.</w:t>
      </w:r>
    </w:p>
    <w:p>
      <w:pPr>
        <w:spacing w:after="0" w:line="360" w:lineRule="auto"/>
        <w:jc w:val="both"/>
        <w:sectPr>
          <w:pgSz w:w="12240" w:h="15840"/>
          <w:pgMar w:header="0" w:footer="1031" w:top="1500" w:bottom="1220" w:left="1600" w:right="1600"/>
        </w:sectPr>
      </w:pPr>
    </w:p>
    <w:p>
      <w:pPr>
        <w:pStyle w:val="BodyText"/>
        <w:spacing w:line="360" w:lineRule="auto" w:before="59"/>
        <w:ind w:left="100" w:right="155"/>
        <w:jc w:val="both"/>
      </w:pPr>
      <w:r>
        <w:rPr/>
        <w:t>Rupérez (2008) indica otro concepto asignado por la </w:t>
      </w:r>
      <w:r>
        <w:rPr>
          <w:i/>
        </w:rPr>
        <w:t>Technology University </w:t>
      </w:r>
      <w:r>
        <w:rPr/>
        <w:t>Delft de Holanda, como una nueva metodología para el diseño de productos en la cual se consideran los impactos ambientales en todas las etapas del proceso de diseño y desarrollo de productos para lograr productos que generen el mínimo impacto ambiental posible a lo largo de su proceso de</w:t>
      </w:r>
      <w:r>
        <w:rPr>
          <w:spacing w:val="-24"/>
        </w:rPr>
        <w:t> </w:t>
      </w:r>
      <w:r>
        <w:rPr/>
        <w:t>vida.</w:t>
      </w:r>
    </w:p>
    <w:p>
      <w:pPr>
        <w:pStyle w:val="BodyText"/>
      </w:pPr>
    </w:p>
    <w:p>
      <w:pPr>
        <w:pStyle w:val="BodyText"/>
        <w:spacing w:line="360" w:lineRule="auto" w:before="142"/>
        <w:ind w:left="100" w:right="164"/>
        <w:jc w:val="both"/>
      </w:pPr>
      <w:r>
        <w:rPr/>
        <w:t>Con dichos autores podemos afirmar que eco-diseño utiliza herramientas para lograr controlar el impacto ambiental en la fabricación de un producto, como Victoria (2008) enlista ejemplos de algunas de estas herramientas, ver </w:t>
      </w:r>
      <w:hyperlink w:history="true" w:anchor="_bookmark115">
        <w:r>
          <w:rPr/>
          <w:t>Tabla 3.1</w:t>
        </w:r>
      </w:hyperlink>
    </w:p>
    <w:p>
      <w:pPr>
        <w:pStyle w:val="BodyText"/>
      </w:pPr>
    </w:p>
    <w:p>
      <w:pPr>
        <w:spacing w:before="138" w:after="6"/>
        <w:ind w:left="2653" w:right="0" w:firstLine="0"/>
        <w:jc w:val="left"/>
        <w:rPr>
          <w:sz w:val="18"/>
        </w:rPr>
      </w:pPr>
      <w:bookmarkStart w:name="_bookmark115" w:id="177"/>
      <w:bookmarkEnd w:id="177"/>
      <w:r>
        <w:rPr/>
      </w:r>
      <w:r>
        <w:rPr>
          <w:sz w:val="18"/>
        </w:rPr>
        <w:t>Tabla 3.1. Ejemplos de estrategias de Ecodiseño.</w:t>
      </w:r>
    </w:p>
    <w:tbl>
      <w:tblPr>
        <w:tblW w:w="0" w:type="auto"/>
        <w:jc w:val="left"/>
        <w:tblInd w:w="1089"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837"/>
        <w:gridCol w:w="5046"/>
      </w:tblGrid>
      <w:tr>
        <w:trPr>
          <w:trHeight w:val="320" w:hRule="exact"/>
        </w:trPr>
        <w:tc>
          <w:tcPr>
            <w:tcW w:w="2837" w:type="dxa"/>
          </w:tcPr>
          <w:p>
            <w:pPr>
              <w:pStyle w:val="TableParagraph"/>
              <w:spacing w:line="202" w:lineRule="exact"/>
              <w:ind w:left="170" w:right="173"/>
              <w:jc w:val="center"/>
              <w:rPr>
                <w:sz w:val="18"/>
              </w:rPr>
            </w:pPr>
            <w:r>
              <w:rPr>
                <w:sz w:val="18"/>
              </w:rPr>
              <w:t>Nombre</w:t>
            </w:r>
          </w:p>
        </w:tc>
        <w:tc>
          <w:tcPr>
            <w:tcW w:w="5046" w:type="dxa"/>
          </w:tcPr>
          <w:p>
            <w:pPr>
              <w:pStyle w:val="TableParagraph"/>
              <w:spacing w:line="202" w:lineRule="exact"/>
              <w:ind w:left="2030" w:right="2027"/>
              <w:jc w:val="center"/>
              <w:rPr>
                <w:sz w:val="18"/>
              </w:rPr>
            </w:pPr>
            <w:r>
              <w:rPr>
                <w:sz w:val="18"/>
              </w:rPr>
              <w:t>Descripción</w:t>
            </w:r>
          </w:p>
        </w:tc>
      </w:tr>
      <w:tr>
        <w:trPr>
          <w:trHeight w:val="2184" w:hRule="exact"/>
        </w:trPr>
        <w:tc>
          <w:tcPr>
            <w:tcW w:w="2837" w:type="dxa"/>
          </w:tcPr>
          <w:p>
            <w:pPr>
              <w:pStyle w:val="TableParagraph"/>
              <w:rPr>
                <w:sz w:val="18"/>
              </w:rPr>
            </w:pPr>
          </w:p>
          <w:p>
            <w:pPr>
              <w:pStyle w:val="TableParagraph"/>
              <w:rPr>
                <w:sz w:val="18"/>
              </w:rPr>
            </w:pPr>
          </w:p>
          <w:p>
            <w:pPr>
              <w:pStyle w:val="TableParagraph"/>
              <w:rPr>
                <w:sz w:val="18"/>
              </w:rPr>
            </w:pPr>
          </w:p>
          <w:p>
            <w:pPr>
              <w:pStyle w:val="TableParagraph"/>
              <w:spacing w:before="7"/>
              <w:rPr>
                <w:sz w:val="26"/>
              </w:rPr>
            </w:pPr>
          </w:p>
          <w:p>
            <w:pPr>
              <w:pStyle w:val="TableParagraph"/>
              <w:ind w:left="171" w:right="173"/>
              <w:jc w:val="center"/>
              <w:rPr>
                <w:sz w:val="18"/>
              </w:rPr>
            </w:pPr>
            <w:r>
              <w:rPr>
                <w:sz w:val="18"/>
              </w:rPr>
              <w:t>Selección de materiales</w:t>
            </w:r>
          </w:p>
        </w:tc>
        <w:tc>
          <w:tcPr>
            <w:tcW w:w="5046" w:type="dxa"/>
          </w:tcPr>
          <w:p>
            <w:pPr>
              <w:pStyle w:val="TableParagraph"/>
              <w:spacing w:line="357" w:lineRule="auto"/>
              <w:ind w:left="104" w:right="240"/>
              <w:rPr>
                <w:sz w:val="18"/>
              </w:rPr>
            </w:pPr>
            <w:r>
              <w:rPr>
                <w:sz w:val="18"/>
              </w:rPr>
              <w:t>Se aplica durante la fase de diseño, donde se considera la posible selección de materiales:</w:t>
            </w:r>
          </w:p>
          <w:p>
            <w:pPr>
              <w:pStyle w:val="TableParagraph"/>
              <w:numPr>
                <w:ilvl w:val="0"/>
                <w:numId w:val="33"/>
              </w:numPr>
              <w:tabs>
                <w:tab w:pos="220" w:val="left" w:leader="none"/>
              </w:tabs>
              <w:spacing w:line="240" w:lineRule="auto" w:before="7" w:after="0"/>
              <w:ind w:left="219" w:right="0" w:hanging="115"/>
              <w:jc w:val="left"/>
              <w:rPr>
                <w:sz w:val="18"/>
              </w:rPr>
            </w:pPr>
            <w:r>
              <w:rPr>
                <w:sz w:val="18"/>
              </w:rPr>
              <w:t>materiales</w:t>
            </w:r>
            <w:r>
              <w:rPr>
                <w:spacing w:val="-6"/>
                <w:sz w:val="18"/>
              </w:rPr>
              <w:t> </w:t>
            </w:r>
            <w:r>
              <w:rPr>
                <w:sz w:val="18"/>
              </w:rPr>
              <w:t>biodegradables</w:t>
            </w:r>
          </w:p>
          <w:p>
            <w:pPr>
              <w:pStyle w:val="TableParagraph"/>
              <w:numPr>
                <w:ilvl w:val="0"/>
                <w:numId w:val="33"/>
              </w:numPr>
              <w:tabs>
                <w:tab w:pos="220" w:val="left" w:leader="none"/>
              </w:tabs>
              <w:spacing w:line="240" w:lineRule="auto" w:before="101" w:after="0"/>
              <w:ind w:left="219" w:right="0" w:hanging="115"/>
              <w:jc w:val="left"/>
              <w:rPr>
                <w:sz w:val="18"/>
              </w:rPr>
            </w:pPr>
            <w:r>
              <w:rPr>
                <w:sz w:val="18"/>
              </w:rPr>
              <w:t>materiales</w:t>
            </w:r>
            <w:r>
              <w:rPr>
                <w:spacing w:val="-9"/>
                <w:sz w:val="18"/>
              </w:rPr>
              <w:t> </w:t>
            </w:r>
            <w:r>
              <w:rPr>
                <w:sz w:val="18"/>
              </w:rPr>
              <w:t>renovables</w:t>
            </w:r>
          </w:p>
          <w:p>
            <w:pPr>
              <w:pStyle w:val="TableParagraph"/>
              <w:numPr>
                <w:ilvl w:val="0"/>
                <w:numId w:val="33"/>
              </w:numPr>
              <w:tabs>
                <w:tab w:pos="220" w:val="left" w:leader="none"/>
              </w:tabs>
              <w:spacing w:line="240" w:lineRule="auto" w:before="105" w:after="0"/>
              <w:ind w:left="219" w:right="0" w:hanging="115"/>
              <w:jc w:val="left"/>
              <w:rPr>
                <w:sz w:val="18"/>
              </w:rPr>
            </w:pPr>
            <w:r>
              <w:rPr>
                <w:sz w:val="18"/>
              </w:rPr>
              <w:t>material</w:t>
            </w:r>
            <w:r>
              <w:rPr>
                <w:spacing w:val="-5"/>
                <w:sz w:val="18"/>
              </w:rPr>
              <w:t> </w:t>
            </w:r>
            <w:r>
              <w:rPr>
                <w:sz w:val="18"/>
              </w:rPr>
              <w:t>reciclado</w:t>
            </w:r>
          </w:p>
          <w:p>
            <w:pPr>
              <w:pStyle w:val="TableParagraph"/>
              <w:numPr>
                <w:ilvl w:val="0"/>
                <w:numId w:val="33"/>
              </w:numPr>
              <w:tabs>
                <w:tab w:pos="220" w:val="left" w:leader="none"/>
              </w:tabs>
              <w:spacing w:line="240" w:lineRule="auto" w:before="105" w:after="0"/>
              <w:ind w:left="219" w:right="0" w:hanging="115"/>
              <w:jc w:val="left"/>
              <w:rPr>
                <w:sz w:val="18"/>
              </w:rPr>
            </w:pPr>
            <w:r>
              <w:rPr>
                <w:sz w:val="18"/>
              </w:rPr>
              <w:t>menos</w:t>
            </w:r>
            <w:r>
              <w:rPr>
                <w:spacing w:val="-4"/>
                <w:sz w:val="18"/>
              </w:rPr>
              <w:t> </w:t>
            </w:r>
            <w:r>
              <w:rPr>
                <w:sz w:val="18"/>
              </w:rPr>
              <w:t>material</w:t>
            </w:r>
          </w:p>
          <w:p>
            <w:pPr>
              <w:pStyle w:val="TableParagraph"/>
              <w:spacing w:before="101"/>
              <w:ind w:left="104" w:right="240"/>
              <w:rPr>
                <w:sz w:val="18"/>
              </w:rPr>
            </w:pPr>
            <w:r>
              <w:rPr>
                <w:sz w:val="18"/>
              </w:rPr>
              <w:t>(Bhamra y Lofthouse, 2007)</w:t>
            </w:r>
          </w:p>
        </w:tc>
      </w:tr>
      <w:tr>
        <w:trPr>
          <w:trHeight w:val="1564" w:hRule="exact"/>
        </w:trPr>
        <w:tc>
          <w:tcPr>
            <w:tcW w:w="2837" w:type="dxa"/>
          </w:tcPr>
          <w:p>
            <w:pPr>
              <w:pStyle w:val="TableParagraph"/>
              <w:rPr>
                <w:sz w:val="18"/>
              </w:rPr>
            </w:pPr>
          </w:p>
          <w:p>
            <w:pPr>
              <w:pStyle w:val="TableParagraph"/>
              <w:rPr>
                <w:sz w:val="18"/>
              </w:rPr>
            </w:pPr>
          </w:p>
          <w:p>
            <w:pPr>
              <w:pStyle w:val="TableParagraph"/>
              <w:spacing w:before="10"/>
              <w:rPr>
                <w:sz w:val="17"/>
              </w:rPr>
            </w:pPr>
          </w:p>
          <w:p>
            <w:pPr>
              <w:pStyle w:val="TableParagraph"/>
              <w:spacing w:line="357" w:lineRule="auto"/>
              <w:ind w:left="1071" w:right="283" w:hanging="776"/>
              <w:rPr>
                <w:sz w:val="18"/>
              </w:rPr>
            </w:pPr>
            <w:r>
              <w:rPr>
                <w:sz w:val="18"/>
              </w:rPr>
              <w:t>Minimización de material de desecho</w:t>
            </w:r>
          </w:p>
        </w:tc>
        <w:tc>
          <w:tcPr>
            <w:tcW w:w="5046" w:type="dxa"/>
          </w:tcPr>
          <w:p>
            <w:pPr>
              <w:pStyle w:val="TableParagraph"/>
              <w:spacing w:line="202" w:lineRule="exact"/>
              <w:ind w:left="104" w:right="240"/>
              <w:rPr>
                <w:sz w:val="18"/>
              </w:rPr>
            </w:pPr>
            <w:r>
              <w:rPr>
                <w:sz w:val="18"/>
              </w:rPr>
              <w:t>Su objetivo es optimizar los procesos minimizando:</w:t>
            </w:r>
          </w:p>
          <w:p>
            <w:pPr>
              <w:pStyle w:val="TableParagraph"/>
              <w:numPr>
                <w:ilvl w:val="0"/>
                <w:numId w:val="34"/>
              </w:numPr>
              <w:tabs>
                <w:tab w:pos="220" w:val="left" w:leader="none"/>
              </w:tabs>
              <w:spacing w:line="240" w:lineRule="auto" w:before="105" w:after="0"/>
              <w:ind w:left="104" w:right="0" w:firstLine="0"/>
              <w:jc w:val="left"/>
              <w:rPr>
                <w:sz w:val="18"/>
              </w:rPr>
            </w:pPr>
            <w:r>
              <w:rPr>
                <w:sz w:val="18"/>
              </w:rPr>
              <w:t>el desperdicio de materia</w:t>
            </w:r>
            <w:r>
              <w:rPr>
                <w:spacing w:val="-9"/>
                <w:sz w:val="18"/>
              </w:rPr>
              <w:t> </w:t>
            </w:r>
            <w:r>
              <w:rPr>
                <w:sz w:val="18"/>
              </w:rPr>
              <w:t>prima</w:t>
            </w:r>
          </w:p>
          <w:p>
            <w:pPr>
              <w:pStyle w:val="TableParagraph"/>
              <w:numPr>
                <w:ilvl w:val="0"/>
                <w:numId w:val="34"/>
              </w:numPr>
              <w:tabs>
                <w:tab w:pos="220" w:val="left" w:leader="none"/>
              </w:tabs>
              <w:spacing w:line="240" w:lineRule="auto" w:before="105" w:after="0"/>
              <w:ind w:left="219" w:right="0" w:hanging="115"/>
              <w:jc w:val="left"/>
              <w:rPr>
                <w:sz w:val="18"/>
              </w:rPr>
            </w:pPr>
            <w:r>
              <w:rPr>
                <w:sz w:val="18"/>
              </w:rPr>
              <w:t>la energía</w:t>
            </w:r>
            <w:r>
              <w:rPr>
                <w:spacing w:val="-9"/>
                <w:sz w:val="18"/>
              </w:rPr>
              <w:t> </w:t>
            </w:r>
            <w:r>
              <w:rPr>
                <w:sz w:val="18"/>
              </w:rPr>
              <w:t>utilizada</w:t>
            </w:r>
          </w:p>
          <w:p>
            <w:pPr>
              <w:pStyle w:val="TableParagraph"/>
              <w:numPr>
                <w:ilvl w:val="0"/>
                <w:numId w:val="34"/>
              </w:numPr>
              <w:tabs>
                <w:tab w:pos="220" w:val="left" w:leader="none"/>
              </w:tabs>
              <w:spacing w:line="362" w:lineRule="auto" w:before="101" w:after="0"/>
              <w:ind w:left="104" w:right="2696" w:firstLine="0"/>
              <w:jc w:val="left"/>
              <w:rPr>
                <w:sz w:val="18"/>
              </w:rPr>
            </w:pPr>
            <w:r>
              <w:rPr>
                <w:sz w:val="18"/>
              </w:rPr>
              <w:t>el embalaje utilizado (Bhamra y Lofthouse,</w:t>
            </w:r>
            <w:r>
              <w:rPr>
                <w:spacing w:val="-3"/>
                <w:sz w:val="18"/>
              </w:rPr>
              <w:t> </w:t>
            </w:r>
            <w:r>
              <w:rPr>
                <w:sz w:val="18"/>
              </w:rPr>
              <w:t>2007)</w:t>
            </w:r>
          </w:p>
        </w:tc>
      </w:tr>
      <w:tr>
        <w:trPr>
          <w:trHeight w:val="2181" w:hRule="exact"/>
        </w:trPr>
        <w:tc>
          <w:tcPr>
            <w:tcW w:w="2837" w:type="dxa"/>
          </w:tcPr>
          <w:p>
            <w:pPr>
              <w:pStyle w:val="TableParagraph"/>
              <w:rPr>
                <w:sz w:val="18"/>
              </w:rPr>
            </w:pPr>
          </w:p>
          <w:p>
            <w:pPr>
              <w:pStyle w:val="TableParagraph"/>
              <w:rPr>
                <w:sz w:val="18"/>
              </w:rPr>
            </w:pPr>
          </w:p>
          <w:p>
            <w:pPr>
              <w:pStyle w:val="TableParagraph"/>
              <w:rPr>
                <w:sz w:val="18"/>
              </w:rPr>
            </w:pPr>
          </w:p>
          <w:p>
            <w:pPr>
              <w:pStyle w:val="TableParagraph"/>
              <w:spacing w:before="7"/>
              <w:rPr>
                <w:sz w:val="26"/>
              </w:rPr>
            </w:pPr>
          </w:p>
          <w:p>
            <w:pPr>
              <w:pStyle w:val="TableParagraph"/>
              <w:spacing w:before="1"/>
              <w:ind w:left="173" w:right="173"/>
              <w:jc w:val="center"/>
              <w:rPr>
                <w:sz w:val="18"/>
              </w:rPr>
            </w:pPr>
            <w:r>
              <w:rPr>
                <w:sz w:val="18"/>
              </w:rPr>
              <w:t>Reuso de material de desecho</w:t>
            </w:r>
          </w:p>
        </w:tc>
        <w:tc>
          <w:tcPr>
            <w:tcW w:w="5046" w:type="dxa"/>
          </w:tcPr>
          <w:p>
            <w:pPr>
              <w:pStyle w:val="TableParagraph"/>
              <w:spacing w:line="362" w:lineRule="auto"/>
              <w:ind w:left="104" w:right="141"/>
              <w:rPr>
                <w:sz w:val="18"/>
              </w:rPr>
            </w:pPr>
            <w:r>
              <w:rPr>
                <w:sz w:val="18"/>
              </w:rPr>
              <w:t>Tiene como objetivo reciclar los materiales nuevas materias primas para nuevos productos. Ejemplos:</w:t>
            </w:r>
          </w:p>
          <w:p>
            <w:pPr>
              <w:pStyle w:val="TableParagraph"/>
              <w:numPr>
                <w:ilvl w:val="0"/>
                <w:numId w:val="35"/>
              </w:numPr>
              <w:tabs>
                <w:tab w:pos="220" w:val="left" w:leader="none"/>
              </w:tabs>
              <w:spacing w:line="205" w:lineRule="exact" w:before="0" w:after="0"/>
              <w:ind w:left="104" w:right="0" w:firstLine="0"/>
              <w:jc w:val="left"/>
              <w:rPr>
                <w:sz w:val="18"/>
              </w:rPr>
            </w:pPr>
            <w:r>
              <w:rPr>
                <w:sz w:val="18"/>
              </w:rPr>
              <w:t>plástico</w:t>
            </w:r>
          </w:p>
          <w:p>
            <w:pPr>
              <w:pStyle w:val="TableParagraph"/>
              <w:numPr>
                <w:ilvl w:val="0"/>
                <w:numId w:val="35"/>
              </w:numPr>
              <w:tabs>
                <w:tab w:pos="220" w:val="left" w:leader="none"/>
              </w:tabs>
              <w:spacing w:line="240" w:lineRule="auto" w:before="105" w:after="0"/>
              <w:ind w:left="219" w:right="0" w:hanging="115"/>
              <w:jc w:val="left"/>
              <w:rPr>
                <w:sz w:val="18"/>
              </w:rPr>
            </w:pPr>
            <w:r>
              <w:rPr>
                <w:sz w:val="18"/>
              </w:rPr>
              <w:t>acero</w:t>
            </w:r>
          </w:p>
          <w:p>
            <w:pPr>
              <w:pStyle w:val="TableParagraph"/>
              <w:numPr>
                <w:ilvl w:val="0"/>
                <w:numId w:val="35"/>
              </w:numPr>
              <w:tabs>
                <w:tab w:pos="220" w:val="left" w:leader="none"/>
              </w:tabs>
              <w:spacing w:line="362" w:lineRule="auto" w:before="101" w:after="0"/>
              <w:ind w:left="104" w:right="211" w:firstLine="0"/>
              <w:jc w:val="left"/>
              <w:rPr>
                <w:sz w:val="18"/>
              </w:rPr>
            </w:pPr>
            <w:r>
              <w:rPr>
                <w:sz w:val="18"/>
              </w:rPr>
              <w:t>materiales compuestos reciclados como Tectan (que está hecho de Tetrapak</w:t>
            </w:r>
            <w:r>
              <w:rPr>
                <w:spacing w:val="-6"/>
                <w:sz w:val="18"/>
              </w:rPr>
              <w:t> </w:t>
            </w:r>
            <w:r>
              <w:rPr>
                <w:sz w:val="18"/>
              </w:rPr>
              <w:t>reutilizado)</w:t>
            </w:r>
          </w:p>
          <w:p>
            <w:pPr>
              <w:pStyle w:val="TableParagraph"/>
              <w:spacing w:before="2"/>
              <w:ind w:left="104" w:right="240"/>
              <w:rPr>
                <w:sz w:val="18"/>
              </w:rPr>
            </w:pPr>
            <w:r>
              <w:rPr>
                <w:sz w:val="18"/>
              </w:rPr>
              <w:t>(Bhamra y Lofthouse, 2007)</w:t>
            </w:r>
          </w:p>
        </w:tc>
      </w:tr>
      <w:tr>
        <w:trPr>
          <w:trHeight w:val="2184" w:hRule="exact"/>
        </w:trPr>
        <w:tc>
          <w:tcPr>
            <w:tcW w:w="2837"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9"/>
              <w:rPr>
                <w:sz w:val="17"/>
              </w:rPr>
            </w:pPr>
          </w:p>
          <w:p>
            <w:pPr>
              <w:pStyle w:val="TableParagraph"/>
              <w:spacing w:line="362" w:lineRule="auto"/>
              <w:ind w:left="1063" w:right="242" w:hanging="808"/>
              <w:rPr>
                <w:sz w:val="18"/>
              </w:rPr>
            </w:pPr>
            <w:r>
              <w:rPr>
                <w:sz w:val="18"/>
              </w:rPr>
              <w:t>Análisis del Ciclo de Vida del producto</w:t>
            </w:r>
          </w:p>
        </w:tc>
        <w:tc>
          <w:tcPr>
            <w:tcW w:w="5046" w:type="dxa"/>
          </w:tcPr>
          <w:p>
            <w:pPr>
              <w:pStyle w:val="TableParagraph"/>
              <w:spacing w:line="360" w:lineRule="auto"/>
              <w:ind w:left="104" w:right="103"/>
              <w:jc w:val="both"/>
              <w:rPr>
                <w:sz w:val="18"/>
              </w:rPr>
            </w:pPr>
            <w:r>
              <w:rPr>
                <w:sz w:val="18"/>
              </w:rPr>
              <w:t>Su objetivo </w:t>
            </w:r>
            <w:r>
              <w:rPr>
                <w:spacing w:val="-3"/>
                <w:sz w:val="18"/>
              </w:rPr>
              <w:t>es </w:t>
            </w:r>
            <w:r>
              <w:rPr>
                <w:sz w:val="18"/>
              </w:rPr>
              <w:t>desarrollar productos que sean sustentables a lo largo de todo su ciclo de vida para encontrar y resolver los principales impactos ambientales. Esta estrategia tiene varias herramientas</w:t>
            </w:r>
            <w:r>
              <w:rPr>
                <w:spacing w:val="-3"/>
                <w:sz w:val="18"/>
              </w:rPr>
              <w:t> </w:t>
            </w:r>
            <w:r>
              <w:rPr>
                <w:sz w:val="18"/>
              </w:rPr>
              <w:t>disponible:</w:t>
            </w:r>
          </w:p>
          <w:p>
            <w:pPr>
              <w:pStyle w:val="TableParagraph"/>
              <w:numPr>
                <w:ilvl w:val="0"/>
                <w:numId w:val="36"/>
              </w:numPr>
              <w:tabs>
                <w:tab w:pos="220" w:val="left" w:leader="none"/>
              </w:tabs>
              <w:spacing w:line="240" w:lineRule="auto" w:before="0" w:after="0"/>
              <w:ind w:left="219" w:right="0" w:hanging="115"/>
              <w:jc w:val="both"/>
              <w:rPr>
                <w:sz w:val="18"/>
              </w:rPr>
            </w:pPr>
            <w:r>
              <w:rPr>
                <w:sz w:val="18"/>
              </w:rPr>
              <w:t>MET Matrix</w:t>
            </w:r>
          </w:p>
          <w:p>
            <w:pPr>
              <w:pStyle w:val="TableParagraph"/>
              <w:numPr>
                <w:ilvl w:val="0"/>
                <w:numId w:val="36"/>
              </w:numPr>
              <w:tabs>
                <w:tab w:pos="220" w:val="left" w:leader="none"/>
              </w:tabs>
              <w:spacing w:line="240" w:lineRule="auto" w:before="105" w:after="0"/>
              <w:ind w:left="220" w:right="0" w:hanging="116"/>
              <w:jc w:val="both"/>
              <w:rPr>
                <w:sz w:val="18"/>
              </w:rPr>
            </w:pPr>
            <w:r>
              <w:rPr>
                <w:sz w:val="18"/>
              </w:rPr>
              <w:t>Red de</w:t>
            </w:r>
            <w:r>
              <w:rPr>
                <w:spacing w:val="-4"/>
                <w:sz w:val="18"/>
              </w:rPr>
              <w:t> </w:t>
            </w:r>
            <w:r>
              <w:rPr>
                <w:sz w:val="18"/>
              </w:rPr>
              <w:t>Ecodiseño</w:t>
            </w:r>
          </w:p>
        </w:tc>
      </w:tr>
    </w:tbl>
    <w:p>
      <w:pPr>
        <w:spacing w:after="0" w:line="240" w:lineRule="auto"/>
        <w:jc w:val="both"/>
        <w:rPr>
          <w:sz w:val="18"/>
        </w:rPr>
        <w:sectPr>
          <w:pgSz w:w="12240" w:h="15840"/>
          <w:pgMar w:header="0" w:footer="1031" w:top="1460" w:bottom="1220" w:left="1600" w:right="1540"/>
        </w:sectPr>
      </w:pPr>
    </w:p>
    <w:tbl>
      <w:tblPr>
        <w:tblW w:w="0" w:type="auto"/>
        <w:jc w:val="left"/>
        <w:tblInd w:w="1089"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837"/>
        <w:gridCol w:w="5046"/>
      </w:tblGrid>
      <w:tr>
        <w:trPr>
          <w:trHeight w:val="940" w:hRule="exact"/>
        </w:trPr>
        <w:tc>
          <w:tcPr>
            <w:tcW w:w="2837" w:type="dxa"/>
          </w:tcPr>
          <w:p>
            <w:pPr/>
          </w:p>
        </w:tc>
        <w:tc>
          <w:tcPr>
            <w:tcW w:w="5046" w:type="dxa"/>
          </w:tcPr>
          <w:p>
            <w:pPr>
              <w:pStyle w:val="TableParagraph"/>
              <w:spacing w:line="360" w:lineRule="auto"/>
              <w:ind w:left="104" w:right="100"/>
              <w:jc w:val="both"/>
              <w:rPr>
                <w:sz w:val="18"/>
              </w:rPr>
            </w:pPr>
            <w:r>
              <w:rPr>
                <w:sz w:val="18"/>
              </w:rPr>
              <w:t>(Grupo de Trabajo de Diseño, 1999, Grupo, 1999; Consultores PRé, 2000; Pre, 2000; Instituto de Diseño de Australia. Industrial Design, 2004).</w:t>
            </w:r>
          </w:p>
        </w:tc>
      </w:tr>
      <w:tr>
        <w:trPr>
          <w:trHeight w:val="1252" w:hRule="exact"/>
        </w:trPr>
        <w:tc>
          <w:tcPr>
            <w:tcW w:w="2837" w:type="dxa"/>
          </w:tcPr>
          <w:p>
            <w:pPr>
              <w:pStyle w:val="TableParagraph"/>
              <w:rPr>
                <w:sz w:val="18"/>
              </w:rPr>
            </w:pPr>
          </w:p>
          <w:p>
            <w:pPr>
              <w:pStyle w:val="TableParagraph"/>
              <w:rPr>
                <w:sz w:val="18"/>
              </w:rPr>
            </w:pPr>
          </w:p>
          <w:p>
            <w:pPr>
              <w:pStyle w:val="TableParagraph"/>
              <w:spacing w:before="10"/>
              <w:rPr>
                <w:sz w:val="17"/>
              </w:rPr>
            </w:pPr>
          </w:p>
          <w:p>
            <w:pPr>
              <w:pStyle w:val="TableParagraph"/>
              <w:ind w:left="172" w:right="173"/>
              <w:jc w:val="center"/>
              <w:rPr>
                <w:sz w:val="18"/>
              </w:rPr>
            </w:pPr>
            <w:r>
              <w:rPr>
                <w:sz w:val="18"/>
              </w:rPr>
              <w:t>Diseñar para durabilidad</w:t>
            </w:r>
          </w:p>
        </w:tc>
        <w:tc>
          <w:tcPr>
            <w:tcW w:w="5046" w:type="dxa"/>
          </w:tcPr>
          <w:p>
            <w:pPr>
              <w:pStyle w:val="TableParagraph"/>
              <w:spacing w:line="360" w:lineRule="auto"/>
              <w:ind w:left="104" w:right="102"/>
              <w:jc w:val="both"/>
              <w:rPr>
                <w:sz w:val="18"/>
              </w:rPr>
            </w:pPr>
            <w:r>
              <w:rPr>
                <w:sz w:val="18"/>
              </w:rPr>
              <w:t>Su objetivo es especificar materiales duraderos durante la fase de diseño del producto, para reducir los puntos débiles, hacer que sea más eficiente.</w:t>
            </w:r>
          </w:p>
          <w:p>
            <w:pPr>
              <w:pStyle w:val="TableParagraph"/>
              <w:spacing w:before="4"/>
              <w:ind w:left="104"/>
              <w:jc w:val="both"/>
              <w:rPr>
                <w:sz w:val="18"/>
              </w:rPr>
            </w:pPr>
            <w:r>
              <w:rPr>
                <w:sz w:val="18"/>
              </w:rPr>
              <w:t>(Gertsakis et al., 2001, Lofthouse, 2001a)</w:t>
            </w:r>
          </w:p>
        </w:tc>
      </w:tr>
      <w:tr>
        <w:trPr>
          <w:trHeight w:val="840" w:hRule="exact"/>
        </w:trPr>
        <w:tc>
          <w:tcPr>
            <w:tcW w:w="2837" w:type="dxa"/>
          </w:tcPr>
          <w:p>
            <w:pPr>
              <w:pStyle w:val="TableParagraph"/>
              <w:rPr>
                <w:sz w:val="18"/>
              </w:rPr>
            </w:pPr>
          </w:p>
          <w:p>
            <w:pPr>
              <w:pStyle w:val="TableParagraph"/>
              <w:spacing w:before="104"/>
              <w:ind w:left="173" w:right="171"/>
              <w:jc w:val="center"/>
              <w:rPr>
                <w:sz w:val="18"/>
              </w:rPr>
            </w:pPr>
            <w:r>
              <w:rPr>
                <w:sz w:val="18"/>
              </w:rPr>
              <w:t>Doble funcionalidad</w:t>
            </w:r>
          </w:p>
        </w:tc>
        <w:tc>
          <w:tcPr>
            <w:tcW w:w="5046" w:type="dxa"/>
          </w:tcPr>
          <w:p>
            <w:pPr>
              <w:pStyle w:val="TableParagraph"/>
              <w:spacing w:line="362" w:lineRule="auto"/>
              <w:ind w:left="104" w:right="240"/>
              <w:rPr>
                <w:sz w:val="18"/>
              </w:rPr>
            </w:pPr>
            <w:r>
              <w:rPr>
                <w:sz w:val="18"/>
              </w:rPr>
              <w:t>Su objetivo es proponer la creación de productos que combinan una gama funciones.</w:t>
            </w:r>
          </w:p>
          <w:p>
            <w:pPr>
              <w:pStyle w:val="TableParagraph"/>
              <w:spacing w:line="205" w:lineRule="exact"/>
              <w:ind w:left="104" w:right="240"/>
              <w:rPr>
                <w:sz w:val="18"/>
              </w:rPr>
            </w:pPr>
            <w:r>
              <w:rPr>
                <w:sz w:val="18"/>
              </w:rPr>
              <w:t>(Bhamra and Lofthouse, 2007).</w:t>
            </w:r>
          </w:p>
        </w:tc>
      </w:tr>
      <w:tr>
        <w:trPr>
          <w:trHeight w:val="1873" w:hRule="exact"/>
        </w:trPr>
        <w:tc>
          <w:tcPr>
            <w:tcW w:w="2837" w:type="dxa"/>
          </w:tcPr>
          <w:p>
            <w:pPr>
              <w:pStyle w:val="TableParagraph"/>
              <w:rPr>
                <w:sz w:val="18"/>
              </w:rPr>
            </w:pPr>
          </w:p>
          <w:p>
            <w:pPr>
              <w:pStyle w:val="TableParagraph"/>
              <w:rPr>
                <w:sz w:val="18"/>
              </w:rPr>
            </w:pPr>
          </w:p>
          <w:p>
            <w:pPr>
              <w:pStyle w:val="TableParagraph"/>
              <w:spacing w:before="10"/>
              <w:rPr>
                <w:sz w:val="17"/>
              </w:rPr>
            </w:pPr>
          </w:p>
          <w:p>
            <w:pPr>
              <w:pStyle w:val="TableParagraph"/>
              <w:ind w:left="173" w:right="171"/>
              <w:jc w:val="center"/>
              <w:rPr>
                <w:sz w:val="18"/>
              </w:rPr>
            </w:pPr>
            <w:r>
              <w:rPr>
                <w:sz w:val="18"/>
              </w:rPr>
              <w:t>Eficiencia energética</w:t>
            </w:r>
          </w:p>
        </w:tc>
        <w:tc>
          <w:tcPr>
            <w:tcW w:w="5046" w:type="dxa"/>
          </w:tcPr>
          <w:p>
            <w:pPr>
              <w:pStyle w:val="TableParagraph"/>
              <w:spacing w:line="360" w:lineRule="auto"/>
              <w:ind w:left="104" w:right="99"/>
              <w:jc w:val="both"/>
              <w:rPr>
                <w:sz w:val="18"/>
              </w:rPr>
            </w:pPr>
            <w:r>
              <w:rPr>
                <w:sz w:val="18"/>
              </w:rPr>
              <w:t>Su objetivo es reducir la cantidad de energía que un producto (o servicio) utiliza y, por lo tanto, reducir el impacto ambiental a través del ahorro de energía. Otras opciones dentro de este incluye el uso de fuentes de energía alternativas</w:t>
            </w:r>
          </w:p>
          <w:p>
            <w:pPr>
              <w:pStyle w:val="TableParagraph"/>
              <w:spacing w:before="4"/>
              <w:ind w:left="104"/>
              <w:jc w:val="both"/>
              <w:rPr>
                <w:sz w:val="18"/>
              </w:rPr>
            </w:pPr>
            <w:r>
              <w:rPr>
                <w:sz w:val="18"/>
              </w:rPr>
              <w:t>(Lofthouse, 2004).</w:t>
            </w:r>
          </w:p>
        </w:tc>
      </w:tr>
      <w:tr>
        <w:trPr>
          <w:trHeight w:val="1252" w:hRule="exact"/>
        </w:trPr>
        <w:tc>
          <w:tcPr>
            <w:tcW w:w="2837" w:type="dxa"/>
          </w:tcPr>
          <w:p>
            <w:pPr>
              <w:pStyle w:val="TableParagraph"/>
              <w:spacing w:before="8"/>
              <w:rPr>
                <w:sz w:val="26"/>
              </w:rPr>
            </w:pPr>
          </w:p>
          <w:p>
            <w:pPr>
              <w:pStyle w:val="TableParagraph"/>
              <w:ind w:left="173" w:right="172"/>
              <w:jc w:val="center"/>
              <w:rPr>
                <w:sz w:val="18"/>
              </w:rPr>
            </w:pPr>
            <w:r>
              <w:rPr>
                <w:sz w:val="18"/>
              </w:rPr>
              <w:t>Retroalimentación energética</w:t>
            </w:r>
          </w:p>
        </w:tc>
        <w:tc>
          <w:tcPr>
            <w:tcW w:w="5046" w:type="dxa"/>
          </w:tcPr>
          <w:p>
            <w:pPr>
              <w:pStyle w:val="TableParagraph"/>
              <w:spacing w:line="360" w:lineRule="auto"/>
              <w:ind w:left="104" w:right="103"/>
              <w:jc w:val="both"/>
              <w:rPr>
                <w:sz w:val="18"/>
              </w:rPr>
            </w:pPr>
            <w:r>
              <w:rPr>
                <w:sz w:val="18"/>
              </w:rPr>
              <w:t>Su objetivo es ofrecer a los consumidores suficiente información a través del producto para modificar su comportamiento y tomar mejores decisiones</w:t>
            </w:r>
          </w:p>
          <w:p>
            <w:pPr>
              <w:pStyle w:val="TableParagraph"/>
              <w:spacing w:before="4"/>
              <w:ind w:left="156"/>
              <w:jc w:val="both"/>
              <w:rPr>
                <w:sz w:val="18"/>
              </w:rPr>
            </w:pPr>
            <w:r>
              <w:rPr>
                <w:sz w:val="18"/>
              </w:rPr>
              <w:t>(Lilley, et al., 2005)</w:t>
            </w:r>
          </w:p>
        </w:tc>
      </w:tr>
      <w:tr>
        <w:trPr>
          <w:trHeight w:val="1873" w:hRule="exact"/>
        </w:trPr>
        <w:tc>
          <w:tcPr>
            <w:tcW w:w="2837" w:type="dxa"/>
          </w:tcPr>
          <w:p>
            <w:pPr>
              <w:pStyle w:val="TableParagraph"/>
              <w:rPr>
                <w:sz w:val="18"/>
              </w:rPr>
            </w:pPr>
          </w:p>
          <w:p>
            <w:pPr>
              <w:pStyle w:val="TableParagraph"/>
              <w:rPr>
                <w:sz w:val="18"/>
              </w:rPr>
            </w:pPr>
          </w:p>
          <w:p>
            <w:pPr>
              <w:pStyle w:val="TableParagraph"/>
              <w:spacing w:before="9"/>
              <w:rPr>
                <w:sz w:val="17"/>
              </w:rPr>
            </w:pPr>
          </w:p>
          <w:p>
            <w:pPr>
              <w:pStyle w:val="TableParagraph"/>
              <w:ind w:left="173" w:right="172"/>
              <w:jc w:val="center"/>
              <w:rPr>
                <w:sz w:val="18"/>
              </w:rPr>
            </w:pPr>
            <w:r>
              <w:rPr>
                <w:sz w:val="18"/>
              </w:rPr>
              <w:t>Diseñar para desensamblar</w:t>
            </w:r>
          </w:p>
        </w:tc>
        <w:tc>
          <w:tcPr>
            <w:tcW w:w="5046" w:type="dxa"/>
          </w:tcPr>
          <w:p>
            <w:pPr>
              <w:pStyle w:val="TableParagraph"/>
              <w:spacing w:line="360" w:lineRule="auto"/>
              <w:ind w:left="104" w:right="97"/>
              <w:jc w:val="both"/>
              <w:rPr>
                <w:sz w:val="18"/>
              </w:rPr>
            </w:pPr>
            <w:r>
              <w:rPr>
                <w:sz w:val="18"/>
              </w:rPr>
              <w:t>Su objetivo es diseñar productos con un uso prudente de ensamblaje convencional (por  ejemplo, clavos, pegamento o tornillos) y utilizar nuevos métodos de ensamblaje, para salvar materia prima y facilitar la reparación y reciclaje de partes de los</w:t>
            </w:r>
            <w:r>
              <w:rPr>
                <w:spacing w:val="-6"/>
                <w:sz w:val="18"/>
              </w:rPr>
              <w:t> </w:t>
            </w:r>
            <w:r>
              <w:rPr>
                <w:sz w:val="18"/>
              </w:rPr>
              <w:t>productos.</w:t>
            </w:r>
          </w:p>
          <w:p>
            <w:pPr>
              <w:pStyle w:val="TableParagraph"/>
              <w:spacing w:before="4"/>
              <w:ind w:left="156"/>
              <w:jc w:val="both"/>
              <w:rPr>
                <w:sz w:val="18"/>
              </w:rPr>
            </w:pPr>
            <w:r>
              <w:rPr>
                <w:sz w:val="18"/>
              </w:rPr>
              <w:t>(Ng Y Diniz, 2002).</w:t>
            </w:r>
          </w:p>
        </w:tc>
      </w:tr>
    </w:tbl>
    <w:p>
      <w:pPr>
        <w:spacing w:before="7"/>
        <w:ind w:left="3384" w:right="3443" w:firstLine="0"/>
        <w:jc w:val="center"/>
        <w:rPr>
          <w:sz w:val="18"/>
        </w:rPr>
      </w:pPr>
      <w:r>
        <w:rPr>
          <w:sz w:val="18"/>
        </w:rPr>
        <w:t>(Fuente: Victoria, 2008: 27).</w:t>
      </w:r>
    </w:p>
    <w:p>
      <w:pPr>
        <w:pStyle w:val="BodyText"/>
        <w:rPr>
          <w:sz w:val="18"/>
        </w:rPr>
      </w:pPr>
    </w:p>
    <w:p>
      <w:pPr>
        <w:pStyle w:val="BodyText"/>
        <w:rPr>
          <w:sz w:val="18"/>
        </w:rPr>
      </w:pPr>
    </w:p>
    <w:p>
      <w:pPr>
        <w:pStyle w:val="BodyText"/>
        <w:spacing w:line="360" w:lineRule="auto" w:before="106"/>
        <w:ind w:left="100" w:right="160"/>
        <w:jc w:val="both"/>
      </w:pPr>
      <w:r>
        <w:rPr/>
        <w:t>Para Bhamra, T. y V. A. Lofthouse (2007) enlistan otra herramienta de Eco-diseño, las seis reglas (</w:t>
      </w:r>
      <w:r>
        <w:rPr>
          <w:i/>
        </w:rPr>
        <w:t>Six rules of thumb</w:t>
      </w:r>
      <w:r>
        <w:rPr/>
        <w:t>) que ayuda a los diseñadores a enfocarse en el medio ambiente como una actividad de lluvia de ideas o para orientar el desarrollo de producto, explican que proceden de las tres Rs originales de reducir, reutilizar, reciclar y que durante mucho tiempo se han asociado con el medio ambiente:</w:t>
      </w:r>
    </w:p>
    <w:p>
      <w:pPr>
        <w:pStyle w:val="BodyText"/>
      </w:pPr>
    </w:p>
    <w:p>
      <w:pPr>
        <w:pStyle w:val="ListParagraph"/>
        <w:numPr>
          <w:ilvl w:val="3"/>
          <w:numId w:val="32"/>
        </w:numPr>
        <w:tabs>
          <w:tab w:pos="821" w:val="left" w:leader="none"/>
        </w:tabs>
        <w:spacing w:line="240" w:lineRule="auto" w:before="142" w:after="0"/>
        <w:ind w:left="821" w:right="0" w:hanging="361"/>
        <w:jc w:val="left"/>
        <w:rPr>
          <w:sz w:val="24"/>
        </w:rPr>
      </w:pPr>
      <w:r>
        <w:rPr>
          <w:sz w:val="24"/>
        </w:rPr>
        <w:t>Repensar: Repensar el producto y sus</w:t>
      </w:r>
      <w:r>
        <w:rPr>
          <w:spacing w:val="-24"/>
          <w:sz w:val="24"/>
        </w:rPr>
        <w:t> </w:t>
      </w:r>
      <w:r>
        <w:rPr>
          <w:sz w:val="24"/>
        </w:rPr>
        <w:t>funciones.</w:t>
      </w:r>
    </w:p>
    <w:p>
      <w:pPr>
        <w:pStyle w:val="ListParagraph"/>
        <w:numPr>
          <w:ilvl w:val="3"/>
          <w:numId w:val="32"/>
        </w:numPr>
        <w:tabs>
          <w:tab w:pos="821" w:val="left" w:leader="none"/>
        </w:tabs>
        <w:spacing w:line="362" w:lineRule="auto" w:before="136" w:after="0"/>
        <w:ind w:left="821" w:right="408" w:hanging="361"/>
        <w:jc w:val="left"/>
        <w:rPr>
          <w:sz w:val="24"/>
        </w:rPr>
      </w:pPr>
      <w:r>
        <w:rPr>
          <w:sz w:val="24"/>
        </w:rPr>
        <w:t>Reducir: reducir el consumo de energía y el consumo de recursos en</w:t>
      </w:r>
      <w:r>
        <w:rPr>
          <w:spacing w:val="-31"/>
          <w:sz w:val="24"/>
        </w:rPr>
        <w:t> </w:t>
      </w:r>
      <w:r>
        <w:rPr>
          <w:sz w:val="24"/>
        </w:rPr>
        <w:t>todo el ciclo de</w:t>
      </w:r>
      <w:r>
        <w:rPr>
          <w:spacing w:val="-11"/>
          <w:sz w:val="24"/>
        </w:rPr>
        <w:t> </w:t>
      </w:r>
      <w:r>
        <w:rPr>
          <w:sz w:val="24"/>
        </w:rPr>
        <w:t>vida.</w:t>
      </w:r>
    </w:p>
    <w:p>
      <w:pPr>
        <w:pStyle w:val="ListParagraph"/>
        <w:numPr>
          <w:ilvl w:val="3"/>
          <w:numId w:val="32"/>
        </w:numPr>
        <w:tabs>
          <w:tab w:pos="821" w:val="left" w:leader="none"/>
        </w:tabs>
        <w:spacing w:line="275" w:lineRule="exact" w:before="0" w:after="0"/>
        <w:ind w:left="821" w:right="0" w:hanging="361"/>
        <w:jc w:val="left"/>
        <w:rPr>
          <w:sz w:val="24"/>
        </w:rPr>
      </w:pPr>
      <w:r>
        <w:rPr>
          <w:sz w:val="24"/>
        </w:rPr>
        <w:t>Reemplazar: Reemplazar las sustancias peligrosas con</w:t>
      </w:r>
      <w:r>
        <w:rPr>
          <w:spacing w:val="-38"/>
          <w:sz w:val="24"/>
        </w:rPr>
        <w:t> </w:t>
      </w:r>
      <w:r>
        <w:rPr>
          <w:sz w:val="24"/>
        </w:rPr>
        <w:t>alternativas.</w:t>
      </w:r>
    </w:p>
    <w:p>
      <w:pPr>
        <w:spacing w:after="0" w:line="275" w:lineRule="exact"/>
        <w:jc w:val="left"/>
        <w:rPr>
          <w:sz w:val="24"/>
        </w:rPr>
        <w:sectPr>
          <w:pgSz w:w="12240" w:h="15840"/>
          <w:pgMar w:header="0" w:footer="1031" w:top="1460" w:bottom="1220" w:left="1600" w:right="1540"/>
        </w:sectPr>
      </w:pPr>
    </w:p>
    <w:p>
      <w:pPr>
        <w:pStyle w:val="ListParagraph"/>
        <w:numPr>
          <w:ilvl w:val="3"/>
          <w:numId w:val="32"/>
        </w:numPr>
        <w:tabs>
          <w:tab w:pos="821" w:val="left" w:leader="none"/>
        </w:tabs>
        <w:spacing w:line="240" w:lineRule="auto" w:before="43" w:after="0"/>
        <w:ind w:left="821" w:right="0" w:hanging="361"/>
        <w:jc w:val="left"/>
        <w:rPr>
          <w:sz w:val="24"/>
        </w:rPr>
      </w:pPr>
      <w:r>
        <w:rPr>
          <w:sz w:val="24"/>
        </w:rPr>
        <w:t>Reciclar: Utilice los materiales que pueden ser reutilizados o</w:t>
      </w:r>
      <w:r>
        <w:rPr>
          <w:spacing w:val="-44"/>
          <w:sz w:val="24"/>
        </w:rPr>
        <w:t> </w:t>
      </w:r>
      <w:r>
        <w:rPr>
          <w:sz w:val="24"/>
        </w:rPr>
        <w:t>reciclados.</w:t>
      </w:r>
    </w:p>
    <w:p>
      <w:pPr>
        <w:pStyle w:val="ListParagraph"/>
        <w:numPr>
          <w:ilvl w:val="3"/>
          <w:numId w:val="32"/>
        </w:numPr>
        <w:tabs>
          <w:tab w:pos="821" w:val="left" w:leader="none"/>
        </w:tabs>
        <w:spacing w:line="362" w:lineRule="auto" w:before="136" w:after="0"/>
        <w:ind w:left="821" w:right="214" w:hanging="361"/>
        <w:jc w:val="left"/>
        <w:rPr>
          <w:sz w:val="24"/>
        </w:rPr>
      </w:pPr>
      <w:r>
        <w:rPr>
          <w:sz w:val="24"/>
        </w:rPr>
        <w:t>Reutilizar: Diseñar de tal manera que el producto o partes de él puedan</w:t>
      </w:r>
      <w:r>
        <w:rPr>
          <w:spacing w:val="-38"/>
          <w:sz w:val="24"/>
        </w:rPr>
        <w:t> </w:t>
      </w:r>
      <w:r>
        <w:rPr>
          <w:spacing w:val="2"/>
          <w:sz w:val="24"/>
        </w:rPr>
        <w:t>ser </w:t>
      </w:r>
      <w:r>
        <w:rPr>
          <w:sz w:val="24"/>
        </w:rPr>
        <w:t>reutilizado.</w:t>
      </w:r>
    </w:p>
    <w:p>
      <w:pPr>
        <w:pStyle w:val="ListParagraph"/>
        <w:numPr>
          <w:ilvl w:val="3"/>
          <w:numId w:val="32"/>
        </w:numPr>
        <w:tabs>
          <w:tab w:pos="821" w:val="left" w:leader="none"/>
        </w:tabs>
        <w:spacing w:line="275" w:lineRule="exact" w:before="0" w:after="0"/>
        <w:ind w:left="821" w:right="0" w:hanging="361"/>
        <w:jc w:val="left"/>
        <w:rPr>
          <w:sz w:val="24"/>
        </w:rPr>
      </w:pPr>
      <w:r>
        <w:rPr>
          <w:sz w:val="24"/>
        </w:rPr>
        <w:t>Reparar: Diseñe un producto que sea fácil de</w:t>
      </w:r>
      <w:r>
        <w:rPr>
          <w:spacing w:val="-32"/>
          <w:sz w:val="24"/>
        </w:rPr>
        <w:t> </w:t>
      </w:r>
      <w:r>
        <w:rPr>
          <w:sz w:val="24"/>
        </w:rPr>
        <w:t>reparar.</w:t>
      </w:r>
    </w:p>
    <w:p>
      <w:pPr>
        <w:pStyle w:val="BodyText"/>
      </w:pPr>
    </w:p>
    <w:p>
      <w:pPr>
        <w:pStyle w:val="BodyText"/>
      </w:pPr>
    </w:p>
    <w:p>
      <w:pPr>
        <w:pStyle w:val="BodyText"/>
        <w:spacing w:line="360" w:lineRule="auto"/>
        <w:ind w:left="100" w:right="99"/>
        <w:jc w:val="both"/>
      </w:pPr>
      <w:r>
        <w:rPr/>
        <w:t>Para García (2008) piensa que se necesitan modelos de evaluación que permitan cuantificar, de forma que no seamos arbitrarios en las decisiones. Por ejemplo el Eco-diseño tiene la tarea de diseñar materiales, productos, proyectos y sistemas en armonía y con respecto a las especies vivientes y a la ecología del planeta, según la EDA.</w:t>
      </w:r>
    </w:p>
    <w:p>
      <w:pPr>
        <w:pStyle w:val="BodyText"/>
      </w:pPr>
    </w:p>
    <w:p>
      <w:pPr>
        <w:pStyle w:val="BodyText"/>
        <w:spacing w:line="360" w:lineRule="auto" w:before="142"/>
        <w:ind w:left="100" w:right="98"/>
        <w:jc w:val="both"/>
      </w:pPr>
      <w:r>
        <w:rPr/>
        <w:t>La misma autora menciona que un primer uso del término Eco-diseño fue como título de la publicación desarrollada por la Asociación de Diseño Ecológico (EDA, por sus siglas en inglés) en Inglaterra en 1989, en donde la referencia hacia el concepto “ecológico” reflejaba un mayor entendimiento de la relación entre el diseño y la ecología al incluir algunas nociones de Ecología Profunda.</w:t>
      </w:r>
    </w:p>
    <w:p>
      <w:pPr>
        <w:pStyle w:val="BodyText"/>
      </w:pPr>
    </w:p>
    <w:p>
      <w:pPr>
        <w:pStyle w:val="BodyText"/>
        <w:spacing w:before="142"/>
        <w:ind w:left="100"/>
        <w:jc w:val="both"/>
      </w:pPr>
      <w:r>
        <w:rPr/>
        <w:t>Los conceptos y principios básicos del Eco-diseño según García (2008) son:</w:t>
      </w:r>
    </w:p>
    <w:p>
      <w:pPr>
        <w:pStyle w:val="ListParagraph"/>
        <w:numPr>
          <w:ilvl w:val="0"/>
          <w:numId w:val="37"/>
        </w:numPr>
        <w:tabs>
          <w:tab w:pos="820" w:val="left" w:leader="none"/>
          <w:tab w:pos="821" w:val="left" w:leader="none"/>
        </w:tabs>
        <w:spacing w:line="240" w:lineRule="auto" w:before="140" w:after="0"/>
        <w:ind w:left="821" w:right="0" w:hanging="361"/>
        <w:jc w:val="left"/>
        <w:rPr>
          <w:sz w:val="24"/>
        </w:rPr>
      </w:pPr>
      <w:r>
        <w:rPr>
          <w:sz w:val="24"/>
        </w:rPr>
        <w:t>El método</w:t>
      </w:r>
      <w:r>
        <w:rPr>
          <w:spacing w:val="-6"/>
          <w:sz w:val="24"/>
        </w:rPr>
        <w:t> </w:t>
      </w:r>
      <w:r>
        <w:rPr>
          <w:sz w:val="24"/>
        </w:rPr>
        <w:t>DfX</w:t>
      </w:r>
    </w:p>
    <w:p>
      <w:pPr>
        <w:pStyle w:val="ListParagraph"/>
        <w:numPr>
          <w:ilvl w:val="0"/>
          <w:numId w:val="37"/>
        </w:numPr>
        <w:tabs>
          <w:tab w:pos="820" w:val="left" w:leader="none"/>
          <w:tab w:pos="821" w:val="left" w:leader="none"/>
        </w:tabs>
        <w:spacing w:line="240" w:lineRule="auto" w:before="134" w:after="0"/>
        <w:ind w:left="821" w:right="0" w:hanging="361"/>
        <w:jc w:val="left"/>
        <w:rPr>
          <w:sz w:val="24"/>
        </w:rPr>
      </w:pPr>
      <w:r>
        <w:rPr>
          <w:sz w:val="24"/>
        </w:rPr>
        <w:t>La Matriz</w:t>
      </w:r>
      <w:r>
        <w:rPr>
          <w:spacing w:val="-12"/>
          <w:sz w:val="24"/>
        </w:rPr>
        <w:t> </w:t>
      </w:r>
      <w:r>
        <w:rPr>
          <w:sz w:val="24"/>
        </w:rPr>
        <w:t>MET</w:t>
      </w:r>
    </w:p>
    <w:p>
      <w:pPr>
        <w:pStyle w:val="ListParagraph"/>
        <w:numPr>
          <w:ilvl w:val="0"/>
          <w:numId w:val="37"/>
        </w:numPr>
        <w:tabs>
          <w:tab w:pos="820" w:val="left" w:leader="none"/>
          <w:tab w:pos="821" w:val="left" w:leader="none"/>
        </w:tabs>
        <w:spacing w:line="240" w:lineRule="auto" w:before="137" w:after="0"/>
        <w:ind w:left="821" w:right="0" w:hanging="361"/>
        <w:jc w:val="left"/>
        <w:rPr>
          <w:sz w:val="24"/>
        </w:rPr>
      </w:pPr>
      <w:r>
        <w:rPr>
          <w:sz w:val="24"/>
        </w:rPr>
        <w:t>El concepto de Ciclo de</w:t>
      </w:r>
      <w:r>
        <w:rPr>
          <w:spacing w:val="-14"/>
          <w:sz w:val="24"/>
        </w:rPr>
        <w:t> </w:t>
      </w:r>
      <w:r>
        <w:rPr>
          <w:sz w:val="24"/>
        </w:rPr>
        <w:t>Vida</w:t>
      </w:r>
    </w:p>
    <w:p>
      <w:pPr>
        <w:pStyle w:val="ListParagraph"/>
        <w:numPr>
          <w:ilvl w:val="0"/>
          <w:numId w:val="37"/>
        </w:numPr>
        <w:tabs>
          <w:tab w:pos="820" w:val="left" w:leader="none"/>
          <w:tab w:pos="821" w:val="left" w:leader="none"/>
        </w:tabs>
        <w:spacing w:line="240" w:lineRule="auto" w:before="134" w:after="0"/>
        <w:ind w:left="821" w:right="0" w:hanging="361"/>
        <w:jc w:val="left"/>
        <w:rPr>
          <w:sz w:val="24"/>
        </w:rPr>
      </w:pPr>
      <w:r>
        <w:rPr>
          <w:sz w:val="24"/>
        </w:rPr>
        <w:t>El concepto de</w:t>
      </w:r>
      <w:r>
        <w:rPr>
          <w:spacing w:val="-16"/>
          <w:sz w:val="24"/>
        </w:rPr>
        <w:t> </w:t>
      </w:r>
      <w:r>
        <w:rPr>
          <w:sz w:val="24"/>
        </w:rPr>
        <w:t>Eco-eficiencia</w:t>
      </w:r>
    </w:p>
    <w:p>
      <w:pPr>
        <w:pStyle w:val="ListParagraph"/>
        <w:numPr>
          <w:ilvl w:val="0"/>
          <w:numId w:val="37"/>
        </w:numPr>
        <w:tabs>
          <w:tab w:pos="820" w:val="left" w:leader="none"/>
          <w:tab w:pos="821" w:val="left" w:leader="none"/>
        </w:tabs>
        <w:spacing w:line="240" w:lineRule="auto" w:before="137" w:after="0"/>
        <w:ind w:left="821" w:right="0" w:hanging="361"/>
        <w:jc w:val="left"/>
        <w:rPr>
          <w:sz w:val="24"/>
        </w:rPr>
      </w:pPr>
      <w:r>
        <w:rPr>
          <w:sz w:val="24"/>
        </w:rPr>
        <w:t>El Análisis del Ciclo de Vida</w:t>
      </w:r>
      <w:r>
        <w:rPr>
          <w:spacing w:val="-19"/>
          <w:sz w:val="24"/>
        </w:rPr>
        <w:t> </w:t>
      </w:r>
      <w:r>
        <w:rPr>
          <w:sz w:val="24"/>
        </w:rPr>
        <w:t>(LCA)</w:t>
      </w:r>
    </w:p>
    <w:p>
      <w:pPr>
        <w:pStyle w:val="BodyText"/>
      </w:pPr>
    </w:p>
    <w:p>
      <w:pPr>
        <w:pStyle w:val="BodyText"/>
        <w:spacing w:before="10"/>
        <w:rPr>
          <w:sz w:val="23"/>
        </w:rPr>
      </w:pPr>
    </w:p>
    <w:p>
      <w:pPr>
        <w:pStyle w:val="BodyText"/>
        <w:spacing w:line="360" w:lineRule="auto"/>
        <w:ind w:left="100" w:right="100"/>
        <w:jc w:val="both"/>
      </w:pPr>
      <w:r>
        <w:rPr/>
        <w:t>De todas las anteriores se conocerá el concepto de cada una dentro del apartado correspondiente, por ahora mencionaremos el método Df(x) y la Matriz MET, basándonos en la misma autora mencionaremos la idea principal cada uno de estos:</w:t>
      </w:r>
    </w:p>
    <w:p>
      <w:pPr>
        <w:pStyle w:val="BodyText"/>
      </w:pPr>
    </w:p>
    <w:p>
      <w:pPr>
        <w:pStyle w:val="BodyText"/>
        <w:spacing w:line="364" w:lineRule="auto" w:before="138"/>
        <w:ind w:left="100" w:right="99"/>
        <w:jc w:val="both"/>
      </w:pPr>
      <w:r>
        <w:rPr/>
        <w:t>El </w:t>
      </w:r>
      <w:r>
        <w:rPr>
          <w:b/>
        </w:rPr>
        <w:t>método Df (X) </w:t>
      </w:r>
      <w:r>
        <w:rPr/>
        <w:t>de diseño que permite la incorporación de características específicas (x) en el ciclo de vida de un producto,    “La aplicación correspondiente</w:t>
      </w:r>
    </w:p>
    <w:p>
      <w:pPr>
        <w:spacing w:after="0" w:line="364" w:lineRule="auto"/>
        <w:jc w:val="both"/>
        <w:sectPr>
          <w:pgSz w:w="12240" w:h="15840"/>
          <w:pgMar w:header="0" w:footer="1031" w:top="1420" w:bottom="1220" w:left="1600" w:right="1600"/>
        </w:sectPr>
      </w:pPr>
    </w:p>
    <w:p>
      <w:pPr>
        <w:pStyle w:val="BodyText"/>
        <w:spacing w:line="360" w:lineRule="auto" w:before="71"/>
        <w:ind w:left="100" w:right="119"/>
        <w:jc w:val="both"/>
      </w:pPr>
      <w:r>
        <w:rPr/>
        <w:t>de una técnica DfX puede utilizarse para considerar en el diseño de un producto los factores influyentes sobre cada fase del ciclo de vida”, así lo afirma García (2008). Para la autora dichas técnicas de DfX, sustituyen a (X) por un problema específico se tendría:</w:t>
      </w:r>
    </w:p>
    <w:p>
      <w:pPr>
        <w:pStyle w:val="BodyText"/>
        <w:spacing w:before="11"/>
        <w:rPr>
          <w:sz w:val="35"/>
        </w:rPr>
      </w:pPr>
    </w:p>
    <w:p>
      <w:pPr>
        <w:spacing w:line="362" w:lineRule="auto" w:before="0"/>
        <w:ind w:left="100" w:right="1897" w:firstLine="0"/>
        <w:jc w:val="left"/>
        <w:rPr>
          <w:sz w:val="24"/>
        </w:rPr>
      </w:pPr>
      <w:r>
        <w:rPr>
          <w:sz w:val="24"/>
        </w:rPr>
        <w:t>DfM- </w:t>
      </w:r>
      <w:r>
        <w:rPr>
          <w:i/>
          <w:sz w:val="24"/>
        </w:rPr>
        <w:t>Design for Manufacturability </w:t>
      </w:r>
      <w:r>
        <w:rPr>
          <w:sz w:val="24"/>
        </w:rPr>
        <w:t>(Diseño para la Producción) DfA- </w:t>
      </w:r>
      <w:r>
        <w:rPr>
          <w:i/>
          <w:sz w:val="24"/>
        </w:rPr>
        <w:t>Design for Assembly </w:t>
      </w:r>
      <w:r>
        <w:rPr>
          <w:sz w:val="24"/>
        </w:rPr>
        <w:t>(Diseño para el Ensamble)</w:t>
      </w:r>
    </w:p>
    <w:p>
      <w:pPr>
        <w:spacing w:line="362" w:lineRule="auto" w:before="0"/>
        <w:ind w:left="100" w:right="2590" w:firstLine="0"/>
        <w:jc w:val="left"/>
        <w:rPr>
          <w:sz w:val="24"/>
        </w:rPr>
      </w:pPr>
      <w:r>
        <w:rPr>
          <w:sz w:val="24"/>
        </w:rPr>
        <w:t>DfPe- </w:t>
      </w:r>
      <w:r>
        <w:rPr>
          <w:i/>
          <w:sz w:val="24"/>
        </w:rPr>
        <w:t>Design for Performance </w:t>
      </w:r>
      <w:r>
        <w:rPr>
          <w:sz w:val="24"/>
        </w:rPr>
        <w:t>(Diseño para el Desempeño) Dfs- </w:t>
      </w:r>
      <w:r>
        <w:rPr>
          <w:i/>
          <w:sz w:val="24"/>
        </w:rPr>
        <w:t>Design for Safety </w:t>
      </w:r>
      <w:r>
        <w:rPr>
          <w:sz w:val="24"/>
        </w:rPr>
        <w:t>(Diseño para la Seguridad)</w:t>
      </w:r>
    </w:p>
    <w:p>
      <w:pPr>
        <w:spacing w:line="362" w:lineRule="auto" w:before="0"/>
        <w:ind w:left="100" w:right="1027" w:firstLine="0"/>
        <w:jc w:val="left"/>
        <w:rPr>
          <w:sz w:val="24"/>
        </w:rPr>
      </w:pPr>
      <w:r>
        <w:rPr>
          <w:sz w:val="24"/>
        </w:rPr>
        <w:t>DfRm- </w:t>
      </w:r>
      <w:r>
        <w:rPr>
          <w:i/>
          <w:sz w:val="24"/>
        </w:rPr>
        <w:t>Design for REmanufacturability </w:t>
      </w:r>
      <w:r>
        <w:rPr>
          <w:sz w:val="24"/>
        </w:rPr>
        <w:t>(Diseño para la Re-Manufactura) DfRC- </w:t>
      </w:r>
      <w:r>
        <w:rPr>
          <w:i/>
          <w:sz w:val="24"/>
        </w:rPr>
        <w:t>Design for Recycling </w:t>
      </w:r>
      <w:r>
        <w:rPr>
          <w:sz w:val="24"/>
        </w:rPr>
        <w:t>(Diseño para el Reciclaje)</w:t>
      </w:r>
    </w:p>
    <w:p>
      <w:pPr>
        <w:spacing w:line="275" w:lineRule="exact" w:before="0"/>
        <w:ind w:left="100" w:right="0" w:firstLine="0"/>
        <w:jc w:val="both"/>
        <w:rPr>
          <w:sz w:val="24"/>
        </w:rPr>
      </w:pPr>
      <w:r>
        <w:rPr>
          <w:sz w:val="24"/>
        </w:rPr>
        <w:t>DfD- </w:t>
      </w:r>
      <w:r>
        <w:rPr>
          <w:i/>
          <w:sz w:val="24"/>
        </w:rPr>
        <w:t>Design for Disassembly </w:t>
      </w:r>
      <w:r>
        <w:rPr>
          <w:sz w:val="24"/>
        </w:rPr>
        <w:t>(Diseño para Desensamble)</w:t>
      </w:r>
    </w:p>
    <w:p>
      <w:pPr>
        <w:spacing w:before="140"/>
        <w:ind w:left="100" w:right="0" w:firstLine="0"/>
        <w:jc w:val="both"/>
        <w:rPr>
          <w:sz w:val="24"/>
        </w:rPr>
      </w:pPr>
      <w:r>
        <w:rPr>
          <w:sz w:val="24"/>
        </w:rPr>
        <w:t>DfE- </w:t>
      </w:r>
      <w:r>
        <w:rPr>
          <w:i/>
          <w:sz w:val="24"/>
        </w:rPr>
        <w:t>Design for the Enviroment </w:t>
      </w:r>
      <w:r>
        <w:rPr>
          <w:sz w:val="24"/>
        </w:rPr>
        <w:t>(Diseño para el medio ambiente)</w:t>
      </w:r>
    </w:p>
    <w:p>
      <w:pPr>
        <w:pStyle w:val="BodyText"/>
      </w:pPr>
    </w:p>
    <w:p>
      <w:pPr>
        <w:pStyle w:val="BodyText"/>
      </w:pPr>
    </w:p>
    <w:p>
      <w:pPr>
        <w:pStyle w:val="BodyText"/>
        <w:spacing w:line="360" w:lineRule="auto"/>
        <w:ind w:left="100" w:right="117"/>
        <w:jc w:val="both"/>
      </w:pPr>
      <w:r>
        <w:rPr/>
        <w:t>La </w:t>
      </w:r>
      <w:r>
        <w:rPr>
          <w:b/>
        </w:rPr>
        <w:t>Matriz MET </w:t>
      </w:r>
      <w:r>
        <w:rPr/>
        <w:t>permite realizar un análisis de todos los problemas ambientales que un producto o el sistema de un producto provocan durante su ciclo de vida para establecer su perfil ambiental. La matriz consta de un esquema de 3 columnas, ver siguiente </w:t>
      </w:r>
      <w:hyperlink w:history="true" w:anchor="_bookmark116">
        <w:r>
          <w:rPr/>
          <w:t>Tabla</w:t>
        </w:r>
        <w:r>
          <w:rPr>
            <w:spacing w:val="-16"/>
          </w:rPr>
          <w:t> </w:t>
        </w:r>
        <w:r>
          <w:rPr/>
          <w:t>3.2</w:t>
        </w:r>
      </w:hyperlink>
    </w:p>
    <w:p>
      <w:pPr>
        <w:pStyle w:val="BodyText"/>
      </w:pPr>
    </w:p>
    <w:p>
      <w:pPr>
        <w:spacing w:before="138" w:after="6"/>
        <w:ind w:left="1241" w:right="1029" w:firstLine="0"/>
        <w:jc w:val="center"/>
        <w:rPr>
          <w:sz w:val="18"/>
        </w:rPr>
      </w:pPr>
      <w:bookmarkStart w:name="_bookmark116" w:id="178"/>
      <w:bookmarkEnd w:id="178"/>
      <w:r>
        <w:rPr/>
      </w:r>
      <w:r>
        <w:rPr>
          <w:sz w:val="18"/>
        </w:rPr>
        <w:t>Tabla 3.2. Matriz MET.</w:t>
      </w:r>
    </w:p>
    <w:tbl>
      <w:tblPr>
        <w:tblW w:w="0" w:type="auto"/>
        <w:jc w:val="left"/>
        <w:tblInd w:w="1441"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073"/>
        <w:gridCol w:w="1044"/>
        <w:gridCol w:w="1421"/>
        <w:gridCol w:w="1416"/>
      </w:tblGrid>
      <w:tr>
        <w:trPr>
          <w:trHeight w:val="632" w:hRule="exact"/>
        </w:trPr>
        <w:tc>
          <w:tcPr>
            <w:tcW w:w="2073" w:type="dxa"/>
          </w:tcPr>
          <w:p>
            <w:pPr>
              <w:pStyle w:val="TableParagraph"/>
              <w:spacing w:line="357" w:lineRule="auto"/>
              <w:ind w:left="852" w:right="238" w:hanging="597"/>
              <w:rPr>
                <w:sz w:val="18"/>
              </w:rPr>
            </w:pPr>
            <w:r>
              <w:rPr>
                <w:sz w:val="18"/>
              </w:rPr>
              <w:t>Etapas del Ciclo de Vida</w:t>
            </w:r>
          </w:p>
        </w:tc>
        <w:tc>
          <w:tcPr>
            <w:tcW w:w="1044" w:type="dxa"/>
          </w:tcPr>
          <w:p>
            <w:pPr>
              <w:pStyle w:val="TableParagraph"/>
              <w:spacing w:line="206" w:lineRule="exact"/>
              <w:ind w:left="103"/>
              <w:rPr>
                <w:sz w:val="18"/>
              </w:rPr>
            </w:pPr>
            <w:r>
              <w:rPr>
                <w:sz w:val="18"/>
              </w:rPr>
              <w:t>Materiales</w:t>
            </w:r>
          </w:p>
        </w:tc>
        <w:tc>
          <w:tcPr>
            <w:tcW w:w="1421" w:type="dxa"/>
          </w:tcPr>
          <w:p>
            <w:pPr>
              <w:pStyle w:val="TableParagraph"/>
              <w:spacing w:line="357" w:lineRule="auto"/>
              <w:ind w:left="403" w:right="379" w:firstLine="20"/>
              <w:rPr>
                <w:sz w:val="18"/>
              </w:rPr>
            </w:pPr>
            <w:r>
              <w:rPr>
                <w:sz w:val="18"/>
              </w:rPr>
              <w:t>Uso de energía</w:t>
            </w:r>
          </w:p>
        </w:tc>
        <w:tc>
          <w:tcPr>
            <w:tcW w:w="1416" w:type="dxa"/>
          </w:tcPr>
          <w:p>
            <w:pPr>
              <w:pStyle w:val="TableParagraph"/>
              <w:spacing w:line="357" w:lineRule="auto"/>
              <w:ind w:left="423" w:right="271" w:hanging="136"/>
              <w:rPr>
                <w:sz w:val="18"/>
              </w:rPr>
            </w:pPr>
            <w:r>
              <w:rPr>
                <w:sz w:val="18"/>
              </w:rPr>
              <w:t>Emisiones tóxicas</w:t>
            </w:r>
          </w:p>
        </w:tc>
      </w:tr>
      <w:tr>
        <w:trPr>
          <w:trHeight w:val="320" w:hRule="exact"/>
        </w:trPr>
        <w:tc>
          <w:tcPr>
            <w:tcW w:w="2073" w:type="dxa"/>
          </w:tcPr>
          <w:p>
            <w:pPr>
              <w:pStyle w:val="TableParagraph"/>
              <w:spacing w:line="202" w:lineRule="exact"/>
              <w:ind w:left="96" w:right="96"/>
              <w:jc w:val="center"/>
              <w:rPr>
                <w:sz w:val="18"/>
              </w:rPr>
            </w:pPr>
            <w:r>
              <w:rPr>
                <w:sz w:val="18"/>
              </w:rPr>
              <w:t>Extracción de recursos</w:t>
            </w:r>
          </w:p>
        </w:tc>
        <w:tc>
          <w:tcPr>
            <w:tcW w:w="1044" w:type="dxa"/>
          </w:tcPr>
          <w:p>
            <w:pPr/>
          </w:p>
        </w:tc>
        <w:tc>
          <w:tcPr>
            <w:tcW w:w="1421" w:type="dxa"/>
          </w:tcPr>
          <w:p>
            <w:pPr/>
          </w:p>
        </w:tc>
        <w:tc>
          <w:tcPr>
            <w:tcW w:w="1416" w:type="dxa"/>
          </w:tcPr>
          <w:p>
            <w:pPr/>
          </w:p>
        </w:tc>
      </w:tr>
      <w:tr>
        <w:trPr>
          <w:trHeight w:val="320" w:hRule="exact"/>
        </w:trPr>
        <w:tc>
          <w:tcPr>
            <w:tcW w:w="2073" w:type="dxa"/>
          </w:tcPr>
          <w:p>
            <w:pPr>
              <w:pStyle w:val="TableParagraph"/>
              <w:spacing w:line="202" w:lineRule="exact"/>
              <w:ind w:left="96" w:right="96"/>
              <w:jc w:val="center"/>
              <w:rPr>
                <w:sz w:val="18"/>
              </w:rPr>
            </w:pPr>
            <w:r>
              <w:rPr>
                <w:sz w:val="18"/>
              </w:rPr>
              <w:t>Producción</w:t>
            </w:r>
          </w:p>
        </w:tc>
        <w:tc>
          <w:tcPr>
            <w:tcW w:w="1044" w:type="dxa"/>
          </w:tcPr>
          <w:p>
            <w:pPr/>
          </w:p>
        </w:tc>
        <w:tc>
          <w:tcPr>
            <w:tcW w:w="1421" w:type="dxa"/>
          </w:tcPr>
          <w:p>
            <w:pPr/>
          </w:p>
        </w:tc>
        <w:tc>
          <w:tcPr>
            <w:tcW w:w="1416" w:type="dxa"/>
          </w:tcPr>
          <w:p>
            <w:pPr/>
          </w:p>
        </w:tc>
      </w:tr>
      <w:tr>
        <w:trPr>
          <w:trHeight w:val="320" w:hRule="exact"/>
        </w:trPr>
        <w:tc>
          <w:tcPr>
            <w:tcW w:w="2073" w:type="dxa"/>
          </w:tcPr>
          <w:p>
            <w:pPr>
              <w:pStyle w:val="TableParagraph"/>
              <w:spacing w:line="207" w:lineRule="exact"/>
              <w:ind w:left="95" w:right="96"/>
              <w:jc w:val="center"/>
              <w:rPr>
                <w:sz w:val="18"/>
              </w:rPr>
            </w:pPr>
            <w:r>
              <w:rPr>
                <w:sz w:val="18"/>
              </w:rPr>
              <w:t>Distribución</w:t>
            </w:r>
          </w:p>
        </w:tc>
        <w:tc>
          <w:tcPr>
            <w:tcW w:w="1044" w:type="dxa"/>
          </w:tcPr>
          <w:p>
            <w:pPr/>
          </w:p>
        </w:tc>
        <w:tc>
          <w:tcPr>
            <w:tcW w:w="1421" w:type="dxa"/>
          </w:tcPr>
          <w:p>
            <w:pPr/>
          </w:p>
        </w:tc>
        <w:tc>
          <w:tcPr>
            <w:tcW w:w="1416" w:type="dxa"/>
          </w:tcPr>
          <w:p>
            <w:pPr/>
          </w:p>
        </w:tc>
      </w:tr>
      <w:tr>
        <w:trPr>
          <w:trHeight w:val="320" w:hRule="exact"/>
        </w:trPr>
        <w:tc>
          <w:tcPr>
            <w:tcW w:w="2073" w:type="dxa"/>
          </w:tcPr>
          <w:p>
            <w:pPr>
              <w:pStyle w:val="TableParagraph"/>
              <w:spacing w:line="206" w:lineRule="exact"/>
              <w:ind w:left="94" w:right="96"/>
              <w:jc w:val="center"/>
              <w:rPr>
                <w:sz w:val="18"/>
              </w:rPr>
            </w:pPr>
            <w:r>
              <w:rPr>
                <w:sz w:val="18"/>
              </w:rPr>
              <w:t>Utilización</w:t>
            </w:r>
          </w:p>
        </w:tc>
        <w:tc>
          <w:tcPr>
            <w:tcW w:w="1044" w:type="dxa"/>
          </w:tcPr>
          <w:p>
            <w:pPr/>
          </w:p>
        </w:tc>
        <w:tc>
          <w:tcPr>
            <w:tcW w:w="1421" w:type="dxa"/>
          </w:tcPr>
          <w:p>
            <w:pPr/>
          </w:p>
        </w:tc>
        <w:tc>
          <w:tcPr>
            <w:tcW w:w="1416" w:type="dxa"/>
          </w:tcPr>
          <w:p>
            <w:pPr/>
          </w:p>
        </w:tc>
      </w:tr>
      <w:tr>
        <w:trPr>
          <w:trHeight w:val="320" w:hRule="exact"/>
        </w:trPr>
        <w:tc>
          <w:tcPr>
            <w:tcW w:w="2073" w:type="dxa"/>
          </w:tcPr>
          <w:p>
            <w:pPr>
              <w:pStyle w:val="TableParagraph"/>
              <w:spacing w:line="206" w:lineRule="exact"/>
              <w:ind w:left="96" w:right="96"/>
              <w:jc w:val="center"/>
              <w:rPr>
                <w:sz w:val="18"/>
              </w:rPr>
            </w:pPr>
            <w:r>
              <w:rPr>
                <w:sz w:val="18"/>
              </w:rPr>
              <w:t>Desecho</w:t>
            </w:r>
          </w:p>
        </w:tc>
        <w:tc>
          <w:tcPr>
            <w:tcW w:w="1044" w:type="dxa"/>
          </w:tcPr>
          <w:p>
            <w:pPr/>
          </w:p>
        </w:tc>
        <w:tc>
          <w:tcPr>
            <w:tcW w:w="1421" w:type="dxa"/>
          </w:tcPr>
          <w:p>
            <w:pPr/>
          </w:p>
        </w:tc>
        <w:tc>
          <w:tcPr>
            <w:tcW w:w="1416" w:type="dxa"/>
          </w:tcPr>
          <w:p>
            <w:pPr/>
          </w:p>
        </w:tc>
      </w:tr>
    </w:tbl>
    <w:p>
      <w:pPr>
        <w:spacing w:line="206" w:lineRule="exact" w:before="0"/>
        <w:ind w:left="1012" w:right="1029" w:firstLine="0"/>
        <w:jc w:val="center"/>
        <w:rPr>
          <w:sz w:val="18"/>
        </w:rPr>
      </w:pPr>
      <w:r>
        <w:rPr>
          <w:sz w:val="18"/>
        </w:rPr>
        <w:t>(Fuente: García, 2008: 64).</w:t>
      </w:r>
    </w:p>
    <w:p>
      <w:pPr>
        <w:pStyle w:val="BodyText"/>
        <w:rPr>
          <w:sz w:val="18"/>
        </w:rPr>
      </w:pPr>
    </w:p>
    <w:p>
      <w:pPr>
        <w:pStyle w:val="BodyText"/>
        <w:rPr>
          <w:sz w:val="18"/>
        </w:rPr>
      </w:pPr>
    </w:p>
    <w:p>
      <w:pPr>
        <w:pStyle w:val="BodyText"/>
        <w:spacing w:line="360" w:lineRule="auto" w:before="106"/>
        <w:ind w:left="100" w:right="118"/>
        <w:jc w:val="both"/>
      </w:pPr>
      <w:r>
        <w:rPr/>
        <w:t>Se puede concluir que en el Eco-diseño, el medio ambiente es considerado para tomar decisiones en el momento que se fabrica un producto industrial (incluyendo todas las etapas), y para ello se desarrollaron todas estas herramientas que miden el impacto medioambiental.</w:t>
      </w:r>
    </w:p>
    <w:p>
      <w:pPr>
        <w:spacing w:after="0" w:line="360" w:lineRule="auto"/>
        <w:jc w:val="both"/>
        <w:sectPr>
          <w:pgSz w:w="12240" w:h="15840"/>
          <w:pgMar w:header="0" w:footer="1031" w:top="1500" w:bottom="1220" w:left="1600" w:right="1580"/>
        </w:sectPr>
      </w:pPr>
    </w:p>
    <w:p>
      <w:pPr>
        <w:pStyle w:val="Heading2"/>
        <w:numPr>
          <w:ilvl w:val="2"/>
          <w:numId w:val="32"/>
        </w:numPr>
        <w:tabs>
          <w:tab w:pos="897" w:val="left" w:leader="none"/>
        </w:tabs>
        <w:spacing w:line="240" w:lineRule="auto" w:before="49" w:after="0"/>
        <w:ind w:left="897" w:right="0" w:hanging="797"/>
        <w:jc w:val="both"/>
      </w:pPr>
      <w:bookmarkStart w:name="3.2.3.  Eco-Rediseño" w:id="179"/>
      <w:bookmarkEnd w:id="179"/>
      <w:r>
        <w:rPr/>
      </w:r>
      <w:bookmarkStart w:name="_bookmark117" w:id="180"/>
      <w:bookmarkEnd w:id="180"/>
      <w:r>
        <w:rPr/>
        <w:t>E</w:t>
      </w:r>
      <w:r>
        <w:rPr/>
        <w:t>co-Rediseño</w:t>
      </w:r>
    </w:p>
    <w:p>
      <w:pPr>
        <w:pStyle w:val="BodyText"/>
        <w:rPr>
          <w:sz w:val="28"/>
        </w:rPr>
      </w:pPr>
    </w:p>
    <w:p>
      <w:pPr>
        <w:pStyle w:val="BodyText"/>
        <w:spacing w:before="8"/>
        <w:rPr>
          <w:sz w:val="22"/>
        </w:rPr>
      </w:pPr>
    </w:p>
    <w:p>
      <w:pPr>
        <w:pStyle w:val="BodyText"/>
        <w:spacing w:line="360" w:lineRule="auto"/>
        <w:ind w:left="100" w:right="117"/>
        <w:jc w:val="both"/>
      </w:pPr>
      <w:r>
        <w:rPr/>
        <w:t>Para definir Eco-rediseño se inicia con Bhamra, et al., (2002), ella afirma que es diseñar un mejor producto desde una perspectiva de eco-eficiencia, por ejemplo, un hervidor o cepillo de dientes más respetuoso con el medio ambiente - es el comienzo de la mejora del rendimiento medioambiental de los productos, pero no significa el final. Además agrega que la sostenibilidad real requiere grandes reducciones en los recursos consumidos por los seres humanos, y esto significaría cambios en el estilo de vida.</w:t>
      </w:r>
    </w:p>
    <w:p>
      <w:pPr>
        <w:pStyle w:val="BodyText"/>
        <w:spacing w:line="360" w:lineRule="auto" w:before="201"/>
        <w:ind w:left="100" w:right="117"/>
        <w:jc w:val="both"/>
      </w:pPr>
      <w:r>
        <w:rPr/>
        <w:t>Otra definición que aporta Manzini (1999), lo describe como "el término eco-diseño indica una actividad de diseño dirigida a conectar lo que es técnicamente posible con lo que es ecológicamente necesario para suscitar una nueva propuesta social y culturalmente aceptable", </w:t>
      </w:r>
      <w:r>
        <w:rPr>
          <w:spacing w:val="-2"/>
        </w:rPr>
        <w:t>más </w:t>
      </w:r>
      <w:r>
        <w:rPr/>
        <w:t>reitera que la sociedad sostenible no puede lograrse mejorando el rediseño ambiental del viejo paradigma orientado al producto; lo que se puede hacer es promover una reorientación ambiental del nuevo paradigma de la información y el servicio. Para él se trata de una orientación ambiental de los impulsores de la dinámica cultural, social y económica por la difusión de las tecnologías de la</w:t>
      </w:r>
      <w:r>
        <w:rPr>
          <w:spacing w:val="-28"/>
        </w:rPr>
        <w:t> </w:t>
      </w:r>
      <w:r>
        <w:rPr/>
        <w:t>información.</w:t>
      </w:r>
    </w:p>
    <w:p>
      <w:pPr>
        <w:pStyle w:val="BodyText"/>
      </w:pPr>
    </w:p>
    <w:p>
      <w:pPr>
        <w:pStyle w:val="BodyText"/>
        <w:spacing w:before="5"/>
        <w:rPr>
          <w:sz w:val="29"/>
        </w:rPr>
      </w:pPr>
    </w:p>
    <w:p>
      <w:pPr>
        <w:pStyle w:val="BodyText"/>
        <w:spacing w:line="360" w:lineRule="auto"/>
        <w:ind w:left="100" w:right="117"/>
        <w:jc w:val="both"/>
      </w:pPr>
      <w:r>
        <w:rPr>
          <w:i/>
        </w:rPr>
        <w:t>The Royal Melbourne Institute of Technology </w:t>
      </w:r>
      <w:r>
        <w:rPr/>
        <w:t>(1997), afirma que los impactos ambientales de un producto y sus envases asociados pueden ser reducidos a través de una variedad de estrategias. Estos determinaron que la clave del éxito es seleccionar las estrategias más apropiadas y efectivas para un producto en particular para reducir los impactos ambientales que se han identificado. Concluyen que los impactos ambientales están en gran medida determinados por la forma en que se diseña un producto y el material de que se fabrica, su duración y la naturaleza de su utilización, si esto es diseñado para ser reciclado, y </w:t>
      </w:r>
      <w:r>
        <w:rPr>
          <w:spacing w:val="-3"/>
        </w:rPr>
        <w:t>así </w:t>
      </w:r>
      <w:r>
        <w:rPr/>
        <w:t>sucesivamente; finalizan afirmando que el Eco-rediseño es un enfoque para "diseñar-fuera' tantos problemas ambientales como sea posible, mientras se sigue produciendo un producto de alta calidad y</w:t>
      </w:r>
      <w:r>
        <w:rPr>
          <w:spacing w:val="-23"/>
        </w:rPr>
        <w:t> </w:t>
      </w:r>
      <w:r>
        <w:rPr/>
        <w:t>rentable.</w:t>
      </w:r>
    </w:p>
    <w:p>
      <w:pPr>
        <w:spacing w:after="0" w:line="360" w:lineRule="auto"/>
        <w:jc w:val="both"/>
        <w:sectPr>
          <w:pgSz w:w="12240" w:h="15840"/>
          <w:pgMar w:header="0" w:footer="1031" w:top="1360" w:bottom="1220" w:left="1600" w:right="1580"/>
        </w:sectPr>
      </w:pPr>
    </w:p>
    <w:p>
      <w:pPr>
        <w:pStyle w:val="Heading2"/>
        <w:numPr>
          <w:ilvl w:val="2"/>
          <w:numId w:val="32"/>
        </w:numPr>
        <w:tabs>
          <w:tab w:pos="1017" w:val="left" w:leader="none"/>
        </w:tabs>
        <w:spacing w:line="240" w:lineRule="auto" w:before="45" w:after="0"/>
        <w:ind w:left="1017" w:right="0" w:hanging="797"/>
        <w:jc w:val="both"/>
      </w:pPr>
      <w:bookmarkStart w:name="3.2.4.  Diseño Sustentable" w:id="181"/>
      <w:bookmarkEnd w:id="181"/>
      <w:r>
        <w:rPr/>
      </w:r>
      <w:bookmarkStart w:name="_bookmark118" w:id="182"/>
      <w:bookmarkEnd w:id="182"/>
      <w:r>
        <w:rPr/>
        <w:t>D</w:t>
      </w:r>
      <w:r>
        <w:rPr/>
        <w:t>iseño</w:t>
      </w:r>
      <w:r>
        <w:rPr>
          <w:spacing w:val="-3"/>
        </w:rPr>
        <w:t> </w:t>
      </w:r>
      <w:r>
        <w:rPr/>
        <w:t>Sustentable</w:t>
      </w:r>
    </w:p>
    <w:p>
      <w:pPr>
        <w:pStyle w:val="BodyText"/>
        <w:rPr>
          <w:sz w:val="28"/>
        </w:rPr>
      </w:pPr>
    </w:p>
    <w:p>
      <w:pPr>
        <w:pStyle w:val="BodyText"/>
        <w:spacing w:before="4"/>
        <w:rPr>
          <w:sz w:val="22"/>
        </w:rPr>
      </w:pPr>
    </w:p>
    <w:p>
      <w:pPr>
        <w:pStyle w:val="BodyText"/>
        <w:ind w:left="220"/>
        <w:jc w:val="both"/>
      </w:pPr>
      <w:r>
        <w:rPr/>
        <w:t>Se inicia con esta cita:</w:t>
      </w:r>
    </w:p>
    <w:p>
      <w:pPr>
        <w:pStyle w:val="BodyText"/>
      </w:pPr>
    </w:p>
    <w:p>
      <w:pPr>
        <w:pStyle w:val="BodyText"/>
        <w:spacing w:before="9"/>
        <w:rPr>
          <w:sz w:val="23"/>
        </w:rPr>
      </w:pPr>
    </w:p>
    <w:p>
      <w:pPr>
        <w:spacing w:line="362" w:lineRule="auto" w:before="0"/>
        <w:ind w:left="929" w:right="158" w:firstLine="0"/>
        <w:jc w:val="both"/>
        <w:rPr>
          <w:sz w:val="24"/>
        </w:rPr>
      </w:pPr>
      <w:r>
        <w:rPr>
          <w:i/>
          <w:sz w:val="20"/>
        </w:rPr>
        <w:t>Lo que un modelo de diseño sustentable ofrece es una forma de relacionar los objetivos del </w:t>
      </w:r>
      <w:r>
        <w:rPr>
          <w:i/>
          <w:sz w:val="20"/>
        </w:rPr>
        <w:t>diseño sustentable con el desarrollo de un producto. Esto conlleva a que en el mercado se compita con productos más sustentables</w:t>
      </w:r>
      <w:r>
        <w:rPr>
          <w:sz w:val="24"/>
        </w:rPr>
        <w:t>. (Howarth y Haldfield, 2006).</w:t>
      </w:r>
    </w:p>
    <w:p>
      <w:pPr>
        <w:pStyle w:val="BodyText"/>
      </w:pPr>
    </w:p>
    <w:p>
      <w:pPr>
        <w:pStyle w:val="BodyText"/>
        <w:spacing w:line="360" w:lineRule="auto" w:before="139"/>
        <w:ind w:left="220" w:right="166"/>
        <w:jc w:val="both"/>
      </w:pPr>
      <w:r>
        <w:rPr/>
        <w:t>Bhamra, T. y V. A. Lofthouse (2007) al referirse a diseñar para la sustentabilidad, señalan que el objetivo final de las empresas debería ser diseñar y desarrollar productos rentables que sean tanto ecológicos como socialmente responsable.</w:t>
      </w:r>
    </w:p>
    <w:p>
      <w:pPr>
        <w:pStyle w:val="BodyText"/>
      </w:pPr>
    </w:p>
    <w:p>
      <w:pPr>
        <w:pStyle w:val="BodyText"/>
        <w:spacing w:line="360" w:lineRule="auto" w:before="141"/>
        <w:ind w:left="220" w:right="159"/>
        <w:jc w:val="both"/>
      </w:pPr>
      <w:r>
        <w:rPr/>
        <w:t>Las mismas autoras comentan que a partir del desarrollo sustentable que surge la necesidad de aplicarse al área del diseño desde un enfoque filosófico. Así el diseñador debe considerar la vida útil de un producto desde “la cuna hasta la tumba”, este consiste en: extracción de las materias primas para hacer el  producto, el proceso de fabricación; su distribución, su uso y lo que le sucede al final de su</w:t>
      </w:r>
      <w:r>
        <w:rPr>
          <w:spacing w:val="-10"/>
        </w:rPr>
        <w:t> </w:t>
      </w:r>
      <w:r>
        <w:rPr/>
        <w:t>vida.</w:t>
      </w:r>
    </w:p>
    <w:p>
      <w:pPr>
        <w:pStyle w:val="BodyText"/>
      </w:pPr>
    </w:p>
    <w:p>
      <w:pPr>
        <w:pStyle w:val="BodyText"/>
        <w:spacing w:line="360" w:lineRule="auto" w:before="142"/>
        <w:ind w:left="220" w:right="159"/>
        <w:jc w:val="both"/>
      </w:pPr>
      <w:r>
        <w:rPr/>
        <w:t>Es importante destacar que dentro del Diseño Sustentable las teorías o posturas filosóficas son diversas, pero las más importantes las menciona en la siguiente tabla Bhamra (2007).</w:t>
      </w:r>
    </w:p>
    <w:p>
      <w:pPr>
        <w:pStyle w:val="BodyText"/>
      </w:pPr>
    </w:p>
    <w:p>
      <w:pPr>
        <w:spacing w:before="139" w:after="6"/>
        <w:ind w:left="2257" w:right="69" w:firstLine="0"/>
        <w:jc w:val="left"/>
        <w:rPr>
          <w:sz w:val="18"/>
        </w:rPr>
      </w:pPr>
      <w:bookmarkStart w:name="_bookmark119" w:id="183"/>
      <w:bookmarkEnd w:id="183"/>
      <w:r>
        <w:rPr/>
      </w:r>
      <w:r>
        <w:rPr>
          <w:sz w:val="18"/>
        </w:rPr>
        <w:t>Tabla 3.3. Diferenciación de las filosofías de diseño ambiental.</w:t>
      </w: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092"/>
        <w:gridCol w:w="6891"/>
      </w:tblGrid>
      <w:tr>
        <w:trPr>
          <w:trHeight w:val="632" w:hRule="exact"/>
        </w:trPr>
        <w:tc>
          <w:tcPr>
            <w:tcW w:w="2092" w:type="dxa"/>
          </w:tcPr>
          <w:p>
            <w:pPr>
              <w:pStyle w:val="TableParagraph"/>
              <w:spacing w:line="206" w:lineRule="exact"/>
              <w:ind w:left="115" w:right="115"/>
              <w:jc w:val="center"/>
              <w:rPr>
                <w:sz w:val="18"/>
              </w:rPr>
            </w:pPr>
            <w:r>
              <w:rPr>
                <w:sz w:val="18"/>
              </w:rPr>
              <w:t>Diseño Verde</w:t>
            </w:r>
          </w:p>
        </w:tc>
        <w:tc>
          <w:tcPr>
            <w:tcW w:w="6891" w:type="dxa"/>
          </w:tcPr>
          <w:p>
            <w:pPr>
              <w:pStyle w:val="TableParagraph"/>
              <w:spacing w:line="357" w:lineRule="auto"/>
              <w:ind w:left="104" w:right="64"/>
              <w:rPr>
                <w:sz w:val="18"/>
              </w:rPr>
            </w:pPr>
            <w:r>
              <w:rPr>
                <w:sz w:val="18"/>
              </w:rPr>
              <w:t>El diseño verde se centra en cuestiones únicas por ejemplo la inclusión de plástico reciclado o reciclable o la consideración del consumo de energía</w:t>
            </w:r>
          </w:p>
        </w:tc>
      </w:tr>
      <w:tr>
        <w:trPr>
          <w:trHeight w:val="632" w:hRule="exact"/>
        </w:trPr>
        <w:tc>
          <w:tcPr>
            <w:tcW w:w="2092" w:type="dxa"/>
          </w:tcPr>
          <w:p>
            <w:pPr>
              <w:pStyle w:val="TableParagraph"/>
              <w:spacing w:line="202" w:lineRule="exact"/>
              <w:ind w:left="117" w:right="113"/>
              <w:jc w:val="center"/>
              <w:rPr>
                <w:sz w:val="18"/>
              </w:rPr>
            </w:pPr>
            <w:r>
              <w:rPr>
                <w:sz w:val="18"/>
              </w:rPr>
              <w:t>Eco-diseño</w:t>
            </w:r>
          </w:p>
        </w:tc>
        <w:tc>
          <w:tcPr>
            <w:tcW w:w="6891" w:type="dxa"/>
          </w:tcPr>
          <w:p>
            <w:pPr>
              <w:pStyle w:val="TableParagraph"/>
              <w:spacing w:line="362" w:lineRule="auto"/>
              <w:ind w:left="104" w:right="64"/>
              <w:rPr>
                <w:sz w:val="18"/>
              </w:rPr>
            </w:pPr>
            <w:r>
              <w:rPr>
                <w:sz w:val="18"/>
              </w:rPr>
              <w:t>Las consideraciones medioambientales son consideradas en cada etapa del proceso</w:t>
            </w:r>
          </w:p>
        </w:tc>
      </w:tr>
      <w:tr>
        <w:trPr>
          <w:trHeight w:val="941" w:hRule="exact"/>
        </w:trPr>
        <w:tc>
          <w:tcPr>
            <w:tcW w:w="2092" w:type="dxa"/>
          </w:tcPr>
          <w:p>
            <w:pPr>
              <w:pStyle w:val="TableParagraph"/>
              <w:spacing w:line="362" w:lineRule="auto"/>
              <w:ind w:left="439" w:right="424" w:firstLine="116"/>
              <w:rPr>
                <w:sz w:val="18"/>
              </w:rPr>
            </w:pPr>
            <w:r>
              <w:rPr>
                <w:sz w:val="18"/>
              </w:rPr>
              <w:t>Diseño para sustentabilidad</w:t>
            </w:r>
          </w:p>
        </w:tc>
        <w:tc>
          <w:tcPr>
            <w:tcW w:w="6891" w:type="dxa"/>
          </w:tcPr>
          <w:p>
            <w:pPr>
              <w:pStyle w:val="TableParagraph"/>
              <w:spacing w:line="360" w:lineRule="auto"/>
              <w:ind w:left="104" w:right="105"/>
              <w:jc w:val="both"/>
              <w:rPr>
                <w:sz w:val="18"/>
              </w:rPr>
            </w:pPr>
            <w:r>
              <w:rPr>
                <w:sz w:val="18"/>
              </w:rPr>
              <w:t>Diseño que considere el medio ambiente (por ejemplo, uso de recursos, impacto  en el final de su vida útil) e impacto social de un producto (por ejemplo, usabilidad, uso</w:t>
            </w:r>
            <w:r>
              <w:rPr>
                <w:spacing w:val="-2"/>
                <w:sz w:val="18"/>
              </w:rPr>
              <w:t> </w:t>
            </w:r>
            <w:r>
              <w:rPr>
                <w:sz w:val="18"/>
              </w:rPr>
              <w:t>responsable)</w:t>
            </w:r>
          </w:p>
        </w:tc>
      </w:tr>
      <w:tr>
        <w:trPr>
          <w:trHeight w:val="628" w:hRule="exact"/>
        </w:trPr>
        <w:tc>
          <w:tcPr>
            <w:tcW w:w="2092" w:type="dxa"/>
          </w:tcPr>
          <w:p>
            <w:pPr>
              <w:pStyle w:val="TableParagraph"/>
              <w:spacing w:line="202" w:lineRule="exact"/>
              <w:ind w:left="115" w:right="115"/>
              <w:jc w:val="center"/>
              <w:rPr>
                <w:sz w:val="18"/>
              </w:rPr>
            </w:pPr>
            <w:r>
              <w:rPr>
                <w:sz w:val="18"/>
              </w:rPr>
              <w:t>Sustentabilidad</w:t>
            </w:r>
          </w:p>
        </w:tc>
        <w:tc>
          <w:tcPr>
            <w:tcW w:w="6891" w:type="dxa"/>
          </w:tcPr>
          <w:p>
            <w:pPr>
              <w:pStyle w:val="TableParagraph"/>
              <w:spacing w:line="362" w:lineRule="auto"/>
              <w:ind w:left="104" w:right="64"/>
              <w:rPr>
                <w:sz w:val="18"/>
              </w:rPr>
            </w:pPr>
            <w:r>
              <w:rPr>
                <w:sz w:val="18"/>
              </w:rPr>
              <w:t>Se considera que la sustentabilidad es más de una dirección que un destino al que realmente llegaremos</w:t>
            </w:r>
          </w:p>
        </w:tc>
      </w:tr>
    </w:tbl>
    <w:p>
      <w:pPr>
        <w:spacing w:line="206" w:lineRule="exact" w:before="0"/>
        <w:ind w:left="2665" w:right="69" w:firstLine="0"/>
        <w:jc w:val="left"/>
        <w:rPr>
          <w:sz w:val="18"/>
        </w:rPr>
      </w:pPr>
      <w:r>
        <w:rPr>
          <w:sz w:val="18"/>
        </w:rPr>
        <w:t>(Fuente: Bhamra, T. y V. A. Lofthouse, 2007: 39).</w:t>
      </w:r>
    </w:p>
    <w:p>
      <w:pPr>
        <w:spacing w:after="0" w:line="206" w:lineRule="exact"/>
        <w:jc w:val="left"/>
        <w:rPr>
          <w:sz w:val="18"/>
        </w:rPr>
        <w:sectPr>
          <w:pgSz w:w="12240" w:h="15840"/>
          <w:pgMar w:header="0" w:footer="1031" w:top="1460" w:bottom="1220" w:left="1480" w:right="1540"/>
        </w:sectPr>
      </w:pPr>
    </w:p>
    <w:p>
      <w:pPr>
        <w:pStyle w:val="BodyText"/>
        <w:spacing w:line="357" w:lineRule="auto" w:before="59"/>
        <w:ind w:left="100" w:right="125"/>
        <w:jc w:val="both"/>
      </w:pPr>
      <w:r>
        <w:rPr/>
        <w:t>El diseño sustentable está más relacionado con el impacto social  y aspectos éticos, como bien puede volver a confirmar con la siguiente cita de otro autor:</w:t>
      </w:r>
    </w:p>
    <w:p>
      <w:pPr>
        <w:pStyle w:val="BodyText"/>
      </w:pPr>
    </w:p>
    <w:p>
      <w:pPr>
        <w:spacing w:line="360" w:lineRule="auto" w:before="142"/>
        <w:ind w:left="809" w:right="119" w:firstLine="0"/>
        <w:jc w:val="both"/>
        <w:rPr>
          <w:sz w:val="24"/>
        </w:rPr>
      </w:pPr>
      <w:r>
        <w:rPr>
          <w:i/>
          <w:sz w:val="20"/>
        </w:rPr>
        <w:t>Lo más importante es que el diseño sostenible debe satisfacer las necesidades de los </w:t>
      </w:r>
      <w:r>
        <w:rPr>
          <w:i/>
          <w:sz w:val="20"/>
        </w:rPr>
        <w:t>usuarios. El diseño sostenible necesita conciencia e innovación entre diseñadores y usuarios. La conciencia puede producir oportunidades para ser único y excepcional en el diseño, y esto puede conducir a la creatividad y las innovaciones en la investigación. La conciencia de la necesidad del cambio puede contribuir a la mejora del medio ambiente, a la equidad social y al crecimiento y beneficio en la comunidad global en expansión. Esta conciencia llevará a los diseñadores a la orientación de la acción, el aprendizaje y la emoción, ya un nuevo nivel de cuidado basado en nuevos conocimientos y compromiso. Para lograr lo anterior, la participación en el diseño sostenible es esencial, y los diseñadores deben tener en cuenta las opiniones y perspectivas de los usuarios potenciales para ayudar con el diseño, ya que los diseñadores no pueden actuar por sí mismos. </w:t>
      </w:r>
      <w:r>
        <w:rPr>
          <w:sz w:val="20"/>
        </w:rPr>
        <w:t>(</w:t>
      </w:r>
      <w:r>
        <w:rPr>
          <w:sz w:val="24"/>
        </w:rPr>
        <w:t>Tomayess, et al., 2015:</w:t>
      </w:r>
      <w:r>
        <w:rPr>
          <w:spacing w:val="-14"/>
          <w:sz w:val="24"/>
        </w:rPr>
        <w:t> </w:t>
      </w:r>
      <w:r>
        <w:rPr>
          <w:sz w:val="24"/>
        </w:rPr>
        <w:t>7).</w:t>
      </w:r>
    </w:p>
    <w:p>
      <w:pPr>
        <w:pStyle w:val="BodyText"/>
        <w:spacing w:before="1"/>
        <w:rPr>
          <w:sz w:val="30"/>
        </w:rPr>
      </w:pPr>
    </w:p>
    <w:p>
      <w:pPr>
        <w:pStyle w:val="BodyText"/>
        <w:spacing w:line="360" w:lineRule="auto"/>
        <w:ind w:left="100" w:right="125"/>
        <w:jc w:val="both"/>
      </w:pPr>
      <w:r>
        <w:rPr/>
        <w:t>Es importante estar consciente de la propuesta del diseño sustentable, bien de su discurso, ya que impacta directamente en el usuario del producto o servicio puesto que puede cambiar la perspectiva para mejorar el medio ambiente y la calidad de vida del hombre.</w:t>
      </w:r>
    </w:p>
    <w:p>
      <w:pPr>
        <w:pStyle w:val="BodyText"/>
      </w:pPr>
    </w:p>
    <w:p>
      <w:pPr>
        <w:pStyle w:val="BodyText"/>
        <w:spacing w:line="360" w:lineRule="auto" w:before="142"/>
        <w:ind w:left="100" w:right="122"/>
        <w:jc w:val="both"/>
      </w:pPr>
      <w:r>
        <w:rPr/>
        <w:t>El diseño sostenible será la manera de hacer nuestro mundo mejor. Sin embargo, para lograr esto, necesitamos tener la motivación correcta, la conciencia, el conocimiento, el compromiso, la confianza y la lealtad. La gente necesita actuar rápidamente para pensar en un diseño bueno y sostenible adoptando la sostenibilidad en su estrategia de negocio para conservar las materias primas para la próxima generación, afirma Tomayess et al. (2015).</w:t>
      </w:r>
    </w:p>
    <w:p>
      <w:pPr>
        <w:pStyle w:val="BodyText"/>
        <w:spacing w:before="5"/>
        <w:rPr>
          <w:sz w:val="30"/>
        </w:rPr>
      </w:pPr>
    </w:p>
    <w:p>
      <w:pPr>
        <w:pStyle w:val="BodyText"/>
        <w:spacing w:line="360" w:lineRule="auto"/>
        <w:ind w:left="100" w:right="117"/>
        <w:jc w:val="both"/>
      </w:pPr>
      <w:r>
        <w:rPr/>
        <w:t>Otro concepto de Diseño sustentable de </w:t>
      </w:r>
      <w:r>
        <w:rPr>
          <w:color w:val="212121"/>
        </w:rPr>
        <w:t>Chakrabarti, A, (2013) afirma que </w:t>
      </w:r>
      <w:r>
        <w:rPr>
          <w:color w:val="212121"/>
          <w:spacing w:val="3"/>
        </w:rPr>
        <w:t>e</w:t>
      </w:r>
      <w:r>
        <w:rPr>
          <w:spacing w:val="3"/>
        </w:rPr>
        <w:t>l </w:t>
      </w:r>
      <w:r>
        <w:rPr/>
        <w:t>“sostener para sostener” es un concepto, desarrollado por McDonough y  Braungart (McDonough </w:t>
      </w:r>
      <w:r>
        <w:rPr>
          <w:spacing w:val="4"/>
        </w:rPr>
        <w:t>W, </w:t>
      </w:r>
      <w:r>
        <w:rPr/>
        <w:t>Braungart M (2002), que considera el sistema completamente industrial y da una nueva visión sobre el diseño sostenible. “Sostener  para sostener</w:t>
      </w:r>
      <w:r>
        <w:rPr>
          <w:b/>
        </w:rPr>
        <w:t>” </w:t>
      </w:r>
      <w:r>
        <w:rPr/>
        <w:t>postula   que el diseño  inteligente  y puede eliminar  </w:t>
      </w:r>
      <w:r>
        <w:rPr>
          <w:spacing w:val="64"/>
        </w:rPr>
        <w:t> </w:t>
      </w:r>
      <w:r>
        <w:rPr/>
        <w:t>el</w:t>
      </w:r>
    </w:p>
    <w:p>
      <w:pPr>
        <w:spacing w:after="0" w:line="360" w:lineRule="auto"/>
        <w:jc w:val="both"/>
        <w:sectPr>
          <w:pgSz w:w="12240" w:h="15840"/>
          <w:pgMar w:header="0" w:footer="1031" w:top="1480" w:bottom="1220" w:left="1600" w:right="1580"/>
        </w:sectPr>
      </w:pPr>
    </w:p>
    <w:p>
      <w:pPr>
        <w:pStyle w:val="BodyText"/>
        <w:spacing w:line="360" w:lineRule="auto" w:before="55"/>
        <w:ind w:left="100" w:right="124"/>
        <w:jc w:val="both"/>
      </w:pPr>
      <w:r>
        <w:rPr/>
        <w:t>concepto de residuos. C2C (sostener para sostener) va </w:t>
      </w:r>
      <w:r>
        <w:rPr>
          <w:spacing w:val="-2"/>
        </w:rPr>
        <w:t>más </w:t>
      </w:r>
      <w:r>
        <w:rPr/>
        <w:t>allá de los principios básicos del desarrollo sostenible. Los productos se desarrollan para ser considerados como un recurso al final de su ciclo de vida en lugar de sólo residuos. Con C2C, el ciclo del material se cierra y el reciclaje infinito es posible  sin pérdida de calidad, desperdicio o</w:t>
      </w:r>
      <w:r>
        <w:rPr>
          <w:spacing w:val="-27"/>
        </w:rPr>
        <w:t> </w:t>
      </w:r>
      <w:r>
        <w:rPr/>
        <w:t>acumulación.</w:t>
      </w:r>
    </w:p>
    <w:p>
      <w:pPr>
        <w:pStyle w:val="BodyText"/>
      </w:pPr>
    </w:p>
    <w:p>
      <w:pPr>
        <w:pStyle w:val="BodyText"/>
        <w:spacing w:before="3"/>
        <w:rPr>
          <w:sz w:val="29"/>
        </w:rPr>
      </w:pPr>
    </w:p>
    <w:p>
      <w:pPr>
        <w:pStyle w:val="Heading2"/>
        <w:numPr>
          <w:ilvl w:val="1"/>
          <w:numId w:val="32"/>
        </w:numPr>
        <w:tabs>
          <w:tab w:pos="753" w:val="left" w:leader="none"/>
        </w:tabs>
        <w:spacing w:line="240" w:lineRule="auto" w:before="0" w:after="0"/>
        <w:ind w:left="753" w:right="0" w:hanging="653"/>
        <w:jc w:val="both"/>
      </w:pPr>
      <w:bookmarkStart w:name="3.3.  Concepto de Análisis de Ciclo de V" w:id="184"/>
      <w:bookmarkEnd w:id="184"/>
      <w:r>
        <w:rPr/>
      </w:r>
      <w:bookmarkStart w:name="_bookmark120" w:id="185"/>
      <w:bookmarkEnd w:id="185"/>
      <w:r>
        <w:rPr/>
        <w:t>C</w:t>
      </w:r>
      <w:r>
        <w:rPr/>
        <w:t>oncepto de Análisis de Ciclo de</w:t>
      </w:r>
      <w:r>
        <w:rPr>
          <w:spacing w:val="-10"/>
        </w:rPr>
        <w:t> </w:t>
      </w:r>
      <w:r>
        <w:rPr/>
        <w:t>Vida</w:t>
      </w:r>
    </w:p>
    <w:p>
      <w:pPr>
        <w:pStyle w:val="BodyText"/>
        <w:rPr>
          <w:sz w:val="28"/>
        </w:rPr>
      </w:pPr>
    </w:p>
    <w:p>
      <w:pPr>
        <w:pStyle w:val="BodyText"/>
        <w:spacing w:before="9"/>
        <w:rPr>
          <w:sz w:val="22"/>
        </w:rPr>
      </w:pPr>
    </w:p>
    <w:p>
      <w:pPr>
        <w:pStyle w:val="BodyText"/>
        <w:spacing w:line="360" w:lineRule="auto"/>
        <w:ind w:left="100" w:right="121"/>
        <w:jc w:val="both"/>
      </w:pPr>
      <w:r>
        <w:rPr/>
        <w:t>Una introducción al concepto apropiada para Aranda (2010) inicia afirmando que  la creciente conciencia con respecto a la importancia de la protección ambiental y los posibles impactos asociados con los productos y servicios, tanto manufacturados como consumidos, han aumentado el interés por el desarrollo de los métodos para comprender mejor y tratar esos</w:t>
      </w:r>
      <w:r>
        <w:rPr>
          <w:spacing w:val="-26"/>
        </w:rPr>
        <w:t> </w:t>
      </w:r>
      <w:r>
        <w:rPr/>
        <w:t>impactos.</w:t>
      </w:r>
    </w:p>
    <w:p>
      <w:pPr>
        <w:pStyle w:val="BodyText"/>
        <w:spacing w:line="360" w:lineRule="auto" w:before="202"/>
        <w:ind w:left="100" w:right="117"/>
        <w:jc w:val="both"/>
      </w:pPr>
      <w:r>
        <w:rPr/>
        <w:t>Para Aranda (2010) el ACV trata los aspectos medioambientales e impactos ambientales potenciales (por ejemplo, el uso de recursos y las consecuencias ambientales de las emisiones) a lo largo de todo el ciclo de vida de un producto desde la adquisición de la materia prima, pasando por la producción, uso, tratamiento final, reciclado, hasta su disposición final, es decir, de </w:t>
      </w:r>
      <w:r>
        <w:rPr>
          <w:i/>
        </w:rPr>
        <w:t>la cuna a la </w:t>
      </w:r>
      <w:r>
        <w:rPr>
          <w:i/>
        </w:rPr>
        <w:t>tumba</w:t>
      </w:r>
      <w:r>
        <w:rPr/>
        <w:t>.</w:t>
      </w:r>
    </w:p>
    <w:p>
      <w:pPr>
        <w:pStyle w:val="BodyText"/>
        <w:spacing w:line="360" w:lineRule="auto" w:before="206"/>
        <w:ind w:left="100" w:right="119"/>
        <w:jc w:val="both"/>
      </w:pPr>
      <w:r>
        <w:rPr/>
        <w:t>Según el mismo autor, </w:t>
      </w:r>
      <w:r>
        <w:rPr>
          <w:spacing w:val="2"/>
        </w:rPr>
        <w:t>la </w:t>
      </w:r>
      <w:r>
        <w:rPr/>
        <w:t>primera definición oficial de ACV se estableció en 1993; según ella, “el ACV es un proceso objetivo para evaluar las cargas ambientales asociadas a un producto, proceso o actividad. Esto se lleva a término identificando la energía, materia utilizadas y los residuos de todo tipo de vertido al medio; determinando el impacto de este uso de energía y materia y de las descargas al medio; evaluando e implementando prácticas de mejora ambiental”. El análisis incluye el estudio del ciclo de vida completo del producto, proceso o actividad, y comprende las etapas de extracción y procesado de materias primas;  manufactura, trasporte y distribución; uso, reutilización y mantenimiento; reciclaje y destino final de la fracción de residuos; él agrega que la norma ISO 14040: 2006 establece los principios y el marco de referencia para el Análisis de Ciclo de</w:t>
      </w:r>
      <w:r>
        <w:rPr>
          <w:spacing w:val="-39"/>
        </w:rPr>
        <w:t> </w:t>
      </w:r>
      <w:r>
        <w:rPr/>
        <w:t>Vida.</w:t>
      </w:r>
    </w:p>
    <w:p>
      <w:pPr>
        <w:spacing w:after="0" w:line="360" w:lineRule="auto"/>
        <w:jc w:val="both"/>
        <w:sectPr>
          <w:pgSz w:w="12240" w:h="15840"/>
          <w:pgMar w:header="0" w:footer="1031" w:top="1360" w:bottom="1220" w:left="1600" w:right="1580"/>
        </w:sectPr>
      </w:pPr>
    </w:p>
    <w:p>
      <w:pPr>
        <w:pStyle w:val="BodyText"/>
        <w:spacing w:line="360" w:lineRule="auto" w:before="51"/>
        <w:ind w:left="100" w:right="119"/>
        <w:jc w:val="both"/>
      </w:pPr>
      <w:r>
        <w:rPr/>
        <w:t>El </w:t>
      </w:r>
      <w:r>
        <w:rPr>
          <w:b/>
        </w:rPr>
        <w:t>Ciclo de vida </w:t>
      </w:r>
      <w:r>
        <w:rPr/>
        <w:t>para García (2008) es el conjunto de etapas por las que  atraviesa un producto o servicio de inicio a fin. El ciclo de vida se referirá particularmente a los productos. El ciclo de vida consiste en una serie de fases por las que atraviesa un producto: diseño, extracción, y adquisición de recursos y materiales, producción, transporte y distribución, uso y manutención, recuperación, re-utilización, reciclaje y</w:t>
      </w:r>
      <w:r>
        <w:rPr>
          <w:spacing w:val="-21"/>
        </w:rPr>
        <w:t> </w:t>
      </w:r>
      <w:r>
        <w:rPr/>
        <w:t>desecho.</w:t>
      </w:r>
    </w:p>
    <w:p>
      <w:pPr>
        <w:pStyle w:val="BodyText"/>
      </w:pPr>
    </w:p>
    <w:p>
      <w:pPr>
        <w:pStyle w:val="BodyText"/>
        <w:spacing w:line="360" w:lineRule="auto" w:before="142"/>
        <w:ind w:left="100" w:right="119"/>
        <w:jc w:val="both"/>
      </w:pPr>
      <w:r>
        <w:rPr/>
        <w:t>Ella agrega que todo tipo de impacto ambiental ocurre durante las diferentes fases del ciclo de vida de un producto, y algunos de los principales factores que determinan dichos impactos son:</w:t>
      </w:r>
    </w:p>
    <w:p>
      <w:pPr>
        <w:pStyle w:val="BodyText"/>
      </w:pPr>
    </w:p>
    <w:p>
      <w:pPr>
        <w:pStyle w:val="ListParagraph"/>
        <w:numPr>
          <w:ilvl w:val="0"/>
          <w:numId w:val="38"/>
        </w:numPr>
        <w:tabs>
          <w:tab w:pos="820" w:val="left" w:leader="none"/>
          <w:tab w:pos="821" w:val="left" w:leader="none"/>
        </w:tabs>
        <w:spacing w:line="240" w:lineRule="auto" w:before="142" w:after="0"/>
        <w:ind w:left="821" w:right="0" w:hanging="361"/>
        <w:jc w:val="left"/>
        <w:rPr>
          <w:sz w:val="24"/>
        </w:rPr>
      </w:pPr>
      <w:r>
        <w:rPr>
          <w:sz w:val="24"/>
        </w:rPr>
        <w:t>Suministro de</w:t>
      </w:r>
      <w:r>
        <w:rPr>
          <w:spacing w:val="-13"/>
          <w:sz w:val="24"/>
        </w:rPr>
        <w:t> </w:t>
      </w:r>
      <w:r>
        <w:rPr>
          <w:sz w:val="24"/>
        </w:rPr>
        <w:t>energía</w:t>
      </w:r>
    </w:p>
    <w:p>
      <w:pPr>
        <w:pStyle w:val="BodyText"/>
        <w:rPr>
          <w:sz w:val="29"/>
        </w:rPr>
      </w:pPr>
    </w:p>
    <w:p>
      <w:pPr>
        <w:pStyle w:val="ListParagraph"/>
        <w:numPr>
          <w:ilvl w:val="0"/>
          <w:numId w:val="38"/>
        </w:numPr>
        <w:tabs>
          <w:tab w:pos="820" w:val="left" w:leader="none"/>
          <w:tab w:pos="821" w:val="left" w:leader="none"/>
        </w:tabs>
        <w:spacing w:line="240" w:lineRule="auto" w:before="0" w:after="0"/>
        <w:ind w:left="821" w:right="0" w:hanging="361"/>
        <w:jc w:val="left"/>
        <w:rPr>
          <w:sz w:val="24"/>
        </w:rPr>
      </w:pPr>
      <w:r>
        <w:rPr>
          <w:sz w:val="24"/>
        </w:rPr>
        <w:t>Extracción y adquisición de materia</w:t>
      </w:r>
      <w:r>
        <w:rPr>
          <w:spacing w:val="-21"/>
          <w:sz w:val="24"/>
        </w:rPr>
        <w:t> </w:t>
      </w:r>
      <w:r>
        <w:rPr>
          <w:sz w:val="24"/>
        </w:rPr>
        <w:t>prima</w:t>
      </w:r>
    </w:p>
    <w:p>
      <w:pPr>
        <w:pStyle w:val="BodyText"/>
        <w:spacing w:before="4"/>
        <w:rPr>
          <w:sz w:val="29"/>
        </w:rPr>
      </w:pPr>
    </w:p>
    <w:p>
      <w:pPr>
        <w:pStyle w:val="ListParagraph"/>
        <w:numPr>
          <w:ilvl w:val="0"/>
          <w:numId w:val="38"/>
        </w:numPr>
        <w:tabs>
          <w:tab w:pos="820" w:val="left" w:leader="none"/>
          <w:tab w:pos="821" w:val="left" w:leader="none"/>
        </w:tabs>
        <w:spacing w:line="240" w:lineRule="auto" w:before="1" w:after="0"/>
        <w:ind w:left="821" w:right="0" w:hanging="361"/>
        <w:jc w:val="left"/>
        <w:rPr>
          <w:sz w:val="24"/>
        </w:rPr>
      </w:pPr>
      <w:r>
        <w:rPr>
          <w:sz w:val="24"/>
        </w:rPr>
        <w:t>Fabricación del</w:t>
      </w:r>
      <w:r>
        <w:rPr>
          <w:spacing w:val="-14"/>
          <w:sz w:val="24"/>
        </w:rPr>
        <w:t> </w:t>
      </w:r>
      <w:r>
        <w:rPr>
          <w:sz w:val="24"/>
        </w:rPr>
        <w:t>producto</w:t>
      </w:r>
    </w:p>
    <w:p>
      <w:pPr>
        <w:pStyle w:val="BodyText"/>
        <w:spacing w:before="4"/>
        <w:rPr>
          <w:sz w:val="29"/>
        </w:rPr>
      </w:pPr>
    </w:p>
    <w:p>
      <w:pPr>
        <w:pStyle w:val="ListParagraph"/>
        <w:numPr>
          <w:ilvl w:val="0"/>
          <w:numId w:val="38"/>
        </w:numPr>
        <w:tabs>
          <w:tab w:pos="820" w:val="left" w:leader="none"/>
          <w:tab w:pos="821" w:val="left" w:leader="none"/>
        </w:tabs>
        <w:spacing w:line="240" w:lineRule="auto" w:before="0" w:after="0"/>
        <w:ind w:left="821" w:right="0" w:hanging="361"/>
        <w:jc w:val="left"/>
        <w:rPr>
          <w:sz w:val="24"/>
        </w:rPr>
      </w:pPr>
      <w:r>
        <w:rPr>
          <w:sz w:val="24"/>
        </w:rPr>
        <w:t>Transporte y</w:t>
      </w:r>
      <w:r>
        <w:rPr>
          <w:spacing w:val="-12"/>
          <w:sz w:val="24"/>
        </w:rPr>
        <w:t> </w:t>
      </w:r>
      <w:r>
        <w:rPr>
          <w:sz w:val="24"/>
        </w:rPr>
        <w:t>distribución</w:t>
      </w:r>
    </w:p>
    <w:p>
      <w:pPr>
        <w:pStyle w:val="BodyText"/>
        <w:rPr>
          <w:sz w:val="29"/>
        </w:rPr>
      </w:pPr>
    </w:p>
    <w:p>
      <w:pPr>
        <w:pStyle w:val="ListParagraph"/>
        <w:numPr>
          <w:ilvl w:val="0"/>
          <w:numId w:val="38"/>
        </w:numPr>
        <w:tabs>
          <w:tab w:pos="820" w:val="left" w:leader="none"/>
          <w:tab w:pos="821" w:val="left" w:leader="none"/>
        </w:tabs>
        <w:spacing w:line="240" w:lineRule="auto" w:before="0" w:after="0"/>
        <w:ind w:left="821" w:right="0" w:hanging="361"/>
        <w:jc w:val="left"/>
        <w:rPr>
          <w:sz w:val="24"/>
        </w:rPr>
      </w:pPr>
      <w:r>
        <w:rPr>
          <w:sz w:val="24"/>
        </w:rPr>
        <w:t>Uso del</w:t>
      </w:r>
      <w:r>
        <w:rPr>
          <w:spacing w:val="-10"/>
          <w:sz w:val="24"/>
        </w:rPr>
        <w:t> </w:t>
      </w:r>
      <w:r>
        <w:rPr>
          <w:sz w:val="24"/>
        </w:rPr>
        <w:t>producto</w:t>
      </w:r>
    </w:p>
    <w:p>
      <w:pPr>
        <w:pStyle w:val="BodyText"/>
        <w:spacing w:before="5"/>
        <w:rPr>
          <w:sz w:val="29"/>
        </w:rPr>
      </w:pPr>
    </w:p>
    <w:p>
      <w:pPr>
        <w:pStyle w:val="ListParagraph"/>
        <w:numPr>
          <w:ilvl w:val="0"/>
          <w:numId w:val="38"/>
        </w:numPr>
        <w:tabs>
          <w:tab w:pos="820" w:val="left" w:leader="none"/>
          <w:tab w:pos="821" w:val="left" w:leader="none"/>
        </w:tabs>
        <w:spacing w:line="240" w:lineRule="auto" w:before="0" w:after="0"/>
        <w:ind w:left="821" w:right="0" w:hanging="361"/>
        <w:jc w:val="left"/>
        <w:rPr>
          <w:sz w:val="24"/>
        </w:rPr>
      </w:pPr>
      <w:r>
        <w:rPr>
          <w:sz w:val="24"/>
        </w:rPr>
        <w:t>Consumo de recursos en cada fase del</w:t>
      </w:r>
      <w:r>
        <w:rPr>
          <w:spacing w:val="-23"/>
          <w:sz w:val="24"/>
        </w:rPr>
        <w:t> </w:t>
      </w:r>
      <w:r>
        <w:rPr>
          <w:sz w:val="24"/>
        </w:rPr>
        <w:t>ciclo</w:t>
      </w:r>
    </w:p>
    <w:p>
      <w:pPr>
        <w:pStyle w:val="BodyText"/>
        <w:rPr>
          <w:sz w:val="29"/>
        </w:rPr>
      </w:pPr>
    </w:p>
    <w:p>
      <w:pPr>
        <w:pStyle w:val="ListParagraph"/>
        <w:numPr>
          <w:ilvl w:val="0"/>
          <w:numId w:val="38"/>
        </w:numPr>
        <w:tabs>
          <w:tab w:pos="820" w:val="left" w:leader="none"/>
          <w:tab w:pos="821" w:val="left" w:leader="none"/>
        </w:tabs>
        <w:spacing w:line="240" w:lineRule="auto" w:before="0" w:after="0"/>
        <w:ind w:left="821" w:right="0" w:hanging="361"/>
        <w:jc w:val="left"/>
        <w:rPr>
          <w:sz w:val="24"/>
        </w:rPr>
      </w:pPr>
      <w:r>
        <w:rPr>
          <w:sz w:val="24"/>
        </w:rPr>
        <w:t>Producción y eliminación de desechos y</w:t>
      </w:r>
      <w:r>
        <w:rPr>
          <w:spacing w:val="-27"/>
          <w:sz w:val="24"/>
        </w:rPr>
        <w:t> </w:t>
      </w:r>
      <w:r>
        <w:rPr>
          <w:sz w:val="24"/>
        </w:rPr>
        <w:t>emisiones</w:t>
      </w:r>
    </w:p>
    <w:p>
      <w:pPr>
        <w:pStyle w:val="BodyText"/>
        <w:spacing w:before="4"/>
        <w:rPr>
          <w:sz w:val="29"/>
        </w:rPr>
      </w:pPr>
    </w:p>
    <w:p>
      <w:pPr>
        <w:pStyle w:val="ListParagraph"/>
        <w:numPr>
          <w:ilvl w:val="0"/>
          <w:numId w:val="38"/>
        </w:numPr>
        <w:tabs>
          <w:tab w:pos="820" w:val="left" w:leader="none"/>
          <w:tab w:pos="821" w:val="left" w:leader="none"/>
        </w:tabs>
        <w:spacing w:line="240" w:lineRule="auto" w:before="0" w:after="0"/>
        <w:ind w:left="821" w:right="0" w:hanging="361"/>
        <w:jc w:val="left"/>
        <w:rPr>
          <w:sz w:val="24"/>
        </w:rPr>
      </w:pPr>
      <w:r>
        <w:rPr>
          <w:sz w:val="24"/>
        </w:rPr>
        <w:t>Final de vida del producto (disposición, desecho, reciclado,</w:t>
      </w:r>
      <w:r>
        <w:rPr>
          <w:spacing w:val="-34"/>
          <w:sz w:val="24"/>
        </w:rPr>
        <w:t> </w:t>
      </w:r>
      <w:r>
        <w:rPr>
          <w:sz w:val="24"/>
        </w:rPr>
        <w:t>etc.)</w:t>
      </w:r>
    </w:p>
    <w:p>
      <w:pPr>
        <w:pStyle w:val="BodyText"/>
      </w:pPr>
    </w:p>
    <w:p>
      <w:pPr>
        <w:pStyle w:val="BodyText"/>
        <w:spacing w:before="10"/>
        <w:rPr>
          <w:sz w:val="23"/>
        </w:rPr>
      </w:pPr>
    </w:p>
    <w:p>
      <w:pPr>
        <w:pStyle w:val="BodyText"/>
        <w:spacing w:line="360" w:lineRule="auto"/>
        <w:ind w:left="100" w:right="117"/>
        <w:jc w:val="both"/>
      </w:pPr>
      <w:r>
        <w:rPr/>
        <w:t>Para Romero (1987), el ACV es una herramienta de gestión medioambiental cuya finalidad es analizar de forma objetiva, metódica, sistemática y científica, el  impacto ambiental originado por un proceso/producto durante su ciclo de vida completo (esto es, de la cuna a la tumba). A esto ella agrega que en el análisis se tienen en cuenta las etapas de extracción y procesado de las materias primas, producción, transporte, distribución, uso, reutilización, mantenimiento, reciclado y disposición</w:t>
      </w:r>
      <w:r>
        <w:rPr>
          <w:spacing w:val="-13"/>
        </w:rPr>
        <w:t> </w:t>
      </w:r>
      <w:r>
        <w:rPr/>
        <w:t>final.</w:t>
      </w:r>
    </w:p>
    <w:p>
      <w:pPr>
        <w:spacing w:after="0" w:line="360" w:lineRule="auto"/>
        <w:jc w:val="both"/>
        <w:sectPr>
          <w:pgSz w:w="12240" w:h="15840"/>
          <w:pgMar w:header="0" w:footer="1031" w:top="1360" w:bottom="1220" w:left="1600" w:right="1580"/>
        </w:sectPr>
      </w:pPr>
    </w:p>
    <w:p>
      <w:pPr>
        <w:pStyle w:val="BodyText"/>
        <w:spacing w:line="360" w:lineRule="auto" w:before="51"/>
        <w:ind w:left="100" w:right="102"/>
        <w:jc w:val="both"/>
      </w:pPr>
      <w:r>
        <w:rPr/>
        <w:t>La misma autora afirma que la norma UNE-EN ISO 14040 (Gestión Ambiental. Análisis del Ciclo de Vida. Principios y marco de referencia) define el Análisis de Ciclo de Vida como una técnica que trata los aspectos medioambientales y los impactos ambientales potenciales a lo largo del ciclo de vida de un producto, mediante:</w:t>
      </w:r>
    </w:p>
    <w:p>
      <w:pPr>
        <w:pStyle w:val="BodyText"/>
      </w:pPr>
    </w:p>
    <w:p>
      <w:pPr>
        <w:pStyle w:val="ListParagraph"/>
        <w:numPr>
          <w:ilvl w:val="0"/>
          <w:numId w:val="38"/>
        </w:numPr>
        <w:tabs>
          <w:tab w:pos="820" w:val="left" w:leader="none"/>
          <w:tab w:pos="821" w:val="left" w:leader="none"/>
        </w:tabs>
        <w:spacing w:line="350" w:lineRule="auto" w:before="142" w:after="0"/>
        <w:ind w:left="821" w:right="110" w:hanging="361"/>
        <w:jc w:val="left"/>
        <w:rPr>
          <w:sz w:val="24"/>
        </w:rPr>
      </w:pPr>
      <w:r>
        <w:rPr>
          <w:sz w:val="24"/>
        </w:rPr>
        <w:t>La recopilación de un inventario de las entradas y salidas relevantes del sistema del producto (producto/proceso en</w:t>
      </w:r>
      <w:r>
        <w:rPr>
          <w:spacing w:val="-26"/>
          <w:sz w:val="24"/>
        </w:rPr>
        <w:t> </w:t>
      </w:r>
      <w:r>
        <w:rPr>
          <w:sz w:val="24"/>
        </w:rPr>
        <w:t>estudio)</w:t>
      </w:r>
    </w:p>
    <w:p>
      <w:pPr>
        <w:pStyle w:val="ListParagraph"/>
        <w:numPr>
          <w:ilvl w:val="0"/>
          <w:numId w:val="38"/>
        </w:numPr>
        <w:tabs>
          <w:tab w:pos="820" w:val="left" w:leader="none"/>
          <w:tab w:pos="821" w:val="left" w:leader="none"/>
        </w:tabs>
        <w:spacing w:line="350" w:lineRule="auto" w:before="17" w:after="0"/>
        <w:ind w:left="837" w:right="113" w:hanging="377"/>
        <w:jc w:val="left"/>
        <w:rPr>
          <w:sz w:val="24"/>
        </w:rPr>
      </w:pPr>
      <w:r>
        <w:rPr>
          <w:sz w:val="24"/>
        </w:rPr>
        <w:t>La evaluación de los potenciales impactos medioambientales asociados</w:t>
      </w:r>
      <w:r>
        <w:rPr>
          <w:spacing w:val="-36"/>
          <w:sz w:val="24"/>
        </w:rPr>
        <w:t> </w:t>
      </w:r>
      <w:r>
        <w:rPr>
          <w:sz w:val="24"/>
        </w:rPr>
        <w:t>con las entradas y salidas identificadas en el</w:t>
      </w:r>
      <w:r>
        <w:rPr>
          <w:spacing w:val="-30"/>
          <w:sz w:val="24"/>
        </w:rPr>
        <w:t> </w:t>
      </w:r>
      <w:r>
        <w:rPr>
          <w:sz w:val="24"/>
        </w:rPr>
        <w:t>inventario</w:t>
      </w:r>
    </w:p>
    <w:p>
      <w:pPr>
        <w:pStyle w:val="ListParagraph"/>
        <w:numPr>
          <w:ilvl w:val="0"/>
          <w:numId w:val="38"/>
        </w:numPr>
        <w:tabs>
          <w:tab w:pos="820" w:val="left" w:leader="none"/>
          <w:tab w:pos="821" w:val="left" w:leader="none"/>
        </w:tabs>
        <w:spacing w:line="350" w:lineRule="auto" w:before="16" w:after="0"/>
        <w:ind w:left="821" w:right="102" w:hanging="361"/>
        <w:jc w:val="left"/>
        <w:rPr>
          <w:sz w:val="24"/>
        </w:rPr>
      </w:pPr>
      <w:r>
        <w:rPr>
          <w:sz w:val="24"/>
        </w:rPr>
        <w:t>La interpretación de los resultados de las fases de análisis de inventario y evaluación de impacto de acuerdo con los objetivos del</w:t>
      </w:r>
      <w:r>
        <w:rPr>
          <w:spacing w:val="-39"/>
          <w:sz w:val="24"/>
        </w:rPr>
        <w:t> </w:t>
      </w:r>
      <w:r>
        <w:rPr>
          <w:sz w:val="24"/>
        </w:rPr>
        <w:t>estudio.</w:t>
      </w:r>
    </w:p>
    <w:p>
      <w:pPr>
        <w:pStyle w:val="BodyText"/>
      </w:pPr>
    </w:p>
    <w:p>
      <w:pPr>
        <w:pStyle w:val="BodyText"/>
        <w:spacing w:before="2"/>
        <w:rPr>
          <w:sz w:val="30"/>
        </w:rPr>
      </w:pPr>
    </w:p>
    <w:p>
      <w:pPr>
        <w:pStyle w:val="Heading2"/>
        <w:numPr>
          <w:ilvl w:val="2"/>
          <w:numId w:val="32"/>
        </w:numPr>
        <w:tabs>
          <w:tab w:pos="897" w:val="left" w:leader="none"/>
        </w:tabs>
        <w:spacing w:line="240" w:lineRule="auto" w:before="1" w:after="0"/>
        <w:ind w:left="897" w:right="0" w:hanging="797"/>
        <w:jc w:val="both"/>
      </w:pPr>
      <w:bookmarkStart w:name="3.3.1.  Aplicaciones del ACV" w:id="186"/>
      <w:bookmarkEnd w:id="186"/>
      <w:r>
        <w:rPr/>
      </w:r>
      <w:bookmarkStart w:name="_bookmark121" w:id="187"/>
      <w:bookmarkEnd w:id="187"/>
      <w:r>
        <w:rPr/>
        <w:t>A</w:t>
      </w:r>
      <w:r>
        <w:rPr/>
        <w:t>plicaciones del</w:t>
      </w:r>
      <w:r>
        <w:rPr>
          <w:spacing w:val="-3"/>
        </w:rPr>
        <w:t> </w:t>
      </w:r>
      <w:r>
        <w:rPr/>
        <w:t>ACV</w:t>
      </w:r>
    </w:p>
    <w:p>
      <w:pPr>
        <w:pStyle w:val="BodyText"/>
        <w:rPr>
          <w:sz w:val="28"/>
        </w:rPr>
      </w:pPr>
    </w:p>
    <w:p>
      <w:pPr>
        <w:pStyle w:val="BodyText"/>
        <w:spacing w:before="8"/>
        <w:rPr>
          <w:sz w:val="22"/>
        </w:rPr>
      </w:pPr>
    </w:p>
    <w:p>
      <w:pPr>
        <w:pStyle w:val="BodyText"/>
        <w:spacing w:line="360" w:lineRule="auto"/>
        <w:ind w:left="100" w:right="99"/>
        <w:jc w:val="both"/>
      </w:pPr>
      <w:r>
        <w:rPr/>
        <w:t>Para Giménez (2012) el ACV es una herramienta útil para proporcionar información a los sectores público y privado implicados en la toma de decisiones relativas a la mejora ambiental. Dicha información, combinada con datos económicos, sociales y laborales, puede ser utilizada por ambos sectores para la toma de decisiones estratégicas importantes, lo cual amplía sus aplicaciones más allá del terreno medio</w:t>
      </w:r>
      <w:r>
        <w:rPr>
          <w:spacing w:val="-18"/>
        </w:rPr>
        <w:t> </w:t>
      </w:r>
      <w:r>
        <w:rPr/>
        <w:t>ambiental.</w:t>
      </w:r>
    </w:p>
    <w:p>
      <w:pPr>
        <w:pStyle w:val="BodyText"/>
      </w:pPr>
    </w:p>
    <w:p>
      <w:pPr>
        <w:pStyle w:val="BodyText"/>
        <w:spacing w:line="362" w:lineRule="auto" w:before="142"/>
        <w:ind w:left="100" w:right="107"/>
        <w:jc w:val="both"/>
      </w:pPr>
      <w:r>
        <w:rPr/>
        <w:t>Dentro del sector industrial, el ACV tiene distintas aplicaciones. Como usos internos del ACV, pueden destacarse:</w:t>
      </w:r>
    </w:p>
    <w:p>
      <w:pPr>
        <w:pStyle w:val="BodyText"/>
      </w:pPr>
    </w:p>
    <w:p>
      <w:pPr>
        <w:pStyle w:val="ListParagraph"/>
        <w:numPr>
          <w:ilvl w:val="3"/>
          <w:numId w:val="32"/>
        </w:numPr>
        <w:tabs>
          <w:tab w:pos="821" w:val="left" w:leader="none"/>
        </w:tabs>
        <w:spacing w:line="357" w:lineRule="auto" w:before="139" w:after="0"/>
        <w:ind w:left="821" w:right="103" w:hanging="361"/>
        <w:jc w:val="left"/>
        <w:rPr>
          <w:sz w:val="24"/>
        </w:rPr>
      </w:pPr>
      <w:r>
        <w:rPr>
          <w:sz w:val="24"/>
        </w:rPr>
        <w:t>Aplicaciones como herramientas para la planificación de estrategias medioambientales.</w:t>
      </w:r>
    </w:p>
    <w:p>
      <w:pPr>
        <w:pStyle w:val="ListParagraph"/>
        <w:numPr>
          <w:ilvl w:val="3"/>
          <w:numId w:val="32"/>
        </w:numPr>
        <w:tabs>
          <w:tab w:pos="821" w:val="left" w:leader="none"/>
        </w:tabs>
        <w:spacing w:line="240" w:lineRule="auto" w:before="9" w:after="0"/>
        <w:ind w:left="821" w:right="0" w:hanging="361"/>
        <w:jc w:val="left"/>
        <w:rPr>
          <w:sz w:val="24"/>
        </w:rPr>
      </w:pPr>
      <w:r>
        <w:rPr>
          <w:sz w:val="24"/>
        </w:rPr>
        <w:t>Selección de alternativas de gestión de</w:t>
      </w:r>
      <w:r>
        <w:rPr>
          <w:spacing w:val="-26"/>
          <w:sz w:val="24"/>
        </w:rPr>
        <w:t> </w:t>
      </w:r>
      <w:r>
        <w:rPr>
          <w:sz w:val="24"/>
        </w:rPr>
        <w:t>residuos.</w:t>
      </w:r>
    </w:p>
    <w:p>
      <w:pPr>
        <w:pStyle w:val="ListParagraph"/>
        <w:numPr>
          <w:ilvl w:val="3"/>
          <w:numId w:val="32"/>
        </w:numPr>
        <w:tabs>
          <w:tab w:pos="821" w:val="left" w:leader="none"/>
        </w:tabs>
        <w:spacing w:line="240" w:lineRule="auto" w:before="136" w:after="0"/>
        <w:ind w:left="821" w:right="0" w:hanging="361"/>
        <w:jc w:val="left"/>
        <w:rPr>
          <w:sz w:val="24"/>
        </w:rPr>
      </w:pPr>
      <w:r>
        <w:rPr>
          <w:sz w:val="24"/>
        </w:rPr>
        <w:t>Herramienta de decisión durante la fase de diseño de nuevos</w:t>
      </w:r>
      <w:r>
        <w:rPr>
          <w:spacing w:val="-39"/>
          <w:sz w:val="24"/>
        </w:rPr>
        <w:t> </w:t>
      </w:r>
      <w:r>
        <w:rPr>
          <w:sz w:val="24"/>
        </w:rPr>
        <w:t>productos.</w:t>
      </w:r>
    </w:p>
    <w:p>
      <w:pPr>
        <w:pStyle w:val="ListParagraph"/>
        <w:numPr>
          <w:ilvl w:val="3"/>
          <w:numId w:val="32"/>
        </w:numPr>
        <w:tabs>
          <w:tab w:pos="821" w:val="left" w:leader="none"/>
        </w:tabs>
        <w:spacing w:line="240" w:lineRule="auto" w:before="140" w:after="0"/>
        <w:ind w:left="821" w:right="0" w:hanging="361"/>
        <w:jc w:val="left"/>
        <w:rPr>
          <w:sz w:val="24"/>
        </w:rPr>
      </w:pPr>
      <w:r>
        <w:rPr>
          <w:sz w:val="24"/>
        </w:rPr>
        <w:t>Comparación funcional de productos</w:t>
      </w:r>
      <w:r>
        <w:rPr>
          <w:spacing w:val="-29"/>
          <w:sz w:val="24"/>
        </w:rPr>
        <w:t> </w:t>
      </w:r>
      <w:r>
        <w:rPr>
          <w:sz w:val="24"/>
        </w:rPr>
        <w:t>equivalentes.</w:t>
      </w:r>
    </w:p>
    <w:p>
      <w:pPr>
        <w:spacing w:after="0" w:line="240" w:lineRule="auto"/>
        <w:jc w:val="left"/>
        <w:rPr>
          <w:sz w:val="24"/>
        </w:rPr>
        <w:sectPr>
          <w:pgSz w:w="12240" w:h="15840"/>
          <w:pgMar w:header="0" w:footer="1031" w:top="1500" w:bottom="1220" w:left="1600" w:right="1600"/>
        </w:sectPr>
      </w:pPr>
    </w:p>
    <w:p>
      <w:pPr>
        <w:pStyle w:val="ListParagraph"/>
        <w:numPr>
          <w:ilvl w:val="3"/>
          <w:numId w:val="32"/>
        </w:numPr>
        <w:tabs>
          <w:tab w:pos="821" w:val="left" w:leader="none"/>
        </w:tabs>
        <w:spacing w:line="357" w:lineRule="auto" w:before="43" w:after="0"/>
        <w:ind w:left="821" w:right="98" w:hanging="361"/>
        <w:jc w:val="left"/>
        <w:rPr>
          <w:sz w:val="24"/>
        </w:rPr>
      </w:pPr>
      <w:r>
        <w:rPr>
          <w:sz w:val="24"/>
        </w:rPr>
        <w:t>Comparación de distintas opciones dentro de un nuevo proceso con el objetivo de minimizar impactos</w:t>
      </w:r>
      <w:r>
        <w:rPr>
          <w:spacing w:val="-28"/>
          <w:sz w:val="24"/>
        </w:rPr>
        <w:t> </w:t>
      </w:r>
      <w:r>
        <w:rPr>
          <w:sz w:val="24"/>
        </w:rPr>
        <w:t>ambientales.</w:t>
      </w:r>
    </w:p>
    <w:p>
      <w:pPr>
        <w:pStyle w:val="ListParagraph"/>
        <w:numPr>
          <w:ilvl w:val="3"/>
          <w:numId w:val="32"/>
        </w:numPr>
        <w:tabs>
          <w:tab w:pos="821" w:val="left" w:leader="none"/>
        </w:tabs>
        <w:spacing w:line="357" w:lineRule="auto" w:before="8" w:after="0"/>
        <w:ind w:left="821" w:right="107" w:hanging="361"/>
        <w:jc w:val="left"/>
        <w:rPr>
          <w:sz w:val="24"/>
        </w:rPr>
      </w:pPr>
      <w:r>
        <w:rPr>
          <w:sz w:val="24"/>
        </w:rPr>
        <w:t>Herramienta para la identificación de procesos, componentes y sistemas cuya contribución al impacto ambiental es</w:t>
      </w:r>
      <w:r>
        <w:rPr>
          <w:spacing w:val="-24"/>
          <w:sz w:val="24"/>
        </w:rPr>
        <w:t> </w:t>
      </w:r>
      <w:r>
        <w:rPr>
          <w:sz w:val="24"/>
        </w:rPr>
        <w:t>significativa.</w:t>
      </w:r>
    </w:p>
    <w:p>
      <w:pPr>
        <w:pStyle w:val="ListParagraph"/>
        <w:numPr>
          <w:ilvl w:val="3"/>
          <w:numId w:val="32"/>
        </w:numPr>
        <w:tabs>
          <w:tab w:pos="821" w:val="left" w:leader="none"/>
        </w:tabs>
        <w:spacing w:line="357" w:lineRule="auto" w:before="9" w:after="0"/>
        <w:ind w:left="821" w:right="101" w:hanging="361"/>
        <w:jc w:val="left"/>
        <w:rPr>
          <w:sz w:val="24"/>
        </w:rPr>
      </w:pPr>
      <w:r>
        <w:rPr>
          <w:sz w:val="24"/>
        </w:rPr>
        <w:t>Evaluación de los efectos producidos por el consumo de recursos en las instalaciones.</w:t>
      </w:r>
    </w:p>
    <w:p>
      <w:pPr>
        <w:pStyle w:val="BodyText"/>
      </w:pPr>
    </w:p>
    <w:p>
      <w:pPr>
        <w:pStyle w:val="BodyText"/>
        <w:spacing w:before="144"/>
        <w:ind w:left="100"/>
      </w:pPr>
      <w:r>
        <w:rPr/>
        <w:t>Como usos externos del ACV en la industria, destacan los siguientes:</w:t>
      </w:r>
    </w:p>
    <w:p>
      <w:pPr>
        <w:pStyle w:val="BodyText"/>
      </w:pPr>
    </w:p>
    <w:p>
      <w:pPr>
        <w:pStyle w:val="BodyText"/>
      </w:pPr>
    </w:p>
    <w:p>
      <w:pPr>
        <w:pStyle w:val="ListParagraph"/>
        <w:numPr>
          <w:ilvl w:val="0"/>
          <w:numId w:val="39"/>
        </w:numPr>
        <w:tabs>
          <w:tab w:pos="820" w:val="left" w:leader="none"/>
          <w:tab w:pos="821" w:val="left" w:leader="none"/>
        </w:tabs>
        <w:spacing w:line="240" w:lineRule="auto" w:before="0" w:after="0"/>
        <w:ind w:left="821" w:right="0" w:hanging="361"/>
        <w:jc w:val="left"/>
        <w:rPr>
          <w:sz w:val="24"/>
        </w:rPr>
      </w:pPr>
      <w:r>
        <w:rPr>
          <w:sz w:val="24"/>
        </w:rPr>
        <w:t>Mejora de imagen y marketing</w:t>
      </w:r>
      <w:r>
        <w:rPr>
          <w:spacing w:val="-21"/>
          <w:sz w:val="24"/>
        </w:rPr>
        <w:t> </w:t>
      </w:r>
      <w:r>
        <w:rPr>
          <w:sz w:val="24"/>
        </w:rPr>
        <w:t>ambiental</w:t>
      </w:r>
    </w:p>
    <w:p>
      <w:pPr>
        <w:pStyle w:val="ListParagraph"/>
        <w:numPr>
          <w:ilvl w:val="0"/>
          <w:numId w:val="39"/>
        </w:numPr>
        <w:tabs>
          <w:tab w:pos="820" w:val="left" w:leader="none"/>
          <w:tab w:pos="821" w:val="left" w:leader="none"/>
        </w:tabs>
        <w:spacing w:line="240" w:lineRule="auto" w:before="119" w:after="0"/>
        <w:ind w:left="821" w:right="0" w:hanging="361"/>
        <w:jc w:val="left"/>
        <w:rPr>
          <w:sz w:val="24"/>
        </w:rPr>
      </w:pPr>
      <w:r>
        <w:rPr>
          <w:sz w:val="24"/>
        </w:rPr>
        <w:t>Desarrollo de programas de</w:t>
      </w:r>
      <w:r>
        <w:rPr>
          <w:spacing w:val="-22"/>
          <w:sz w:val="24"/>
        </w:rPr>
        <w:t> </w:t>
      </w:r>
      <w:r>
        <w:rPr>
          <w:sz w:val="24"/>
        </w:rPr>
        <w:t>investigación</w:t>
      </w:r>
    </w:p>
    <w:p>
      <w:pPr>
        <w:pStyle w:val="ListParagraph"/>
        <w:numPr>
          <w:ilvl w:val="0"/>
          <w:numId w:val="39"/>
        </w:numPr>
        <w:tabs>
          <w:tab w:pos="820" w:val="left" w:leader="none"/>
          <w:tab w:pos="821" w:val="left" w:leader="none"/>
        </w:tabs>
        <w:spacing w:line="336" w:lineRule="auto" w:before="115" w:after="0"/>
        <w:ind w:left="821" w:right="103" w:hanging="361"/>
        <w:jc w:val="left"/>
        <w:rPr>
          <w:sz w:val="24"/>
        </w:rPr>
      </w:pPr>
      <w:r>
        <w:rPr>
          <w:sz w:val="24"/>
        </w:rPr>
        <w:t>Proporcionar información complementaria a la administración para la regulación y reducción de determinados</w:t>
      </w:r>
      <w:r>
        <w:rPr>
          <w:spacing w:val="-20"/>
          <w:sz w:val="24"/>
        </w:rPr>
        <w:t> </w:t>
      </w:r>
      <w:r>
        <w:rPr>
          <w:sz w:val="24"/>
        </w:rPr>
        <w:t>productos.</w:t>
      </w:r>
    </w:p>
    <w:p>
      <w:pPr>
        <w:pStyle w:val="ListParagraph"/>
        <w:numPr>
          <w:ilvl w:val="0"/>
          <w:numId w:val="39"/>
        </w:numPr>
        <w:tabs>
          <w:tab w:pos="820" w:val="left" w:leader="none"/>
          <w:tab w:pos="821" w:val="left" w:leader="none"/>
        </w:tabs>
        <w:spacing w:line="240" w:lineRule="auto" w:before="29" w:after="0"/>
        <w:ind w:left="821" w:right="0" w:hanging="361"/>
        <w:jc w:val="left"/>
        <w:rPr>
          <w:sz w:val="24"/>
        </w:rPr>
      </w:pPr>
      <w:r>
        <w:rPr>
          <w:sz w:val="24"/>
        </w:rPr>
        <w:t>Ejercer presión sobre los</w:t>
      </w:r>
      <w:r>
        <w:rPr>
          <w:spacing w:val="-17"/>
          <w:sz w:val="24"/>
        </w:rPr>
        <w:t> </w:t>
      </w:r>
      <w:r>
        <w:rPr>
          <w:sz w:val="24"/>
        </w:rPr>
        <w:t>proveedores.</w:t>
      </w:r>
    </w:p>
    <w:p>
      <w:pPr>
        <w:pStyle w:val="BodyText"/>
        <w:spacing w:line="357" w:lineRule="auto" w:before="119"/>
        <w:ind w:left="100"/>
      </w:pPr>
      <w:r>
        <w:rPr/>
        <w:t>Por lo que respecta a la administración, algunas aplicaciones del ACV podrían ser las siguientes:</w:t>
      </w:r>
    </w:p>
    <w:p>
      <w:pPr>
        <w:pStyle w:val="BodyText"/>
      </w:pPr>
    </w:p>
    <w:p>
      <w:pPr>
        <w:pStyle w:val="ListParagraph"/>
        <w:numPr>
          <w:ilvl w:val="0"/>
          <w:numId w:val="40"/>
        </w:numPr>
        <w:tabs>
          <w:tab w:pos="821" w:val="left" w:leader="none"/>
        </w:tabs>
        <w:spacing w:line="360" w:lineRule="auto" w:before="144" w:after="0"/>
        <w:ind w:left="821" w:right="98" w:hanging="361"/>
        <w:jc w:val="both"/>
        <w:rPr>
          <w:sz w:val="24"/>
        </w:rPr>
      </w:pPr>
      <w:r>
        <w:rPr>
          <w:sz w:val="24"/>
        </w:rPr>
        <w:t>Herramienta para colaborar en el desarrollo de legislación y políticas ambientales que, a largo plazo, puedan favorecer la conservación de recursos y la reducción de riesgo ambiental asociado a productos y procesos.</w:t>
      </w:r>
    </w:p>
    <w:p>
      <w:pPr>
        <w:pStyle w:val="ListParagraph"/>
        <w:numPr>
          <w:ilvl w:val="0"/>
          <w:numId w:val="40"/>
        </w:numPr>
        <w:tabs>
          <w:tab w:pos="821" w:val="left" w:leader="none"/>
        </w:tabs>
        <w:spacing w:line="240" w:lineRule="auto" w:before="2" w:after="0"/>
        <w:ind w:left="821" w:right="0" w:hanging="361"/>
        <w:jc w:val="left"/>
        <w:rPr>
          <w:sz w:val="24"/>
        </w:rPr>
      </w:pPr>
      <w:r>
        <w:rPr>
          <w:sz w:val="24"/>
        </w:rPr>
        <w:t>Evaluación de distintas alternativas de gestión de</w:t>
      </w:r>
      <w:r>
        <w:rPr>
          <w:spacing w:val="-34"/>
          <w:sz w:val="24"/>
        </w:rPr>
        <w:t> </w:t>
      </w:r>
      <w:r>
        <w:rPr>
          <w:sz w:val="24"/>
        </w:rPr>
        <w:t>residuos</w:t>
      </w:r>
    </w:p>
    <w:p>
      <w:pPr>
        <w:pStyle w:val="ListParagraph"/>
        <w:numPr>
          <w:ilvl w:val="0"/>
          <w:numId w:val="40"/>
        </w:numPr>
        <w:tabs>
          <w:tab w:pos="821" w:val="left" w:leader="none"/>
        </w:tabs>
        <w:spacing w:line="360" w:lineRule="auto" w:before="140" w:after="0"/>
        <w:ind w:left="821" w:right="98" w:hanging="361"/>
        <w:jc w:val="left"/>
        <w:rPr>
          <w:sz w:val="24"/>
        </w:rPr>
      </w:pPr>
      <w:r>
        <w:rPr>
          <w:sz w:val="24"/>
        </w:rPr>
        <w:t>Proporcionar al público información sobre características ambientales de productos</w:t>
      </w:r>
      <w:r>
        <w:rPr>
          <w:spacing w:val="-14"/>
          <w:sz w:val="24"/>
        </w:rPr>
        <w:t> </w:t>
      </w:r>
      <w:r>
        <w:rPr>
          <w:sz w:val="24"/>
        </w:rPr>
        <w:t>materiales</w:t>
      </w:r>
    </w:p>
    <w:p>
      <w:pPr>
        <w:pStyle w:val="ListParagraph"/>
        <w:numPr>
          <w:ilvl w:val="0"/>
          <w:numId w:val="40"/>
        </w:numPr>
        <w:tabs>
          <w:tab w:pos="821" w:val="left" w:leader="none"/>
        </w:tabs>
        <w:spacing w:line="357" w:lineRule="auto" w:before="6" w:after="0"/>
        <w:ind w:left="821" w:right="110" w:hanging="361"/>
        <w:jc w:val="left"/>
        <w:rPr>
          <w:sz w:val="24"/>
        </w:rPr>
      </w:pPr>
      <w:r>
        <w:rPr>
          <w:sz w:val="24"/>
        </w:rPr>
        <w:t>Detección de necesidades de investigación y establecimiento de</w:t>
      </w:r>
      <w:r>
        <w:rPr>
          <w:spacing w:val="-35"/>
          <w:sz w:val="24"/>
        </w:rPr>
        <w:t> </w:t>
      </w:r>
      <w:r>
        <w:rPr>
          <w:sz w:val="24"/>
        </w:rPr>
        <w:t>prioridades de</w:t>
      </w:r>
      <w:r>
        <w:rPr>
          <w:spacing w:val="-13"/>
          <w:sz w:val="24"/>
        </w:rPr>
        <w:t> </w:t>
      </w:r>
      <w:r>
        <w:rPr>
          <w:sz w:val="24"/>
        </w:rPr>
        <w:t>actuación.</w:t>
      </w:r>
    </w:p>
    <w:p>
      <w:pPr>
        <w:pStyle w:val="ListParagraph"/>
        <w:numPr>
          <w:ilvl w:val="0"/>
          <w:numId w:val="40"/>
        </w:numPr>
        <w:tabs>
          <w:tab w:pos="821" w:val="left" w:leader="none"/>
        </w:tabs>
        <w:spacing w:line="357" w:lineRule="auto" w:before="8" w:after="0"/>
        <w:ind w:left="821" w:right="105" w:hanging="361"/>
        <w:jc w:val="left"/>
        <w:rPr>
          <w:sz w:val="24"/>
        </w:rPr>
      </w:pPr>
      <w:r>
        <w:rPr>
          <w:sz w:val="24"/>
        </w:rPr>
        <w:t>Establecer criterios de valoración y diferenciación de productos en los programas de eco</w:t>
      </w:r>
      <w:r>
        <w:rPr>
          <w:spacing w:val="-15"/>
          <w:sz w:val="24"/>
        </w:rPr>
        <w:t> </w:t>
      </w:r>
      <w:r>
        <w:rPr>
          <w:sz w:val="24"/>
        </w:rPr>
        <w:t>etiquetado.</w:t>
      </w:r>
    </w:p>
    <w:p>
      <w:pPr>
        <w:pStyle w:val="ListParagraph"/>
        <w:numPr>
          <w:ilvl w:val="0"/>
          <w:numId w:val="40"/>
        </w:numPr>
        <w:tabs>
          <w:tab w:pos="821" w:val="left" w:leader="none"/>
        </w:tabs>
        <w:spacing w:line="240" w:lineRule="auto" w:before="9" w:after="0"/>
        <w:ind w:left="821" w:right="0" w:hanging="361"/>
        <w:jc w:val="left"/>
        <w:rPr>
          <w:sz w:val="24"/>
        </w:rPr>
      </w:pPr>
      <w:r>
        <w:rPr>
          <w:sz w:val="24"/>
        </w:rPr>
        <w:t>Etapas de desarrollo de un</w:t>
      </w:r>
      <w:r>
        <w:rPr>
          <w:spacing w:val="-18"/>
          <w:sz w:val="24"/>
        </w:rPr>
        <w:t> </w:t>
      </w:r>
      <w:r>
        <w:rPr>
          <w:sz w:val="24"/>
        </w:rPr>
        <w:t>ACV</w:t>
      </w:r>
    </w:p>
    <w:p>
      <w:pPr>
        <w:pStyle w:val="ListParagraph"/>
        <w:numPr>
          <w:ilvl w:val="0"/>
          <w:numId w:val="40"/>
        </w:numPr>
        <w:tabs>
          <w:tab w:pos="821" w:val="left" w:leader="none"/>
        </w:tabs>
        <w:spacing w:line="240" w:lineRule="auto" w:before="136" w:after="0"/>
        <w:ind w:left="821" w:right="0" w:hanging="361"/>
        <w:jc w:val="left"/>
        <w:rPr>
          <w:sz w:val="24"/>
        </w:rPr>
      </w:pPr>
      <w:r>
        <w:rPr>
          <w:sz w:val="24"/>
        </w:rPr>
        <w:t>Adquisición de materias</w:t>
      </w:r>
      <w:r>
        <w:rPr>
          <w:spacing w:val="-18"/>
          <w:sz w:val="24"/>
        </w:rPr>
        <w:t> </w:t>
      </w:r>
      <w:r>
        <w:rPr>
          <w:sz w:val="24"/>
        </w:rPr>
        <w:t>primas</w:t>
      </w:r>
    </w:p>
    <w:p>
      <w:pPr>
        <w:pStyle w:val="ListParagraph"/>
        <w:numPr>
          <w:ilvl w:val="0"/>
          <w:numId w:val="40"/>
        </w:numPr>
        <w:tabs>
          <w:tab w:pos="821" w:val="left" w:leader="none"/>
        </w:tabs>
        <w:spacing w:line="240" w:lineRule="auto" w:before="140" w:after="0"/>
        <w:ind w:left="821" w:right="0" w:hanging="361"/>
        <w:jc w:val="left"/>
        <w:rPr>
          <w:sz w:val="24"/>
        </w:rPr>
      </w:pPr>
      <w:r>
        <w:rPr>
          <w:sz w:val="24"/>
        </w:rPr>
        <w:t>Fabricación, procesado y formulación de</w:t>
      </w:r>
      <w:r>
        <w:rPr>
          <w:spacing w:val="-28"/>
          <w:sz w:val="24"/>
        </w:rPr>
        <w:t> </w:t>
      </w:r>
      <w:r>
        <w:rPr>
          <w:sz w:val="24"/>
        </w:rPr>
        <w:t>productos</w:t>
      </w:r>
    </w:p>
    <w:p>
      <w:pPr>
        <w:spacing w:after="0" w:line="240" w:lineRule="auto"/>
        <w:jc w:val="left"/>
        <w:rPr>
          <w:sz w:val="24"/>
        </w:rPr>
        <w:sectPr>
          <w:pgSz w:w="12240" w:h="15840"/>
          <w:pgMar w:header="0" w:footer="1031" w:top="1460" w:bottom="1220" w:left="1600" w:right="1600"/>
        </w:sectPr>
      </w:pPr>
    </w:p>
    <w:p>
      <w:pPr>
        <w:pStyle w:val="ListParagraph"/>
        <w:numPr>
          <w:ilvl w:val="0"/>
          <w:numId w:val="40"/>
        </w:numPr>
        <w:tabs>
          <w:tab w:pos="821" w:val="left" w:leader="none"/>
        </w:tabs>
        <w:spacing w:line="240" w:lineRule="auto" w:before="43" w:after="0"/>
        <w:ind w:left="821" w:right="0" w:hanging="361"/>
        <w:jc w:val="left"/>
        <w:rPr>
          <w:sz w:val="24"/>
        </w:rPr>
      </w:pPr>
      <w:r>
        <w:rPr>
          <w:sz w:val="24"/>
        </w:rPr>
        <w:t>Distribución y</w:t>
      </w:r>
      <w:r>
        <w:rPr>
          <w:spacing w:val="-17"/>
          <w:sz w:val="24"/>
        </w:rPr>
        <w:t> </w:t>
      </w:r>
      <w:r>
        <w:rPr>
          <w:sz w:val="24"/>
        </w:rPr>
        <w:t>transporte</w:t>
      </w:r>
    </w:p>
    <w:p>
      <w:pPr>
        <w:pStyle w:val="ListParagraph"/>
        <w:numPr>
          <w:ilvl w:val="0"/>
          <w:numId w:val="40"/>
        </w:numPr>
        <w:tabs>
          <w:tab w:pos="821" w:val="left" w:leader="none"/>
        </w:tabs>
        <w:spacing w:line="240" w:lineRule="auto" w:before="136" w:after="0"/>
        <w:ind w:left="821" w:right="0" w:hanging="361"/>
        <w:jc w:val="left"/>
        <w:rPr>
          <w:sz w:val="24"/>
        </w:rPr>
      </w:pPr>
      <w:r>
        <w:rPr>
          <w:sz w:val="24"/>
        </w:rPr>
        <w:t>Uso/reutilización y</w:t>
      </w:r>
      <w:r>
        <w:rPr>
          <w:spacing w:val="-22"/>
          <w:sz w:val="24"/>
        </w:rPr>
        <w:t> </w:t>
      </w:r>
      <w:r>
        <w:rPr>
          <w:sz w:val="24"/>
        </w:rPr>
        <w:t>mantenimiento</w:t>
      </w:r>
    </w:p>
    <w:p>
      <w:pPr>
        <w:pStyle w:val="ListParagraph"/>
        <w:numPr>
          <w:ilvl w:val="0"/>
          <w:numId w:val="40"/>
        </w:numPr>
        <w:tabs>
          <w:tab w:pos="821" w:val="left" w:leader="none"/>
        </w:tabs>
        <w:spacing w:line="240" w:lineRule="auto" w:before="140" w:after="0"/>
        <w:ind w:left="821" w:right="0" w:hanging="361"/>
        <w:jc w:val="left"/>
        <w:rPr>
          <w:sz w:val="24"/>
        </w:rPr>
      </w:pPr>
      <w:r>
        <w:rPr>
          <w:sz w:val="24"/>
        </w:rPr>
        <w:t>Gestión de residuos (reciclado, valorización, eliminación en</w:t>
      </w:r>
      <w:r>
        <w:rPr>
          <w:spacing w:val="-43"/>
          <w:sz w:val="24"/>
        </w:rPr>
        <w:t> </w:t>
      </w:r>
      <w:r>
        <w:rPr>
          <w:sz w:val="24"/>
        </w:rPr>
        <w:t>vertedero)</w:t>
      </w:r>
    </w:p>
    <w:p>
      <w:pPr>
        <w:pStyle w:val="BodyText"/>
      </w:pPr>
    </w:p>
    <w:p>
      <w:pPr>
        <w:pStyle w:val="BodyText"/>
      </w:pPr>
    </w:p>
    <w:p>
      <w:pPr>
        <w:pStyle w:val="Heading2"/>
        <w:numPr>
          <w:ilvl w:val="2"/>
          <w:numId w:val="32"/>
        </w:numPr>
        <w:tabs>
          <w:tab w:pos="897" w:val="left" w:leader="none"/>
        </w:tabs>
        <w:spacing w:line="240" w:lineRule="auto" w:before="195" w:after="0"/>
        <w:ind w:left="897" w:right="0" w:hanging="797"/>
        <w:jc w:val="left"/>
      </w:pPr>
      <w:bookmarkStart w:name="3.3.2.  Etapas del ACV" w:id="188"/>
      <w:bookmarkEnd w:id="188"/>
      <w:r>
        <w:rPr/>
      </w:r>
      <w:bookmarkStart w:name="_bookmark122" w:id="189"/>
      <w:bookmarkEnd w:id="189"/>
      <w:r>
        <w:rPr/>
        <w:t>E</w:t>
      </w:r>
      <w:r>
        <w:rPr/>
        <w:t>tapas del</w:t>
      </w:r>
      <w:r>
        <w:rPr>
          <w:spacing w:val="-4"/>
        </w:rPr>
        <w:t> </w:t>
      </w:r>
      <w:r>
        <w:rPr/>
        <w:t>ACV</w:t>
      </w:r>
    </w:p>
    <w:p>
      <w:pPr>
        <w:pStyle w:val="BodyText"/>
        <w:rPr>
          <w:sz w:val="28"/>
        </w:rPr>
      </w:pPr>
    </w:p>
    <w:p>
      <w:pPr>
        <w:pStyle w:val="BodyText"/>
        <w:spacing w:before="4"/>
        <w:rPr>
          <w:sz w:val="22"/>
        </w:rPr>
      </w:pPr>
    </w:p>
    <w:p>
      <w:pPr>
        <w:pStyle w:val="BodyText"/>
        <w:spacing w:line="362" w:lineRule="auto"/>
        <w:ind w:left="100" w:right="100"/>
      </w:pPr>
      <w:r>
        <w:rPr/>
        <w:t>Para Romero (1987) el ACV de un producto o proceso consta de cuatro etapas interrelacionadas, que las define a continuación de acuerdo a la norma ISO 14040:</w:t>
      </w:r>
    </w:p>
    <w:p>
      <w:pPr>
        <w:pStyle w:val="BodyText"/>
      </w:pPr>
    </w:p>
    <w:p>
      <w:pPr>
        <w:pStyle w:val="ListParagraph"/>
        <w:numPr>
          <w:ilvl w:val="0"/>
          <w:numId w:val="41"/>
        </w:numPr>
        <w:tabs>
          <w:tab w:pos="889" w:val="left" w:leader="none"/>
        </w:tabs>
        <w:spacing w:line="357" w:lineRule="auto" w:before="139" w:after="0"/>
        <w:ind w:left="889" w:right="98" w:hanging="361"/>
        <w:jc w:val="both"/>
        <w:rPr>
          <w:sz w:val="24"/>
        </w:rPr>
      </w:pPr>
      <w:r>
        <w:rPr>
          <w:sz w:val="24"/>
        </w:rPr>
        <w:t>Etapa 1. Definición del Objetivo y Alcance del ACV. En los objetivos se exponen los motivos por los que se desarrolla el estudio, la aplicación prevista y a quién va dirigido. El alcance consiste en la definición de la amplitud, profundidad y detalle del</w:t>
      </w:r>
      <w:r>
        <w:rPr>
          <w:spacing w:val="-28"/>
          <w:sz w:val="24"/>
        </w:rPr>
        <w:t> </w:t>
      </w:r>
      <w:r>
        <w:rPr>
          <w:sz w:val="24"/>
        </w:rPr>
        <w:t>estudio.</w:t>
      </w:r>
    </w:p>
    <w:p>
      <w:pPr>
        <w:pStyle w:val="ListParagraph"/>
        <w:numPr>
          <w:ilvl w:val="0"/>
          <w:numId w:val="41"/>
        </w:numPr>
        <w:tabs>
          <w:tab w:pos="889" w:val="left" w:leader="none"/>
        </w:tabs>
        <w:spacing w:line="357" w:lineRule="auto" w:before="8" w:after="0"/>
        <w:ind w:left="889" w:right="100" w:hanging="361"/>
        <w:jc w:val="both"/>
        <w:rPr>
          <w:sz w:val="24"/>
        </w:rPr>
      </w:pPr>
      <w:r>
        <w:rPr>
          <w:sz w:val="24"/>
        </w:rPr>
        <w:t>Etapa 2. Análisis de Inventario de Ciclo de Vida. Esta fase incluye la identificación y cuantificación de las entradas (consumo de recursos) y salidas (emisiones al aire, suelo y aguas y generación de residuos) del sistema del producto. Por sistema del producto se entiende el conjunto de procesos unitarios conectados material y energéticamente que realizan una o </w:t>
      </w:r>
      <w:r>
        <w:rPr>
          <w:spacing w:val="-2"/>
          <w:sz w:val="24"/>
        </w:rPr>
        <w:t>más </w:t>
      </w:r>
      <w:r>
        <w:rPr>
          <w:sz w:val="24"/>
        </w:rPr>
        <w:t>funciones</w:t>
      </w:r>
      <w:r>
        <w:rPr>
          <w:spacing w:val="-9"/>
          <w:sz w:val="24"/>
        </w:rPr>
        <w:t> </w:t>
      </w:r>
      <w:r>
        <w:rPr>
          <w:sz w:val="24"/>
        </w:rPr>
        <w:t>idénticas.</w:t>
      </w:r>
    </w:p>
    <w:p>
      <w:pPr>
        <w:pStyle w:val="ListParagraph"/>
        <w:numPr>
          <w:ilvl w:val="0"/>
          <w:numId w:val="41"/>
        </w:numPr>
        <w:tabs>
          <w:tab w:pos="889" w:val="left" w:leader="none"/>
        </w:tabs>
        <w:spacing w:line="357" w:lineRule="auto" w:before="8" w:after="0"/>
        <w:ind w:left="889" w:right="103" w:hanging="361"/>
        <w:jc w:val="both"/>
        <w:rPr>
          <w:sz w:val="24"/>
        </w:rPr>
      </w:pPr>
      <w:r>
        <w:rPr>
          <w:sz w:val="24"/>
        </w:rPr>
        <w:t>Etapa 3. Evaluación de Impacto de Ciclo de Vida. Durante esta etapa, utilizando los resultados del análisis de inventario, se evalúa la importancia de los potenciales impactos ambientales generados por las entradas y salidas del sistema del</w:t>
      </w:r>
      <w:r>
        <w:rPr>
          <w:spacing w:val="-17"/>
          <w:sz w:val="24"/>
        </w:rPr>
        <w:t> </w:t>
      </w:r>
      <w:r>
        <w:rPr>
          <w:sz w:val="24"/>
        </w:rPr>
        <w:t>producto.</w:t>
      </w:r>
    </w:p>
    <w:p>
      <w:pPr>
        <w:pStyle w:val="ListParagraph"/>
        <w:numPr>
          <w:ilvl w:val="0"/>
          <w:numId w:val="41"/>
        </w:numPr>
        <w:tabs>
          <w:tab w:pos="888" w:val="left" w:leader="none"/>
          <w:tab w:pos="889" w:val="left" w:leader="none"/>
        </w:tabs>
        <w:spacing w:line="355" w:lineRule="auto" w:before="8" w:after="0"/>
        <w:ind w:left="953" w:right="103" w:hanging="425"/>
        <w:jc w:val="left"/>
        <w:rPr>
          <w:sz w:val="24"/>
        </w:rPr>
      </w:pPr>
      <w:r>
        <w:rPr>
          <w:sz w:val="24"/>
        </w:rPr>
        <w:t>Etapa 4. Interpretación, la cual incluye la combinación de los resultados de las dos etapas anteriores, con la finalidad de extraer, de acuerdo a los objetivos y alcance del estudio, conclusiones y recomendaciones que permitan la toma de</w:t>
      </w:r>
      <w:r>
        <w:rPr>
          <w:spacing w:val="-19"/>
          <w:sz w:val="24"/>
        </w:rPr>
        <w:t> </w:t>
      </w:r>
      <w:r>
        <w:rPr>
          <w:sz w:val="24"/>
        </w:rPr>
        <w:t>decisiones.</w:t>
      </w:r>
    </w:p>
    <w:p>
      <w:pPr>
        <w:pStyle w:val="BodyText"/>
      </w:pPr>
    </w:p>
    <w:p>
      <w:pPr>
        <w:pStyle w:val="BodyText"/>
        <w:spacing w:before="148"/>
        <w:ind w:left="100"/>
      </w:pPr>
      <w:r>
        <w:rPr/>
        <w:t>En la siguiente </w:t>
      </w:r>
      <w:hyperlink w:history="true" w:anchor="_bookmark123">
        <w:r>
          <w:rPr/>
          <w:t>Figura 3.3</w:t>
        </w:r>
      </w:hyperlink>
      <w:r>
        <w:rPr/>
        <w:t> se presentan las etapas del ACV:</w:t>
      </w:r>
    </w:p>
    <w:p>
      <w:pPr>
        <w:spacing w:after="0"/>
        <w:sectPr>
          <w:pgSz w:w="12240" w:h="15840"/>
          <w:pgMar w:header="0" w:footer="1031" w:top="1500" w:bottom="1220" w:left="1600" w:right="1600"/>
        </w:sectPr>
      </w:pPr>
    </w:p>
    <w:p>
      <w:pPr>
        <w:pStyle w:val="BodyText"/>
        <w:spacing w:before="3"/>
        <w:rPr>
          <w:sz w:val="3"/>
        </w:rPr>
      </w:pPr>
    </w:p>
    <w:p>
      <w:pPr>
        <w:pStyle w:val="BodyText"/>
        <w:ind w:left="2774"/>
        <w:rPr>
          <w:sz w:val="20"/>
        </w:rPr>
      </w:pPr>
      <w:r>
        <w:rPr>
          <w:sz w:val="20"/>
        </w:rPr>
        <w:drawing>
          <wp:inline distT="0" distB="0" distL="0" distR="0">
            <wp:extent cx="2210976" cy="2451925"/>
            <wp:effectExtent l="0" t="0" r="0" b="0"/>
            <wp:docPr id="189" name="image99.png" descr=""/>
            <wp:cNvGraphicFramePr>
              <a:graphicFrameLocks noChangeAspect="1"/>
            </wp:cNvGraphicFramePr>
            <a:graphic>
              <a:graphicData uri="http://schemas.openxmlformats.org/drawingml/2006/picture">
                <pic:pic>
                  <pic:nvPicPr>
                    <pic:cNvPr id="190" name="image99.png"/>
                    <pic:cNvPicPr/>
                  </pic:nvPicPr>
                  <pic:blipFill>
                    <a:blip r:embed="rId162" cstate="print"/>
                    <a:stretch>
                      <a:fillRect/>
                    </a:stretch>
                  </pic:blipFill>
                  <pic:spPr>
                    <a:xfrm>
                      <a:off x="0" y="0"/>
                      <a:ext cx="2210976" cy="2451925"/>
                    </a:xfrm>
                    <a:prstGeom prst="rect">
                      <a:avLst/>
                    </a:prstGeom>
                  </pic:spPr>
                </pic:pic>
              </a:graphicData>
            </a:graphic>
          </wp:inline>
        </w:drawing>
      </w:r>
      <w:r>
        <w:rPr>
          <w:sz w:val="20"/>
        </w:rPr>
      </w:r>
    </w:p>
    <w:p>
      <w:pPr>
        <w:spacing w:before="145"/>
        <w:ind w:left="2505" w:right="0" w:firstLine="0"/>
        <w:jc w:val="left"/>
        <w:rPr>
          <w:sz w:val="18"/>
        </w:rPr>
      </w:pPr>
      <w:bookmarkStart w:name="_bookmark123" w:id="190"/>
      <w:bookmarkEnd w:id="190"/>
      <w:r>
        <w:rPr/>
      </w:r>
      <w:r>
        <w:rPr>
          <w:sz w:val="18"/>
        </w:rPr>
        <w:t>Figura 3.3. Etapas del ACV. (Fuente: Romero, 1997).</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7"/>
        </w:rPr>
      </w:pPr>
    </w:p>
    <w:p>
      <w:pPr>
        <w:pStyle w:val="Heading2"/>
        <w:numPr>
          <w:ilvl w:val="2"/>
          <w:numId w:val="32"/>
        </w:numPr>
        <w:tabs>
          <w:tab w:pos="897" w:val="left" w:leader="none"/>
        </w:tabs>
        <w:spacing w:line="240" w:lineRule="auto" w:before="0" w:after="0"/>
        <w:ind w:left="897" w:right="0" w:hanging="797"/>
        <w:jc w:val="both"/>
      </w:pPr>
      <w:bookmarkStart w:name="3.3.3.  Objetivo de estudio del Análisis" w:id="191"/>
      <w:bookmarkEnd w:id="191"/>
      <w:r>
        <w:rPr/>
      </w:r>
      <w:bookmarkStart w:name="_bookmark124" w:id="192"/>
      <w:bookmarkEnd w:id="192"/>
      <w:r>
        <w:rPr/>
        <w:t>O</w:t>
      </w:r>
      <w:r>
        <w:rPr/>
        <w:t>bjetivo de estudio del Análisis de Ciclo de Vida y</w:t>
      </w:r>
      <w:r>
        <w:rPr>
          <w:spacing w:val="-10"/>
        </w:rPr>
        <w:t> </w:t>
      </w:r>
      <w:r>
        <w:rPr/>
        <w:t>alcance</w:t>
      </w:r>
    </w:p>
    <w:p>
      <w:pPr>
        <w:pStyle w:val="BodyText"/>
        <w:rPr>
          <w:sz w:val="28"/>
        </w:rPr>
      </w:pPr>
    </w:p>
    <w:p>
      <w:pPr>
        <w:pStyle w:val="BodyText"/>
        <w:spacing w:before="8"/>
        <w:rPr>
          <w:sz w:val="22"/>
        </w:rPr>
      </w:pPr>
    </w:p>
    <w:p>
      <w:pPr>
        <w:pStyle w:val="BodyText"/>
        <w:ind w:left="100"/>
        <w:jc w:val="both"/>
      </w:pPr>
      <w:r>
        <w:rPr/>
        <w:t>Según el ISO 14040:2006 el objetivo de un ACV establece:</w:t>
      </w:r>
    </w:p>
    <w:p>
      <w:pPr>
        <w:pStyle w:val="BodyText"/>
      </w:pPr>
    </w:p>
    <w:p>
      <w:pPr>
        <w:pStyle w:val="BodyText"/>
      </w:pPr>
    </w:p>
    <w:p>
      <w:pPr>
        <w:pStyle w:val="ListParagraph"/>
        <w:numPr>
          <w:ilvl w:val="0"/>
          <w:numId w:val="9"/>
        </w:numPr>
        <w:tabs>
          <w:tab w:pos="249" w:val="left" w:leader="none"/>
        </w:tabs>
        <w:spacing w:line="240" w:lineRule="auto" w:before="0" w:after="0"/>
        <w:ind w:left="248" w:right="0" w:hanging="148"/>
        <w:jc w:val="both"/>
        <w:rPr>
          <w:sz w:val="24"/>
        </w:rPr>
      </w:pPr>
      <w:r>
        <w:rPr>
          <w:sz w:val="24"/>
        </w:rPr>
        <w:t>La aplicación</w:t>
      </w:r>
      <w:r>
        <w:rPr>
          <w:spacing w:val="-17"/>
          <w:sz w:val="24"/>
        </w:rPr>
        <w:t> </w:t>
      </w:r>
      <w:r>
        <w:rPr>
          <w:sz w:val="24"/>
        </w:rPr>
        <w:t>prevista,</w:t>
      </w:r>
    </w:p>
    <w:p>
      <w:pPr>
        <w:pStyle w:val="ListParagraph"/>
        <w:numPr>
          <w:ilvl w:val="0"/>
          <w:numId w:val="9"/>
        </w:numPr>
        <w:tabs>
          <w:tab w:pos="249" w:val="left" w:leader="none"/>
        </w:tabs>
        <w:spacing w:line="240" w:lineRule="auto" w:before="136" w:after="0"/>
        <w:ind w:left="248" w:right="0" w:hanging="148"/>
        <w:jc w:val="both"/>
        <w:rPr>
          <w:sz w:val="24"/>
        </w:rPr>
      </w:pPr>
      <w:r>
        <w:rPr>
          <w:sz w:val="24"/>
        </w:rPr>
        <w:t>Las razones para realizar el</w:t>
      </w:r>
      <w:r>
        <w:rPr>
          <w:spacing w:val="-22"/>
          <w:sz w:val="24"/>
        </w:rPr>
        <w:t> </w:t>
      </w:r>
      <w:r>
        <w:rPr>
          <w:sz w:val="24"/>
        </w:rPr>
        <w:t>estudio,</w:t>
      </w:r>
    </w:p>
    <w:p>
      <w:pPr>
        <w:pStyle w:val="ListParagraph"/>
        <w:numPr>
          <w:ilvl w:val="0"/>
          <w:numId w:val="9"/>
        </w:numPr>
        <w:tabs>
          <w:tab w:pos="249" w:val="left" w:leader="none"/>
        </w:tabs>
        <w:spacing w:line="357" w:lineRule="auto" w:before="140" w:after="0"/>
        <w:ind w:left="100" w:right="804" w:firstLine="0"/>
        <w:jc w:val="left"/>
        <w:rPr>
          <w:sz w:val="24"/>
        </w:rPr>
      </w:pPr>
      <w:r>
        <w:rPr>
          <w:sz w:val="24"/>
        </w:rPr>
        <w:t>El público previsto, es decir las personas a quienes se prevé comunicar</w:t>
      </w:r>
      <w:r>
        <w:rPr>
          <w:spacing w:val="-33"/>
          <w:sz w:val="24"/>
        </w:rPr>
        <w:t> </w:t>
      </w:r>
      <w:r>
        <w:rPr>
          <w:sz w:val="24"/>
        </w:rPr>
        <w:t>los resultados del estudio,</w:t>
      </w:r>
      <w:r>
        <w:rPr>
          <w:spacing w:val="-13"/>
          <w:sz w:val="24"/>
        </w:rPr>
        <w:t> </w:t>
      </w:r>
      <w:r>
        <w:rPr>
          <w:sz w:val="24"/>
        </w:rPr>
        <w:t>y</w:t>
      </w:r>
    </w:p>
    <w:p>
      <w:pPr>
        <w:pStyle w:val="ListParagraph"/>
        <w:numPr>
          <w:ilvl w:val="0"/>
          <w:numId w:val="9"/>
        </w:numPr>
        <w:tabs>
          <w:tab w:pos="249" w:val="left" w:leader="none"/>
        </w:tabs>
        <w:spacing w:line="357" w:lineRule="auto" w:before="8" w:after="0"/>
        <w:ind w:left="100" w:right="1059" w:firstLine="0"/>
        <w:jc w:val="left"/>
        <w:rPr>
          <w:sz w:val="24"/>
        </w:rPr>
      </w:pPr>
      <w:r>
        <w:rPr>
          <w:sz w:val="24"/>
        </w:rPr>
        <w:t>Si se prevé utilizar los resultados en aseveraciones comparativas que</w:t>
      </w:r>
      <w:r>
        <w:rPr>
          <w:spacing w:val="-34"/>
          <w:sz w:val="24"/>
        </w:rPr>
        <w:t> </w:t>
      </w:r>
      <w:r>
        <w:rPr>
          <w:sz w:val="24"/>
        </w:rPr>
        <w:t>se divulgarán al</w:t>
      </w:r>
      <w:r>
        <w:rPr>
          <w:spacing w:val="-12"/>
          <w:sz w:val="24"/>
        </w:rPr>
        <w:t> </w:t>
      </w:r>
      <w:r>
        <w:rPr>
          <w:sz w:val="24"/>
        </w:rPr>
        <w:t>público</w:t>
      </w:r>
    </w:p>
    <w:p>
      <w:pPr>
        <w:pStyle w:val="BodyText"/>
      </w:pPr>
    </w:p>
    <w:p>
      <w:pPr>
        <w:pStyle w:val="BodyText"/>
        <w:spacing w:line="360" w:lineRule="auto" w:before="145"/>
        <w:ind w:left="100" w:right="106"/>
        <w:jc w:val="both"/>
      </w:pPr>
      <w:r>
        <w:rPr/>
        <w:t>El alcance debería estar suficientemente bien definido para asegurar que la amplitud, profundidad y el nivel de detalle del estudio sean compatibles y suficientes para alcanzar el objetivo establecido.</w:t>
      </w:r>
    </w:p>
    <w:p>
      <w:pPr>
        <w:pStyle w:val="BodyText"/>
      </w:pPr>
    </w:p>
    <w:p>
      <w:pPr>
        <w:pStyle w:val="BodyText"/>
        <w:spacing w:line="360" w:lineRule="auto" w:before="142"/>
        <w:ind w:left="100" w:right="107"/>
        <w:jc w:val="both"/>
      </w:pPr>
      <w:r>
        <w:rPr/>
        <w:t>Para Romero (1987) define de objetivos comprende la exposición de los motivos por los que se desarrolla el estudio y la descripción del destinatario del mismo. El alcance es la definición de la amplitud, profundidad y detalle del estudio.</w:t>
      </w:r>
    </w:p>
    <w:p>
      <w:pPr>
        <w:spacing w:after="0" w:line="360" w:lineRule="auto"/>
        <w:jc w:val="both"/>
        <w:sectPr>
          <w:pgSz w:w="12240" w:h="15840"/>
          <w:pgMar w:header="0" w:footer="1031" w:top="1500" w:bottom="1220" w:left="1600" w:right="16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2"/>
        </w:rPr>
      </w:pPr>
    </w:p>
    <w:p>
      <w:pPr>
        <w:pStyle w:val="ListParagraph"/>
        <w:numPr>
          <w:ilvl w:val="1"/>
          <w:numId w:val="9"/>
        </w:numPr>
        <w:tabs>
          <w:tab w:pos="965" w:val="left" w:leader="none"/>
        </w:tabs>
        <w:spacing w:line="362" w:lineRule="auto" w:before="69" w:after="0"/>
        <w:ind w:left="100" w:right="161" w:firstLine="504"/>
        <w:jc w:val="left"/>
        <w:rPr>
          <w:sz w:val="24"/>
        </w:rPr>
      </w:pPr>
      <w:r>
        <w:rPr>
          <w:sz w:val="24"/>
        </w:rPr>
        <w:t>Definición del objetivo. La definición del objetivo del análisis debe ser</w:t>
      </w:r>
      <w:r>
        <w:rPr>
          <w:spacing w:val="-46"/>
          <w:sz w:val="24"/>
        </w:rPr>
        <w:t> </w:t>
      </w:r>
      <w:r>
        <w:rPr>
          <w:sz w:val="24"/>
        </w:rPr>
        <w:t>clara y coherente con la aplicación que se va a dar al</w:t>
      </w:r>
      <w:r>
        <w:rPr>
          <w:spacing w:val="-33"/>
          <w:sz w:val="24"/>
        </w:rPr>
        <w:t> </w:t>
      </w:r>
      <w:r>
        <w:rPr>
          <w:sz w:val="24"/>
        </w:rPr>
        <w:t>estudio.</w:t>
      </w:r>
    </w:p>
    <w:p>
      <w:pPr>
        <w:pStyle w:val="BodyText"/>
      </w:pPr>
    </w:p>
    <w:p>
      <w:pPr>
        <w:pStyle w:val="ListParagraph"/>
        <w:numPr>
          <w:ilvl w:val="1"/>
          <w:numId w:val="9"/>
        </w:numPr>
        <w:tabs>
          <w:tab w:pos="965" w:val="left" w:leader="none"/>
        </w:tabs>
        <w:spacing w:line="240" w:lineRule="auto" w:before="139" w:after="0"/>
        <w:ind w:left="965" w:right="0" w:hanging="361"/>
        <w:jc w:val="left"/>
        <w:rPr>
          <w:sz w:val="24"/>
        </w:rPr>
      </w:pPr>
      <w:r>
        <w:rPr>
          <w:sz w:val="24"/>
        </w:rPr>
        <w:t>La definición de objetivos debe</w:t>
      </w:r>
      <w:r>
        <w:rPr>
          <w:spacing w:val="-28"/>
          <w:sz w:val="24"/>
        </w:rPr>
        <w:t> </w:t>
      </w:r>
      <w:r>
        <w:rPr>
          <w:sz w:val="24"/>
        </w:rPr>
        <w:t>incluir:</w:t>
      </w:r>
    </w:p>
    <w:p>
      <w:pPr>
        <w:pStyle w:val="ListParagraph"/>
        <w:numPr>
          <w:ilvl w:val="0"/>
          <w:numId w:val="9"/>
        </w:numPr>
        <w:tabs>
          <w:tab w:pos="249" w:val="left" w:leader="none"/>
        </w:tabs>
        <w:spacing w:line="240" w:lineRule="auto" w:before="136" w:after="0"/>
        <w:ind w:left="248" w:right="0" w:hanging="148"/>
        <w:jc w:val="left"/>
        <w:rPr>
          <w:sz w:val="24"/>
        </w:rPr>
      </w:pPr>
      <w:r>
        <w:rPr>
          <w:sz w:val="24"/>
        </w:rPr>
        <w:t>Identificación del receptor y del realizador del</w:t>
      </w:r>
      <w:r>
        <w:rPr>
          <w:spacing w:val="-34"/>
          <w:sz w:val="24"/>
        </w:rPr>
        <w:t> </w:t>
      </w:r>
      <w:r>
        <w:rPr>
          <w:sz w:val="24"/>
        </w:rPr>
        <w:t>estudio</w:t>
      </w:r>
    </w:p>
    <w:p>
      <w:pPr>
        <w:pStyle w:val="BodyText"/>
        <w:spacing w:line="357" w:lineRule="auto" w:before="140"/>
        <w:ind w:left="100" w:right="235"/>
      </w:pPr>
      <w:r>
        <w:rPr/>
        <w:t>-Razones para realizar el estudio y el tipo de información que se espera obtener de este</w:t>
      </w:r>
    </w:p>
    <w:p>
      <w:pPr>
        <w:pStyle w:val="ListParagraph"/>
        <w:numPr>
          <w:ilvl w:val="0"/>
          <w:numId w:val="9"/>
        </w:numPr>
        <w:tabs>
          <w:tab w:pos="249" w:val="left" w:leader="none"/>
        </w:tabs>
        <w:spacing w:line="240" w:lineRule="auto" w:before="9" w:after="0"/>
        <w:ind w:left="248" w:right="0" w:hanging="148"/>
        <w:jc w:val="left"/>
        <w:rPr>
          <w:sz w:val="24"/>
        </w:rPr>
      </w:pPr>
      <w:r>
        <w:rPr>
          <w:sz w:val="24"/>
        </w:rPr>
        <w:t>Aplicación prevista del estudio y uso que va a hacerse con los</w:t>
      </w:r>
      <w:r>
        <w:rPr>
          <w:spacing w:val="-39"/>
          <w:sz w:val="24"/>
        </w:rPr>
        <w:t> </w:t>
      </w:r>
      <w:r>
        <w:rPr>
          <w:sz w:val="24"/>
        </w:rPr>
        <w:t>resultados</w:t>
      </w:r>
    </w:p>
    <w:p>
      <w:pPr>
        <w:pStyle w:val="BodyText"/>
        <w:spacing w:line="362" w:lineRule="auto" w:before="136"/>
        <w:ind w:left="100" w:right="235"/>
      </w:pPr>
      <w:r>
        <w:rPr/>
        <w:t>-Destinatario previsto del estudio (es decir, si será un informe interno, si se hará público y a quién)</w:t>
      </w:r>
    </w:p>
    <w:p>
      <w:pPr>
        <w:pStyle w:val="BodyText"/>
        <w:ind w:left="100" w:right="235"/>
      </w:pPr>
      <w:r>
        <w:rPr/>
        <w:t>-Si procede, el uso del ACV en aseveraciones comparativas</w:t>
      </w:r>
    </w:p>
    <w:p>
      <w:pPr>
        <w:pStyle w:val="BodyText"/>
      </w:pPr>
    </w:p>
    <w:p>
      <w:pPr>
        <w:pStyle w:val="BodyText"/>
      </w:pPr>
    </w:p>
    <w:p>
      <w:pPr>
        <w:pStyle w:val="ListParagraph"/>
        <w:numPr>
          <w:ilvl w:val="1"/>
          <w:numId w:val="9"/>
        </w:numPr>
        <w:tabs>
          <w:tab w:pos="965" w:val="left" w:leader="none"/>
        </w:tabs>
        <w:spacing w:line="360" w:lineRule="auto" w:before="0" w:after="0"/>
        <w:ind w:left="965" w:right="124" w:hanging="361"/>
        <w:jc w:val="both"/>
        <w:rPr>
          <w:sz w:val="24"/>
        </w:rPr>
      </w:pPr>
      <w:r>
        <w:rPr>
          <w:sz w:val="24"/>
        </w:rPr>
        <w:t>Definición del alcance del ACV. Esta etapa debe reflejar claramente la extensión del estudio lo cual implica, de acuerdo a la norma ISO 14040, la consideración y descripción de los siguientes</w:t>
      </w:r>
      <w:r>
        <w:rPr>
          <w:spacing w:val="-27"/>
          <w:sz w:val="24"/>
        </w:rPr>
        <w:t> </w:t>
      </w:r>
      <w:r>
        <w:rPr>
          <w:sz w:val="24"/>
        </w:rPr>
        <w:t>puntos:</w:t>
      </w:r>
    </w:p>
    <w:p>
      <w:pPr>
        <w:pStyle w:val="BodyText"/>
      </w:pPr>
    </w:p>
    <w:p>
      <w:pPr>
        <w:pStyle w:val="BodyText"/>
        <w:spacing w:before="142"/>
        <w:ind w:left="100" w:right="235"/>
      </w:pPr>
      <w:r>
        <w:rPr/>
        <w:t>-Sistema del producto a estudiar</w:t>
      </w:r>
    </w:p>
    <w:p>
      <w:pPr>
        <w:pStyle w:val="BodyText"/>
        <w:spacing w:before="140"/>
        <w:ind w:left="100" w:right="235"/>
      </w:pPr>
      <w:r>
        <w:rPr/>
        <w:t>-Funciones del sistema del producto</w:t>
      </w:r>
    </w:p>
    <w:p>
      <w:pPr>
        <w:pStyle w:val="BodyText"/>
        <w:spacing w:before="136"/>
        <w:ind w:left="100" w:right="235"/>
      </w:pPr>
      <w:r>
        <w:rPr/>
        <w:t>-Selección de la unidad funcional</w:t>
      </w:r>
    </w:p>
    <w:p>
      <w:pPr>
        <w:pStyle w:val="BodyText"/>
        <w:spacing w:before="140"/>
        <w:ind w:left="100" w:right="235"/>
      </w:pPr>
      <w:r>
        <w:rPr/>
        <w:t>-Establecimiento de los límites del sistema</w:t>
      </w:r>
    </w:p>
    <w:p>
      <w:pPr>
        <w:pStyle w:val="BodyText"/>
        <w:spacing w:before="136"/>
        <w:ind w:left="100" w:right="235"/>
      </w:pPr>
      <w:r>
        <w:rPr/>
        <w:t>-Establecimiento de las reglas de asignación de cargas ambientales</w:t>
      </w:r>
    </w:p>
    <w:p>
      <w:pPr>
        <w:pStyle w:val="BodyText"/>
        <w:spacing w:before="140"/>
        <w:ind w:left="100" w:right="235"/>
      </w:pPr>
      <w:r>
        <w:rPr/>
        <w:t>-Tipos de impacto a evaluar, la metodología de evaluación y la interpretación</w:t>
      </w:r>
    </w:p>
    <w:p>
      <w:pPr>
        <w:pStyle w:val="BodyText"/>
        <w:spacing w:before="136"/>
        <w:ind w:left="100" w:right="235"/>
      </w:pPr>
      <w:r>
        <w:rPr/>
        <w:t>-Requisitos que deben cumplir los datos del inventario</w:t>
      </w:r>
    </w:p>
    <w:p>
      <w:pPr>
        <w:pStyle w:val="BodyText"/>
        <w:spacing w:before="140"/>
        <w:ind w:left="100" w:right="235"/>
      </w:pPr>
      <w:r>
        <w:rPr/>
        <w:t>-Hipótesis y limitaciones</w:t>
      </w:r>
    </w:p>
    <w:p>
      <w:pPr>
        <w:pStyle w:val="BodyText"/>
        <w:spacing w:before="136"/>
        <w:ind w:left="100" w:right="235"/>
      </w:pPr>
      <w:r>
        <w:rPr/>
        <w:t>-Requisitos de calidad de los datos</w:t>
      </w:r>
    </w:p>
    <w:p>
      <w:pPr>
        <w:pStyle w:val="BodyText"/>
        <w:spacing w:before="140"/>
        <w:ind w:left="100" w:right="235"/>
      </w:pPr>
      <w:r>
        <w:rPr/>
        <w:t>En la siguiente </w:t>
      </w:r>
      <w:hyperlink w:history="true" w:anchor="_bookmark125">
        <w:r>
          <w:rPr/>
          <w:t>Figura 3.4</w:t>
        </w:r>
      </w:hyperlink>
      <w:r>
        <w:rPr/>
        <w:t>. podemos ver de manera resumida dicho proceso:</w:t>
      </w:r>
    </w:p>
    <w:p>
      <w:pPr>
        <w:spacing w:after="0"/>
        <w:sectPr>
          <w:pgSz w:w="12240" w:h="15840"/>
          <w:pgMar w:header="0" w:footer="1031" w:top="1500" w:bottom="1220" w:left="1600" w:right="1580"/>
        </w:sectPr>
      </w:pPr>
    </w:p>
    <w:p>
      <w:pPr>
        <w:pStyle w:val="BodyText"/>
        <w:ind w:left="1559"/>
        <w:rPr>
          <w:sz w:val="20"/>
        </w:rPr>
      </w:pPr>
      <w:r>
        <w:rPr>
          <w:sz w:val="20"/>
        </w:rPr>
        <w:drawing>
          <wp:inline distT="0" distB="0" distL="0" distR="0">
            <wp:extent cx="3784261" cy="2459450"/>
            <wp:effectExtent l="0" t="0" r="0" b="0"/>
            <wp:docPr id="191" name="image100.jpeg" descr=""/>
            <wp:cNvGraphicFramePr>
              <a:graphicFrameLocks noChangeAspect="1"/>
            </wp:cNvGraphicFramePr>
            <a:graphic>
              <a:graphicData uri="http://schemas.openxmlformats.org/drawingml/2006/picture">
                <pic:pic>
                  <pic:nvPicPr>
                    <pic:cNvPr id="192" name="image100.jpeg"/>
                    <pic:cNvPicPr/>
                  </pic:nvPicPr>
                  <pic:blipFill>
                    <a:blip r:embed="rId163" cstate="print"/>
                    <a:stretch>
                      <a:fillRect/>
                    </a:stretch>
                  </pic:blipFill>
                  <pic:spPr>
                    <a:xfrm>
                      <a:off x="0" y="0"/>
                      <a:ext cx="3784261" cy="2459450"/>
                    </a:xfrm>
                    <a:prstGeom prst="rect">
                      <a:avLst/>
                    </a:prstGeom>
                  </pic:spPr>
                </pic:pic>
              </a:graphicData>
            </a:graphic>
          </wp:inline>
        </w:drawing>
      </w:r>
      <w:r>
        <w:rPr>
          <w:sz w:val="20"/>
        </w:rPr>
      </w:r>
    </w:p>
    <w:p>
      <w:pPr>
        <w:spacing w:before="74"/>
        <w:ind w:left="1908" w:right="0" w:firstLine="0"/>
        <w:jc w:val="left"/>
        <w:rPr>
          <w:sz w:val="18"/>
        </w:rPr>
      </w:pPr>
      <w:bookmarkStart w:name="_bookmark125" w:id="193"/>
      <w:bookmarkEnd w:id="193"/>
      <w:r>
        <w:rPr/>
      </w:r>
      <w:r>
        <w:rPr>
          <w:sz w:val="18"/>
        </w:rPr>
        <w:t>Figura 3.4.Objetivos y alcance de estudio. (Fuente: Giménez, 2012).</w:t>
      </w:r>
    </w:p>
    <w:p>
      <w:pPr>
        <w:pStyle w:val="BodyText"/>
        <w:rPr>
          <w:sz w:val="18"/>
        </w:rPr>
      </w:pPr>
    </w:p>
    <w:p>
      <w:pPr>
        <w:pStyle w:val="BodyText"/>
        <w:spacing w:before="2"/>
        <w:rPr>
          <w:sz w:val="18"/>
        </w:rPr>
      </w:pPr>
    </w:p>
    <w:p>
      <w:pPr>
        <w:pStyle w:val="BodyText"/>
        <w:spacing w:line="360" w:lineRule="auto"/>
        <w:ind w:left="100" w:right="100"/>
        <w:jc w:val="both"/>
      </w:pPr>
      <w:r>
        <w:rPr/>
        <w:t>La misma autora reitera que el alcance también debe incluir el tipo de revisión crítica a efectuar, si esta es necesaria de acuerdo con los objetivos del estudio y el tipo y formato del informe final.</w:t>
      </w:r>
    </w:p>
    <w:p>
      <w:pPr>
        <w:pStyle w:val="BodyText"/>
      </w:pPr>
    </w:p>
    <w:p>
      <w:pPr>
        <w:pStyle w:val="BodyText"/>
        <w:spacing w:before="3"/>
        <w:rPr>
          <w:sz w:val="29"/>
        </w:rPr>
      </w:pPr>
    </w:p>
    <w:p>
      <w:pPr>
        <w:pStyle w:val="Heading2"/>
        <w:numPr>
          <w:ilvl w:val="2"/>
          <w:numId w:val="32"/>
        </w:numPr>
        <w:tabs>
          <w:tab w:pos="897" w:val="left" w:leader="none"/>
        </w:tabs>
        <w:spacing w:line="240" w:lineRule="auto" w:before="0" w:after="0"/>
        <w:ind w:left="897" w:right="0" w:hanging="797"/>
        <w:jc w:val="both"/>
      </w:pPr>
      <w:bookmarkStart w:name="3.3.4.  Análisis de inventario de Ciclo " w:id="194"/>
      <w:bookmarkEnd w:id="194"/>
      <w:r>
        <w:rPr/>
      </w:r>
      <w:bookmarkStart w:name="_bookmark126" w:id="195"/>
      <w:bookmarkEnd w:id="195"/>
      <w:r>
        <w:rPr/>
        <w:t>A</w:t>
      </w:r>
      <w:r>
        <w:rPr/>
        <w:t>nálisis de inventario de Ciclo de</w:t>
      </w:r>
      <w:r>
        <w:rPr>
          <w:spacing w:val="-11"/>
        </w:rPr>
        <w:t> </w:t>
      </w:r>
      <w:r>
        <w:rPr/>
        <w:t>Vida</w:t>
      </w:r>
    </w:p>
    <w:p>
      <w:pPr>
        <w:pStyle w:val="BodyText"/>
        <w:rPr>
          <w:sz w:val="28"/>
        </w:rPr>
      </w:pPr>
    </w:p>
    <w:p>
      <w:pPr>
        <w:pStyle w:val="BodyText"/>
        <w:spacing w:before="4"/>
        <w:rPr>
          <w:sz w:val="22"/>
        </w:rPr>
      </w:pPr>
    </w:p>
    <w:p>
      <w:pPr>
        <w:pStyle w:val="BodyText"/>
        <w:spacing w:line="360" w:lineRule="auto"/>
        <w:ind w:left="100" w:right="98"/>
        <w:jc w:val="both"/>
      </w:pPr>
      <w:r>
        <w:rPr/>
        <w:t>Según el ISO 14040:2006 el análisis del inventario implica la recopilación de los datos y los procedimientos de cálculo para cuantificar las entradas y salidas pertinentes de un sistema del producto; la realización de un análisis de inventario es un proceso iterativo. A medida que se recopilan los datos y se aprende </w:t>
      </w:r>
      <w:r>
        <w:rPr>
          <w:spacing w:val="-2"/>
        </w:rPr>
        <w:t>más </w:t>
      </w:r>
      <w:r>
        <w:rPr/>
        <w:t>sobre el sistema, se pueden identificar nuevos requisitos o limitaciones, que requieran cambios en los procedimientos de recopilación de datos, de manera que aún se puedan cumplir los objetivos del estudio. Algunas veces, se pueden identificar algunos asuntos que requieren una revisión del objetivo o del alcance del</w:t>
      </w:r>
      <w:r>
        <w:rPr>
          <w:spacing w:val="-12"/>
        </w:rPr>
        <w:t> </w:t>
      </w:r>
      <w:r>
        <w:rPr/>
        <w:t>estudio.</w:t>
      </w:r>
    </w:p>
    <w:p>
      <w:pPr>
        <w:pStyle w:val="BodyText"/>
      </w:pPr>
    </w:p>
    <w:p>
      <w:pPr>
        <w:pStyle w:val="BodyText"/>
        <w:spacing w:before="142"/>
        <w:ind w:left="100"/>
        <w:jc w:val="both"/>
      </w:pPr>
      <w:r>
        <w:rPr/>
        <w:t>Para esta norma serían tres las etapas:</w:t>
      </w:r>
    </w:p>
    <w:p>
      <w:pPr>
        <w:pStyle w:val="Heading3"/>
        <w:numPr>
          <w:ilvl w:val="0"/>
          <w:numId w:val="42"/>
        </w:numPr>
        <w:tabs>
          <w:tab w:pos="820" w:val="left" w:leader="none"/>
          <w:tab w:pos="821" w:val="left" w:leader="none"/>
        </w:tabs>
        <w:spacing w:line="240" w:lineRule="auto" w:before="132" w:after="0"/>
        <w:ind w:left="821" w:right="0" w:hanging="361"/>
        <w:jc w:val="left"/>
      </w:pPr>
      <w:r>
        <w:rPr/>
        <w:t>Recopilación de</w:t>
      </w:r>
      <w:r>
        <w:rPr>
          <w:spacing w:val="-7"/>
        </w:rPr>
        <w:t> </w:t>
      </w:r>
      <w:r>
        <w:rPr/>
        <w:t>datos</w:t>
      </w:r>
    </w:p>
    <w:p>
      <w:pPr>
        <w:pStyle w:val="BodyText"/>
        <w:spacing w:line="357" w:lineRule="auto" w:before="142"/>
        <w:ind w:left="100" w:right="105"/>
        <w:jc w:val="both"/>
      </w:pPr>
      <w:r>
        <w:rPr/>
        <w:t>Los datos para cada proceso unitario dentro de los límites del sistema pueden clasificarse bajo grandes títulos que incluyen:</w:t>
      </w:r>
    </w:p>
    <w:p>
      <w:pPr>
        <w:spacing w:after="0" w:line="357" w:lineRule="auto"/>
        <w:jc w:val="both"/>
        <w:sectPr>
          <w:pgSz w:w="12240" w:h="15840"/>
          <w:pgMar w:header="0" w:footer="1031" w:top="1420" w:bottom="1220" w:left="1600" w:right="1600"/>
        </w:sectPr>
      </w:pPr>
    </w:p>
    <w:p>
      <w:pPr>
        <w:pStyle w:val="BodyText"/>
        <w:spacing w:before="7"/>
        <w:rPr>
          <w:sz w:val="28"/>
        </w:rPr>
      </w:pPr>
    </w:p>
    <w:p>
      <w:pPr>
        <w:pStyle w:val="ListParagraph"/>
        <w:numPr>
          <w:ilvl w:val="0"/>
          <w:numId w:val="9"/>
        </w:numPr>
        <w:tabs>
          <w:tab w:pos="289" w:val="left" w:leader="none"/>
        </w:tabs>
        <w:spacing w:line="362" w:lineRule="auto" w:before="70" w:after="0"/>
        <w:ind w:left="100" w:right="107" w:firstLine="0"/>
        <w:jc w:val="both"/>
        <w:rPr>
          <w:sz w:val="24"/>
        </w:rPr>
      </w:pPr>
      <w:r>
        <w:rPr>
          <w:sz w:val="24"/>
        </w:rPr>
        <w:t>las entradas de energía, de materia prima, entradas auxiliares, otras entradas físicas,</w:t>
      </w:r>
    </w:p>
    <w:p>
      <w:pPr>
        <w:pStyle w:val="ListParagraph"/>
        <w:numPr>
          <w:ilvl w:val="0"/>
          <w:numId w:val="9"/>
        </w:numPr>
        <w:tabs>
          <w:tab w:pos="249" w:val="left" w:leader="none"/>
        </w:tabs>
        <w:spacing w:line="275" w:lineRule="exact" w:before="0" w:after="0"/>
        <w:ind w:left="248" w:right="0" w:hanging="148"/>
        <w:jc w:val="both"/>
        <w:rPr>
          <w:sz w:val="24"/>
        </w:rPr>
      </w:pPr>
      <w:r>
        <w:rPr>
          <w:sz w:val="24"/>
        </w:rPr>
        <w:t>los productos, co-productos y</w:t>
      </w:r>
      <w:r>
        <w:rPr>
          <w:spacing w:val="-20"/>
          <w:sz w:val="24"/>
        </w:rPr>
        <w:t> </w:t>
      </w:r>
      <w:r>
        <w:rPr>
          <w:sz w:val="24"/>
        </w:rPr>
        <w:t>residuos,</w:t>
      </w:r>
    </w:p>
    <w:p>
      <w:pPr>
        <w:pStyle w:val="ListParagraph"/>
        <w:numPr>
          <w:ilvl w:val="0"/>
          <w:numId w:val="9"/>
        </w:numPr>
        <w:tabs>
          <w:tab w:pos="249" w:val="left" w:leader="none"/>
        </w:tabs>
        <w:spacing w:line="240" w:lineRule="auto" w:before="140" w:after="0"/>
        <w:ind w:left="248" w:right="0" w:hanging="148"/>
        <w:jc w:val="both"/>
        <w:rPr>
          <w:sz w:val="24"/>
        </w:rPr>
      </w:pPr>
      <w:r>
        <w:rPr>
          <w:sz w:val="24"/>
        </w:rPr>
        <w:t>las emisiones al aire, los vertidos al agua y suelo,</w:t>
      </w:r>
      <w:r>
        <w:rPr>
          <w:spacing w:val="-25"/>
          <w:sz w:val="24"/>
        </w:rPr>
        <w:t> </w:t>
      </w:r>
      <w:r>
        <w:rPr>
          <w:sz w:val="24"/>
        </w:rPr>
        <w:t>y</w:t>
      </w:r>
    </w:p>
    <w:p>
      <w:pPr>
        <w:pStyle w:val="ListParagraph"/>
        <w:numPr>
          <w:ilvl w:val="0"/>
          <w:numId w:val="9"/>
        </w:numPr>
        <w:tabs>
          <w:tab w:pos="249" w:val="left" w:leader="none"/>
        </w:tabs>
        <w:spacing w:line="240" w:lineRule="auto" w:before="136" w:after="0"/>
        <w:ind w:left="248" w:right="0" w:hanging="148"/>
        <w:jc w:val="both"/>
        <w:rPr>
          <w:sz w:val="24"/>
        </w:rPr>
      </w:pPr>
      <w:r>
        <w:rPr>
          <w:sz w:val="24"/>
        </w:rPr>
        <w:t>otros aspectos</w:t>
      </w:r>
      <w:r>
        <w:rPr>
          <w:spacing w:val="-17"/>
          <w:sz w:val="24"/>
        </w:rPr>
        <w:t> </w:t>
      </w:r>
      <w:r>
        <w:rPr>
          <w:sz w:val="24"/>
        </w:rPr>
        <w:t>ambientales.</w:t>
      </w:r>
    </w:p>
    <w:p>
      <w:pPr>
        <w:pStyle w:val="BodyText"/>
      </w:pPr>
    </w:p>
    <w:p>
      <w:pPr>
        <w:pStyle w:val="BodyText"/>
      </w:pPr>
    </w:p>
    <w:p>
      <w:pPr>
        <w:pStyle w:val="BodyText"/>
        <w:spacing w:line="360" w:lineRule="auto"/>
        <w:ind w:left="100" w:right="106"/>
        <w:jc w:val="both"/>
      </w:pPr>
      <w:r>
        <w:rPr/>
        <w:t>La recopilación de datos puede ser un proceso intensivo en materia de recursos. Las limitaciones prácticas en la recopilación de datos deberían tenerse en cuenta en el alcance y documentarse en el informe del estudio.</w:t>
      </w:r>
    </w:p>
    <w:p>
      <w:pPr>
        <w:pStyle w:val="BodyText"/>
        <w:spacing w:before="11"/>
        <w:rPr>
          <w:sz w:val="35"/>
        </w:rPr>
      </w:pPr>
    </w:p>
    <w:p>
      <w:pPr>
        <w:pStyle w:val="Heading3"/>
        <w:numPr>
          <w:ilvl w:val="0"/>
          <w:numId w:val="43"/>
        </w:numPr>
        <w:tabs>
          <w:tab w:pos="820" w:val="left" w:leader="none"/>
          <w:tab w:pos="821" w:val="left" w:leader="none"/>
        </w:tabs>
        <w:spacing w:line="240" w:lineRule="auto" w:before="0" w:after="0"/>
        <w:ind w:left="821" w:right="0" w:hanging="361"/>
        <w:jc w:val="left"/>
      </w:pPr>
      <w:r>
        <w:rPr/>
        <w:t>Cálculo de</w:t>
      </w:r>
      <w:r>
        <w:rPr>
          <w:spacing w:val="-2"/>
        </w:rPr>
        <w:t> </w:t>
      </w:r>
      <w:r>
        <w:rPr/>
        <w:t>datos</w:t>
      </w:r>
    </w:p>
    <w:p>
      <w:pPr>
        <w:pStyle w:val="BodyText"/>
        <w:spacing w:before="142"/>
        <w:ind w:left="100"/>
        <w:jc w:val="both"/>
      </w:pPr>
      <w:r>
        <w:rPr/>
        <w:t>Después de la recopilación de datos, los procedimientos de cálculo, que incluyen:</w:t>
      </w:r>
    </w:p>
    <w:p>
      <w:pPr>
        <w:pStyle w:val="ListParagraph"/>
        <w:numPr>
          <w:ilvl w:val="0"/>
          <w:numId w:val="9"/>
        </w:numPr>
        <w:tabs>
          <w:tab w:pos="249" w:val="left" w:leader="none"/>
        </w:tabs>
        <w:spacing w:line="240" w:lineRule="auto" w:before="136" w:after="0"/>
        <w:ind w:left="248" w:right="0" w:hanging="148"/>
        <w:jc w:val="both"/>
        <w:rPr>
          <w:sz w:val="24"/>
        </w:rPr>
      </w:pPr>
      <w:r>
        <w:rPr>
          <w:sz w:val="24"/>
        </w:rPr>
        <w:t>la validación de los datos</w:t>
      </w:r>
      <w:r>
        <w:rPr>
          <w:spacing w:val="-19"/>
          <w:sz w:val="24"/>
        </w:rPr>
        <w:t> </w:t>
      </w:r>
      <w:r>
        <w:rPr>
          <w:sz w:val="24"/>
        </w:rPr>
        <w:t>recopilados,</w:t>
      </w:r>
    </w:p>
    <w:p>
      <w:pPr>
        <w:pStyle w:val="ListParagraph"/>
        <w:numPr>
          <w:ilvl w:val="0"/>
          <w:numId w:val="9"/>
        </w:numPr>
        <w:tabs>
          <w:tab w:pos="249" w:val="left" w:leader="none"/>
        </w:tabs>
        <w:spacing w:line="240" w:lineRule="auto" w:before="140" w:after="0"/>
        <w:ind w:left="248" w:right="0" w:hanging="148"/>
        <w:jc w:val="both"/>
        <w:rPr>
          <w:sz w:val="24"/>
        </w:rPr>
      </w:pPr>
      <w:r>
        <w:rPr>
          <w:sz w:val="24"/>
        </w:rPr>
        <w:t>la relación de los datos con los procesos unitarios,</w:t>
      </w:r>
      <w:r>
        <w:rPr>
          <w:spacing w:val="-22"/>
          <w:sz w:val="24"/>
        </w:rPr>
        <w:t> </w:t>
      </w:r>
      <w:r>
        <w:rPr>
          <w:sz w:val="24"/>
        </w:rPr>
        <w:t>y</w:t>
      </w:r>
    </w:p>
    <w:p>
      <w:pPr>
        <w:pStyle w:val="ListParagraph"/>
        <w:numPr>
          <w:ilvl w:val="0"/>
          <w:numId w:val="9"/>
        </w:numPr>
        <w:tabs>
          <w:tab w:pos="249" w:val="left" w:leader="none"/>
        </w:tabs>
        <w:spacing w:line="240" w:lineRule="auto" w:before="136" w:after="0"/>
        <w:ind w:left="248" w:right="0" w:hanging="148"/>
        <w:jc w:val="both"/>
        <w:rPr>
          <w:sz w:val="24"/>
        </w:rPr>
      </w:pPr>
      <w:r>
        <w:rPr>
          <w:sz w:val="24"/>
        </w:rPr>
        <w:t>la relación de los datos con el flujo de referencia de la unidad</w:t>
      </w:r>
      <w:r>
        <w:rPr>
          <w:spacing w:val="-43"/>
          <w:sz w:val="24"/>
        </w:rPr>
        <w:t> </w:t>
      </w:r>
      <w:r>
        <w:rPr>
          <w:sz w:val="24"/>
        </w:rPr>
        <w:t>funcional</w:t>
      </w:r>
    </w:p>
    <w:p>
      <w:pPr>
        <w:pStyle w:val="BodyText"/>
      </w:pPr>
    </w:p>
    <w:p>
      <w:pPr>
        <w:pStyle w:val="BodyText"/>
      </w:pPr>
    </w:p>
    <w:p>
      <w:pPr>
        <w:pStyle w:val="BodyText"/>
        <w:spacing w:line="360" w:lineRule="auto"/>
        <w:ind w:left="100" w:right="109"/>
        <w:jc w:val="both"/>
      </w:pPr>
      <w:r>
        <w:rPr/>
        <w:t>Son necesarios para generar los resultados del inventario del sistema definido  para cada proceso unitario y para la unidad funcional definida del sistema del producto que se va a</w:t>
      </w:r>
      <w:r>
        <w:rPr>
          <w:spacing w:val="-14"/>
        </w:rPr>
        <w:t> </w:t>
      </w:r>
      <w:r>
        <w:rPr/>
        <w:t>modelar.</w:t>
      </w:r>
    </w:p>
    <w:p>
      <w:pPr>
        <w:pStyle w:val="BodyText"/>
      </w:pPr>
    </w:p>
    <w:p>
      <w:pPr>
        <w:pStyle w:val="BodyText"/>
        <w:spacing w:line="360" w:lineRule="auto" w:before="141"/>
        <w:ind w:left="100" w:right="100"/>
        <w:jc w:val="both"/>
      </w:pPr>
      <w:r>
        <w:rPr/>
        <w:t>El cálculo de los flujos de energía debería tener en cuenta las diferentes fuentes de combustibles y electricidad utilizada, la eficiencia de la conversión y la distribución del flujo de energía, así como las entradas y salidas asociadas a la generación y utilización de ese flujo de</w:t>
      </w:r>
      <w:r>
        <w:rPr>
          <w:spacing w:val="-30"/>
        </w:rPr>
        <w:t> </w:t>
      </w:r>
      <w:r>
        <w:rPr/>
        <w:t>energía.</w:t>
      </w:r>
    </w:p>
    <w:p>
      <w:pPr>
        <w:pStyle w:val="BodyText"/>
        <w:spacing w:before="11"/>
        <w:rPr>
          <w:sz w:val="35"/>
        </w:rPr>
      </w:pPr>
    </w:p>
    <w:p>
      <w:pPr>
        <w:pStyle w:val="Heading3"/>
        <w:numPr>
          <w:ilvl w:val="0"/>
          <w:numId w:val="44"/>
        </w:numPr>
        <w:tabs>
          <w:tab w:pos="820" w:val="left" w:leader="none"/>
          <w:tab w:pos="821" w:val="left" w:leader="none"/>
        </w:tabs>
        <w:spacing w:line="240" w:lineRule="auto" w:before="0" w:after="0"/>
        <w:ind w:left="821" w:right="0" w:hanging="361"/>
        <w:jc w:val="left"/>
      </w:pPr>
      <w:r>
        <w:rPr/>
        <w:t>Asignación de flujos y de emisiones y</w:t>
      </w:r>
      <w:r>
        <w:rPr>
          <w:spacing w:val="-16"/>
        </w:rPr>
        <w:t> </w:t>
      </w:r>
      <w:r>
        <w:rPr/>
        <w:t>vertidos</w:t>
      </w:r>
    </w:p>
    <w:p>
      <w:pPr>
        <w:pStyle w:val="BodyText"/>
        <w:spacing w:line="360" w:lineRule="auto" w:before="138"/>
        <w:ind w:left="100" w:right="98"/>
        <w:jc w:val="both"/>
      </w:pPr>
      <w:r>
        <w:rPr/>
        <w:t>Pocos procesos industriales producen una salida única o están basados en una relación lineal entre las entradas y las salidas de materias primas. De hecho, la mayoría de los procesos industriales producen más de un producto, y reciclan los productos  intermedios  o  los  residuos  de  productos;  Debería  considerarse    la</w:t>
      </w:r>
    </w:p>
    <w:p>
      <w:pPr>
        <w:spacing w:after="0" w:line="360" w:lineRule="auto"/>
        <w:jc w:val="both"/>
        <w:sectPr>
          <w:pgSz w:w="12240" w:h="15840"/>
          <w:pgMar w:header="0" w:footer="1031" w:top="1500" w:bottom="1220" w:left="1600" w:right="1600"/>
        </w:sectPr>
      </w:pPr>
    </w:p>
    <w:p>
      <w:pPr>
        <w:pStyle w:val="BodyText"/>
        <w:spacing w:before="4"/>
        <w:rPr>
          <w:sz w:val="12"/>
        </w:rPr>
      </w:pPr>
    </w:p>
    <w:p>
      <w:pPr>
        <w:pStyle w:val="BodyText"/>
        <w:spacing w:line="357" w:lineRule="auto" w:before="69"/>
        <w:ind w:left="100" w:right="104"/>
        <w:jc w:val="both"/>
      </w:pPr>
      <w:r>
        <w:rPr/>
        <w:t>necesidad de procedimientos de asignación para los sistemas que incluyen productos múltiples y para los sistemas de reciclado.</w:t>
      </w:r>
    </w:p>
    <w:p>
      <w:pPr>
        <w:pStyle w:val="BodyText"/>
      </w:pPr>
    </w:p>
    <w:p>
      <w:pPr>
        <w:pStyle w:val="BodyText"/>
        <w:spacing w:line="360" w:lineRule="auto" w:before="145"/>
        <w:ind w:left="100" w:right="98"/>
        <w:jc w:val="both"/>
      </w:pPr>
      <w:r>
        <w:rPr/>
        <w:t>La mencionada autora Romero (1987) menciona de esta fase que consiste en la cuantificación de las entradas y salidas del sistema en estudio, en la que se  incluye el uso de recursos (materias primas y energía), las emisiones a la atmósfera, suelo y aguas y la generación de residuos. Agrega que los datos obtenidos en esta fase son el punto de partida para la Evaluación de Impacto de Ciclo de</w:t>
      </w:r>
      <w:r>
        <w:rPr>
          <w:spacing w:val="-9"/>
        </w:rPr>
        <w:t> </w:t>
      </w:r>
      <w:r>
        <w:rPr/>
        <w:t>Vida.</w:t>
      </w:r>
    </w:p>
    <w:p>
      <w:pPr>
        <w:pStyle w:val="BodyText"/>
      </w:pPr>
    </w:p>
    <w:p>
      <w:pPr>
        <w:pStyle w:val="BodyText"/>
        <w:spacing w:line="357" w:lineRule="auto" w:before="142"/>
        <w:ind w:left="100"/>
      </w:pPr>
      <w:r>
        <w:rPr/>
        <w:t>Las etapas a cuantificar son las seis que componen el Ciclo de Vida del producto/ Proceso para Romero (1987):</w:t>
      </w:r>
    </w:p>
    <w:p>
      <w:pPr>
        <w:pStyle w:val="BodyText"/>
      </w:pPr>
    </w:p>
    <w:p>
      <w:pPr>
        <w:pStyle w:val="ListParagraph"/>
        <w:numPr>
          <w:ilvl w:val="1"/>
          <w:numId w:val="44"/>
        </w:numPr>
        <w:tabs>
          <w:tab w:pos="965" w:val="left" w:leader="none"/>
        </w:tabs>
        <w:spacing w:line="360" w:lineRule="auto" w:before="145" w:after="0"/>
        <w:ind w:left="965" w:right="99" w:hanging="361"/>
        <w:jc w:val="both"/>
        <w:rPr>
          <w:sz w:val="24"/>
        </w:rPr>
      </w:pPr>
      <w:r>
        <w:rPr>
          <w:sz w:val="24"/>
        </w:rPr>
        <w:t>Adquisición de materias primas: esta etapa comprende desde las actividades necesarias para la adquisición de materias primas o de  energía hasta la primera fase de manufactura o procesamiento del material.</w:t>
      </w:r>
    </w:p>
    <w:p>
      <w:pPr>
        <w:pStyle w:val="ListParagraph"/>
        <w:numPr>
          <w:ilvl w:val="1"/>
          <w:numId w:val="44"/>
        </w:numPr>
        <w:tabs>
          <w:tab w:pos="965" w:val="left" w:leader="none"/>
        </w:tabs>
        <w:spacing w:line="360" w:lineRule="auto" w:before="6" w:after="0"/>
        <w:ind w:left="965" w:right="101" w:hanging="361"/>
        <w:jc w:val="both"/>
        <w:rPr>
          <w:sz w:val="24"/>
        </w:rPr>
      </w:pPr>
      <w:r>
        <w:rPr>
          <w:sz w:val="24"/>
        </w:rPr>
        <w:t>Manufactura, procesado y formulación: esta etapa comprende las etapas que tienen lugar desde la introducción de las materias primas en el proceso hasta que se obtiene el producto</w:t>
      </w:r>
      <w:r>
        <w:rPr>
          <w:spacing w:val="-24"/>
          <w:sz w:val="24"/>
        </w:rPr>
        <w:t> </w:t>
      </w:r>
      <w:r>
        <w:rPr>
          <w:sz w:val="24"/>
        </w:rPr>
        <w:t>final.</w:t>
      </w:r>
    </w:p>
    <w:p>
      <w:pPr>
        <w:pStyle w:val="ListParagraph"/>
        <w:numPr>
          <w:ilvl w:val="1"/>
          <w:numId w:val="44"/>
        </w:numPr>
        <w:tabs>
          <w:tab w:pos="965" w:val="left" w:leader="none"/>
        </w:tabs>
        <w:spacing w:line="360" w:lineRule="auto" w:before="2" w:after="0"/>
        <w:ind w:left="965" w:right="101" w:hanging="361"/>
        <w:jc w:val="both"/>
        <w:rPr>
          <w:sz w:val="24"/>
        </w:rPr>
      </w:pPr>
      <w:r>
        <w:rPr>
          <w:sz w:val="24"/>
        </w:rPr>
        <w:t>Distribución y Transporte: el transporte comprende el movimiento de materiales o de energía entre las diferentes operaciones en cualquier etapa del ciclo de vida, incluida la extracción de recursos. La distribución comprende el paso de los productos manufacturados desde su salida de fábrica hasta el usuario</w:t>
      </w:r>
      <w:r>
        <w:rPr>
          <w:spacing w:val="-18"/>
          <w:sz w:val="24"/>
        </w:rPr>
        <w:t> </w:t>
      </w:r>
      <w:r>
        <w:rPr>
          <w:sz w:val="24"/>
        </w:rPr>
        <w:t>final.</w:t>
      </w:r>
    </w:p>
    <w:p>
      <w:pPr>
        <w:pStyle w:val="ListParagraph"/>
        <w:numPr>
          <w:ilvl w:val="1"/>
          <w:numId w:val="44"/>
        </w:numPr>
        <w:tabs>
          <w:tab w:pos="965" w:val="left" w:leader="none"/>
        </w:tabs>
        <w:spacing w:line="360" w:lineRule="auto" w:before="6" w:after="0"/>
        <w:ind w:left="965" w:right="102" w:hanging="361"/>
        <w:jc w:val="both"/>
        <w:rPr>
          <w:sz w:val="24"/>
        </w:rPr>
      </w:pPr>
      <w:r>
        <w:rPr>
          <w:sz w:val="24"/>
        </w:rPr>
        <w:t>Uso/Reutilización/Mantenimiento: los límites de esta etapa comienzan con la distribución de los productos o materiales y termina cuando estos productos o materiales pasan a ser</w:t>
      </w:r>
      <w:r>
        <w:rPr>
          <w:spacing w:val="-25"/>
          <w:sz w:val="24"/>
        </w:rPr>
        <w:t> </w:t>
      </w:r>
      <w:r>
        <w:rPr>
          <w:sz w:val="24"/>
        </w:rPr>
        <w:t>residuos.</w:t>
      </w:r>
    </w:p>
    <w:p>
      <w:pPr>
        <w:pStyle w:val="ListParagraph"/>
        <w:numPr>
          <w:ilvl w:val="1"/>
          <w:numId w:val="44"/>
        </w:numPr>
        <w:tabs>
          <w:tab w:pos="965" w:val="left" w:leader="none"/>
        </w:tabs>
        <w:spacing w:line="362" w:lineRule="auto" w:before="2" w:after="0"/>
        <w:ind w:left="965" w:right="106" w:hanging="361"/>
        <w:jc w:val="both"/>
        <w:rPr>
          <w:sz w:val="24"/>
        </w:rPr>
      </w:pPr>
      <w:r>
        <w:rPr>
          <w:sz w:val="24"/>
        </w:rPr>
        <w:t>Reciclado: comprende todas las actividades necesarias para recoger el residuo y devolverlo a un proceso de</w:t>
      </w:r>
      <w:r>
        <w:rPr>
          <w:spacing w:val="-30"/>
          <w:sz w:val="24"/>
        </w:rPr>
        <w:t> </w:t>
      </w:r>
      <w:r>
        <w:rPr>
          <w:sz w:val="24"/>
        </w:rPr>
        <w:t>fabricación.</w:t>
      </w:r>
    </w:p>
    <w:p>
      <w:pPr>
        <w:spacing w:after="0" w:line="362" w:lineRule="auto"/>
        <w:jc w:val="both"/>
        <w:rPr>
          <w:sz w:val="24"/>
        </w:rPr>
        <w:sectPr>
          <w:pgSz w:w="12240" w:h="15840"/>
          <w:pgMar w:header="0" w:footer="1031" w:top="1500" w:bottom="1220" w:left="1600" w:right="1600"/>
        </w:sectPr>
      </w:pPr>
    </w:p>
    <w:p>
      <w:pPr>
        <w:pStyle w:val="ListParagraph"/>
        <w:numPr>
          <w:ilvl w:val="1"/>
          <w:numId w:val="44"/>
        </w:numPr>
        <w:tabs>
          <w:tab w:pos="965" w:val="left" w:leader="none"/>
        </w:tabs>
        <w:spacing w:line="362" w:lineRule="auto" w:before="55" w:after="0"/>
        <w:ind w:left="965" w:right="99" w:hanging="361"/>
        <w:jc w:val="left"/>
        <w:rPr>
          <w:sz w:val="24"/>
        </w:rPr>
      </w:pPr>
      <w:r>
        <w:rPr>
          <w:sz w:val="24"/>
        </w:rPr>
        <w:t>Gestión de Residuos: incluye todos los mecanismos de tratamiento de los residuos (estudio de las posibles alternativas de</w:t>
      </w:r>
      <w:r>
        <w:rPr>
          <w:spacing w:val="-32"/>
          <w:sz w:val="24"/>
        </w:rPr>
        <w:t> </w:t>
      </w:r>
      <w:r>
        <w:rPr>
          <w:sz w:val="24"/>
        </w:rPr>
        <w:t>gestión).</w:t>
      </w:r>
    </w:p>
    <w:p>
      <w:pPr>
        <w:pStyle w:val="BodyText"/>
      </w:pPr>
    </w:p>
    <w:p>
      <w:pPr>
        <w:pStyle w:val="BodyText"/>
        <w:spacing w:line="360" w:lineRule="auto" w:before="139"/>
        <w:ind w:left="100" w:right="98"/>
        <w:jc w:val="both"/>
      </w:pPr>
      <w:r>
        <w:rPr/>
        <w:t>La autora recomienda utilizar datos directamente obtenidos del proceso en estudio, a través</w:t>
      </w:r>
      <w:r>
        <w:rPr>
          <w:spacing w:val="-15"/>
        </w:rPr>
        <w:t> </w:t>
      </w:r>
      <w:r>
        <w:rPr/>
        <w:t>de:</w:t>
      </w:r>
    </w:p>
    <w:p>
      <w:pPr>
        <w:pStyle w:val="BodyText"/>
      </w:pPr>
    </w:p>
    <w:p>
      <w:pPr>
        <w:pStyle w:val="ListParagraph"/>
        <w:numPr>
          <w:ilvl w:val="1"/>
          <w:numId w:val="44"/>
        </w:numPr>
        <w:tabs>
          <w:tab w:pos="965" w:val="left" w:leader="none"/>
        </w:tabs>
        <w:spacing w:line="240" w:lineRule="auto" w:before="142" w:after="0"/>
        <w:ind w:left="965" w:right="0" w:hanging="361"/>
        <w:jc w:val="left"/>
        <w:rPr>
          <w:sz w:val="24"/>
        </w:rPr>
      </w:pPr>
      <w:r>
        <w:rPr>
          <w:sz w:val="24"/>
        </w:rPr>
        <w:t>Medidas “in</w:t>
      </w:r>
      <w:r>
        <w:rPr>
          <w:spacing w:val="-13"/>
          <w:sz w:val="24"/>
        </w:rPr>
        <w:t> </w:t>
      </w:r>
      <w:r>
        <w:rPr>
          <w:sz w:val="24"/>
        </w:rPr>
        <w:t>situ”</w:t>
      </w:r>
    </w:p>
    <w:p>
      <w:pPr>
        <w:pStyle w:val="ListParagraph"/>
        <w:numPr>
          <w:ilvl w:val="1"/>
          <w:numId w:val="44"/>
        </w:numPr>
        <w:tabs>
          <w:tab w:pos="965" w:val="left" w:leader="none"/>
        </w:tabs>
        <w:spacing w:line="240" w:lineRule="auto" w:before="140" w:after="0"/>
        <w:ind w:left="965" w:right="0" w:hanging="361"/>
        <w:jc w:val="left"/>
        <w:rPr>
          <w:sz w:val="24"/>
        </w:rPr>
      </w:pPr>
      <w:r>
        <w:rPr>
          <w:sz w:val="24"/>
        </w:rPr>
        <w:t>Balances de materia y</w:t>
      </w:r>
      <w:r>
        <w:rPr>
          <w:spacing w:val="-19"/>
          <w:sz w:val="24"/>
        </w:rPr>
        <w:t> </w:t>
      </w:r>
      <w:r>
        <w:rPr>
          <w:sz w:val="24"/>
        </w:rPr>
        <w:t>energía</w:t>
      </w:r>
    </w:p>
    <w:p>
      <w:pPr>
        <w:pStyle w:val="ListParagraph"/>
        <w:numPr>
          <w:ilvl w:val="1"/>
          <w:numId w:val="44"/>
        </w:numPr>
        <w:tabs>
          <w:tab w:pos="965" w:val="left" w:leader="none"/>
        </w:tabs>
        <w:spacing w:line="240" w:lineRule="auto" w:before="136" w:after="0"/>
        <w:ind w:left="965" w:right="0" w:hanging="361"/>
        <w:jc w:val="left"/>
        <w:rPr>
          <w:sz w:val="24"/>
        </w:rPr>
      </w:pPr>
      <w:r>
        <w:rPr>
          <w:sz w:val="24"/>
        </w:rPr>
        <w:t>Entrevistas, fuentes bibliográficas,</w:t>
      </w:r>
      <w:r>
        <w:rPr>
          <w:spacing w:val="-16"/>
          <w:sz w:val="24"/>
        </w:rPr>
        <w:t> </w:t>
      </w:r>
      <w:r>
        <w:rPr>
          <w:sz w:val="24"/>
        </w:rPr>
        <w:t>...</w:t>
      </w:r>
    </w:p>
    <w:p>
      <w:pPr>
        <w:pStyle w:val="BodyText"/>
      </w:pPr>
    </w:p>
    <w:p>
      <w:pPr>
        <w:pStyle w:val="BodyText"/>
      </w:pPr>
    </w:p>
    <w:p>
      <w:pPr>
        <w:pStyle w:val="BodyText"/>
        <w:spacing w:line="360" w:lineRule="auto"/>
        <w:ind w:left="100" w:right="101"/>
        <w:jc w:val="both"/>
      </w:pPr>
      <w:r>
        <w:rPr/>
        <w:t>Del mismo modo piensa que del inventario a fin de dar una visión global del producto/proceso al que corresponde, además de los datos cuantificados debe constar de:</w:t>
      </w:r>
    </w:p>
    <w:p>
      <w:pPr>
        <w:pStyle w:val="BodyText"/>
      </w:pPr>
    </w:p>
    <w:p>
      <w:pPr>
        <w:pStyle w:val="ListParagraph"/>
        <w:numPr>
          <w:ilvl w:val="1"/>
          <w:numId w:val="9"/>
        </w:numPr>
        <w:tabs>
          <w:tab w:pos="821" w:val="left" w:leader="none"/>
        </w:tabs>
        <w:spacing w:line="362" w:lineRule="auto" w:before="142" w:after="0"/>
        <w:ind w:left="821" w:right="106" w:hanging="361"/>
        <w:jc w:val="both"/>
        <w:rPr>
          <w:sz w:val="24"/>
        </w:rPr>
      </w:pPr>
      <w:r>
        <w:rPr>
          <w:sz w:val="24"/>
        </w:rPr>
        <w:t>Diagramas de flujo que dejen claro el sistema en estudio, así como las relaciones que tienen lugar dentro del</w:t>
      </w:r>
      <w:r>
        <w:rPr>
          <w:spacing w:val="-23"/>
          <w:sz w:val="24"/>
        </w:rPr>
        <w:t> </w:t>
      </w:r>
      <w:r>
        <w:rPr>
          <w:sz w:val="24"/>
        </w:rPr>
        <w:t>mismo.</w:t>
      </w:r>
    </w:p>
    <w:p>
      <w:pPr>
        <w:pStyle w:val="ListParagraph"/>
        <w:numPr>
          <w:ilvl w:val="1"/>
          <w:numId w:val="9"/>
        </w:numPr>
        <w:tabs>
          <w:tab w:pos="821" w:val="left" w:leader="none"/>
        </w:tabs>
        <w:spacing w:line="362" w:lineRule="auto" w:before="0" w:after="0"/>
        <w:ind w:left="821" w:right="105" w:hanging="361"/>
        <w:jc w:val="both"/>
        <w:rPr>
          <w:sz w:val="24"/>
        </w:rPr>
      </w:pPr>
      <w:r>
        <w:rPr>
          <w:sz w:val="24"/>
        </w:rPr>
        <w:t>Descripción detallada de cada unidad de proceso, listando la categoría de los datos asociados con cada una de</w:t>
      </w:r>
      <w:r>
        <w:rPr>
          <w:spacing w:val="-25"/>
          <w:sz w:val="24"/>
        </w:rPr>
        <w:t> </w:t>
      </w:r>
      <w:r>
        <w:rPr>
          <w:sz w:val="24"/>
        </w:rPr>
        <w:t>ellas.</w:t>
      </w:r>
    </w:p>
    <w:p>
      <w:pPr>
        <w:pStyle w:val="ListParagraph"/>
        <w:numPr>
          <w:ilvl w:val="1"/>
          <w:numId w:val="9"/>
        </w:numPr>
        <w:tabs>
          <w:tab w:pos="821" w:val="left" w:leader="none"/>
        </w:tabs>
        <w:spacing w:line="362" w:lineRule="auto" w:before="0" w:after="0"/>
        <w:ind w:left="821" w:right="107" w:hanging="361"/>
        <w:jc w:val="both"/>
        <w:rPr>
          <w:sz w:val="24"/>
        </w:rPr>
      </w:pPr>
      <w:r>
        <w:rPr>
          <w:sz w:val="24"/>
        </w:rPr>
        <w:t>Desarrollo de una lista donde se especifiquen las unidades de medida de cada</w:t>
      </w:r>
      <w:r>
        <w:rPr>
          <w:spacing w:val="-12"/>
          <w:sz w:val="24"/>
        </w:rPr>
        <w:t> </w:t>
      </w:r>
      <w:r>
        <w:rPr>
          <w:sz w:val="24"/>
        </w:rPr>
        <w:t>parámetro.</w:t>
      </w:r>
    </w:p>
    <w:p>
      <w:pPr>
        <w:pStyle w:val="ListParagraph"/>
        <w:numPr>
          <w:ilvl w:val="1"/>
          <w:numId w:val="9"/>
        </w:numPr>
        <w:tabs>
          <w:tab w:pos="821" w:val="left" w:leader="none"/>
        </w:tabs>
        <w:spacing w:line="362" w:lineRule="auto" w:before="0" w:after="0"/>
        <w:ind w:left="821" w:right="104" w:hanging="361"/>
        <w:jc w:val="both"/>
        <w:rPr>
          <w:sz w:val="24"/>
        </w:rPr>
      </w:pPr>
      <w:r>
        <w:rPr>
          <w:sz w:val="24"/>
        </w:rPr>
        <w:t>Descripción de los métodos empleados para recoger los datos y de las técnicas de cálculo empleadas para cada categoría de</w:t>
      </w:r>
      <w:r>
        <w:rPr>
          <w:spacing w:val="-29"/>
          <w:sz w:val="24"/>
        </w:rPr>
        <w:t> </w:t>
      </w:r>
      <w:r>
        <w:rPr>
          <w:sz w:val="24"/>
        </w:rPr>
        <w:t>datos.</w:t>
      </w:r>
    </w:p>
    <w:p>
      <w:pPr>
        <w:pStyle w:val="ListParagraph"/>
        <w:numPr>
          <w:ilvl w:val="1"/>
          <w:numId w:val="9"/>
        </w:numPr>
        <w:tabs>
          <w:tab w:pos="821" w:val="left" w:leader="none"/>
        </w:tabs>
        <w:spacing w:line="360" w:lineRule="auto" w:before="0" w:after="0"/>
        <w:ind w:left="821" w:right="103" w:hanging="361"/>
        <w:jc w:val="both"/>
        <w:rPr>
          <w:sz w:val="24"/>
        </w:rPr>
      </w:pPr>
      <w:r>
        <w:rPr>
          <w:sz w:val="24"/>
        </w:rPr>
        <w:t>Instrucciones informando claramente de fuentes documentales para casos especiales, irregularidades, o cualquier otra circunstancia asociada con la recogida de</w:t>
      </w:r>
      <w:r>
        <w:rPr>
          <w:spacing w:val="-12"/>
          <w:sz w:val="24"/>
        </w:rPr>
        <w:t> </w:t>
      </w:r>
      <w:r>
        <w:rPr>
          <w:sz w:val="24"/>
        </w:rPr>
        <w:t>datos.</w:t>
      </w:r>
    </w:p>
    <w:p>
      <w:pPr>
        <w:pStyle w:val="BodyText"/>
      </w:pPr>
    </w:p>
    <w:p>
      <w:pPr>
        <w:pStyle w:val="BodyText"/>
        <w:spacing w:before="3"/>
        <w:rPr>
          <w:sz w:val="29"/>
        </w:rPr>
      </w:pPr>
    </w:p>
    <w:p>
      <w:pPr>
        <w:pStyle w:val="Heading2"/>
        <w:numPr>
          <w:ilvl w:val="2"/>
          <w:numId w:val="32"/>
        </w:numPr>
        <w:tabs>
          <w:tab w:pos="897" w:val="left" w:leader="none"/>
        </w:tabs>
        <w:spacing w:line="240" w:lineRule="auto" w:before="0" w:after="0"/>
        <w:ind w:left="897" w:right="0" w:hanging="797"/>
        <w:jc w:val="both"/>
      </w:pPr>
      <w:bookmarkStart w:name="3.3.5.  Evaluación de Impacto de Ciclo d" w:id="196"/>
      <w:bookmarkEnd w:id="196"/>
      <w:r>
        <w:rPr/>
      </w:r>
      <w:bookmarkStart w:name="_bookmark127" w:id="197"/>
      <w:bookmarkEnd w:id="197"/>
      <w:r>
        <w:rPr/>
        <w:t>E</w:t>
      </w:r>
      <w:r>
        <w:rPr/>
        <w:t>valuación de Impacto de Ciclo de Vida. Cálculo de</w:t>
      </w:r>
      <w:r>
        <w:rPr>
          <w:spacing w:val="-20"/>
        </w:rPr>
        <w:t> </w:t>
      </w:r>
      <w:r>
        <w:rPr/>
        <w:t>Indicadores</w:t>
      </w:r>
    </w:p>
    <w:p>
      <w:pPr>
        <w:pStyle w:val="BodyText"/>
        <w:rPr>
          <w:sz w:val="28"/>
        </w:rPr>
      </w:pPr>
    </w:p>
    <w:p>
      <w:pPr>
        <w:pStyle w:val="BodyText"/>
        <w:spacing w:before="9"/>
        <w:rPr>
          <w:sz w:val="22"/>
        </w:rPr>
      </w:pPr>
    </w:p>
    <w:p>
      <w:pPr>
        <w:pStyle w:val="BodyText"/>
        <w:spacing w:line="357" w:lineRule="auto"/>
        <w:ind w:left="100" w:right="103"/>
        <w:jc w:val="both"/>
      </w:pPr>
      <w:r>
        <w:rPr/>
        <w:t>Según la norma ISO 14040:2006 la fase de evaluación de impacto de un ACV tiene como propósito evaluar cuán significativos son los impactos ambientales potenciales utilizando los resultados del ICV. En general, este proceso implica   </w:t>
      </w:r>
      <w:r>
        <w:rPr>
          <w:spacing w:val="28"/>
        </w:rPr>
        <w:t> </w:t>
      </w:r>
      <w:r>
        <w:rPr/>
        <w:t>la</w:t>
      </w:r>
    </w:p>
    <w:p>
      <w:pPr>
        <w:spacing w:after="0" w:line="357" w:lineRule="auto"/>
        <w:jc w:val="both"/>
        <w:sectPr>
          <w:pgSz w:w="12240" w:h="15840"/>
          <w:pgMar w:header="0" w:footer="1031" w:top="1360" w:bottom="1220" w:left="1600" w:right="1600"/>
        </w:sectPr>
      </w:pPr>
    </w:p>
    <w:p>
      <w:pPr>
        <w:pStyle w:val="BodyText"/>
        <w:spacing w:line="360" w:lineRule="auto" w:before="55"/>
        <w:ind w:left="100" w:right="101"/>
        <w:jc w:val="both"/>
      </w:pPr>
      <w:r>
        <w:rPr/>
        <w:t>asociación de los datos de inventario con las categorías de impactos ambientales específicos y con los indicadores de esas categorías, para entender estos impactos. La fase de la EICV también proporciona información para la fase de interpretación del ciclo de vida; la evaluación del impacto puede incluir un proceso iterativo de revisión del objetivo y del alcance del estudio de ACV para determinar si se han cumplido los objetivos del mismo, o para modificar el objetivo y el  alcance si la evaluación indica que no se pueden alcanzar; cuestiones tales como la elección, el modelado y la evaluación de categorías de impacto pueden introducir subjetividad en la fase de la EICV. Por lo tanto, la transparencia es  crítica en la evaluación del impacto a fin de asegurar que las suposiciones están claramente descritas e</w:t>
      </w:r>
      <w:r>
        <w:rPr>
          <w:spacing w:val="-22"/>
        </w:rPr>
        <w:t> </w:t>
      </w:r>
      <w:r>
        <w:rPr/>
        <w:t>informadas.</w:t>
      </w:r>
    </w:p>
    <w:p>
      <w:pPr>
        <w:pStyle w:val="BodyText"/>
      </w:pPr>
    </w:p>
    <w:p>
      <w:pPr>
        <w:pStyle w:val="BodyText"/>
        <w:spacing w:line="360" w:lineRule="auto" w:before="142"/>
        <w:ind w:left="100" w:right="104"/>
        <w:jc w:val="both"/>
      </w:pPr>
      <w:r>
        <w:rPr/>
        <w:t>Romero (1987), ella afirma que la fase de Evaluación de Impacto del Ciclo de Vida relaciona los resultados del Análisis de Inventario con los efectos ambientales a que dan lugar, con el fin de valorar la importancia de los potenciales impactos que generan. Ella agrega que en el contexto del ACV, se define un impacto como la anticipación razonable de un efecto, ya que no se trata de determinar impactos reales, sino de ligar los datos obtenidos en el inventario con una categoría de impacto y cuantificar la contribución a esta de cada uno de ellos.</w:t>
      </w:r>
    </w:p>
    <w:p>
      <w:pPr>
        <w:pStyle w:val="BodyText"/>
      </w:pPr>
    </w:p>
    <w:p>
      <w:pPr>
        <w:pStyle w:val="BodyText"/>
        <w:spacing w:line="357" w:lineRule="auto" w:before="141"/>
        <w:ind w:left="100" w:right="103"/>
        <w:jc w:val="both"/>
      </w:pPr>
      <w:r>
        <w:rPr/>
        <w:t>Para la autora mencionada, la Evaluación de Impacto de Ciclo de Vida consta de tres etapas que detalla:</w:t>
      </w:r>
    </w:p>
    <w:p>
      <w:pPr>
        <w:pStyle w:val="BodyText"/>
      </w:pPr>
    </w:p>
    <w:p>
      <w:pPr>
        <w:pStyle w:val="Heading4"/>
        <w:numPr>
          <w:ilvl w:val="0"/>
          <w:numId w:val="45"/>
        </w:numPr>
        <w:tabs>
          <w:tab w:pos="821" w:val="left" w:leader="none"/>
        </w:tabs>
        <w:spacing w:line="240" w:lineRule="auto" w:before="145" w:after="0"/>
        <w:ind w:left="821" w:right="0" w:hanging="361"/>
        <w:jc w:val="left"/>
        <w:rPr>
          <w:i/>
        </w:rPr>
      </w:pPr>
      <w:r>
        <w:rPr>
          <w:i/>
        </w:rPr>
        <w:t>Clasificación</w:t>
      </w:r>
    </w:p>
    <w:p>
      <w:pPr>
        <w:pStyle w:val="BodyText"/>
        <w:rPr>
          <w:b/>
          <w:i/>
        </w:rPr>
      </w:pPr>
    </w:p>
    <w:p>
      <w:pPr>
        <w:pStyle w:val="BodyText"/>
        <w:rPr>
          <w:b/>
          <w:i/>
        </w:rPr>
      </w:pPr>
    </w:p>
    <w:p>
      <w:pPr>
        <w:pStyle w:val="BodyText"/>
        <w:spacing w:line="360" w:lineRule="auto"/>
        <w:ind w:left="100" w:right="100"/>
        <w:jc w:val="both"/>
      </w:pPr>
      <w:r>
        <w:rPr/>
        <w:t>La fase de clasificación consiste en el agrupamiento de las cargas ambientales debidas al consumo de recursos y a la generación de emisiones y residuos, en función de los potenciales efectos ambientales que produce cada una de ellas. Entre los efectos que se consideran en un ACV están los siguientes:</w:t>
      </w:r>
    </w:p>
    <w:p>
      <w:pPr>
        <w:pStyle w:val="BodyText"/>
      </w:pPr>
    </w:p>
    <w:p>
      <w:pPr>
        <w:pStyle w:val="ListParagraph"/>
        <w:numPr>
          <w:ilvl w:val="0"/>
          <w:numId w:val="46"/>
        </w:numPr>
        <w:tabs>
          <w:tab w:pos="820" w:val="left" w:leader="none"/>
          <w:tab w:pos="821" w:val="left" w:leader="none"/>
        </w:tabs>
        <w:spacing w:line="240" w:lineRule="auto" w:before="141" w:after="0"/>
        <w:ind w:left="821" w:right="0" w:hanging="361"/>
        <w:jc w:val="left"/>
        <w:rPr>
          <w:sz w:val="24"/>
        </w:rPr>
      </w:pPr>
      <w:r>
        <w:rPr>
          <w:sz w:val="24"/>
        </w:rPr>
        <w:t>Consumo de</w:t>
      </w:r>
      <w:r>
        <w:rPr>
          <w:spacing w:val="-13"/>
          <w:sz w:val="24"/>
        </w:rPr>
        <w:t> </w:t>
      </w:r>
      <w:r>
        <w:rPr>
          <w:sz w:val="24"/>
        </w:rPr>
        <w:t>Recursos</w:t>
      </w:r>
    </w:p>
    <w:p>
      <w:pPr>
        <w:spacing w:after="0" w:line="240" w:lineRule="auto"/>
        <w:jc w:val="left"/>
        <w:rPr>
          <w:sz w:val="24"/>
        </w:rPr>
        <w:sectPr>
          <w:pgSz w:w="12240" w:h="15840"/>
          <w:pgMar w:header="0" w:footer="1031" w:top="1440" w:bottom="1220" w:left="1600" w:right="1600"/>
        </w:sectPr>
      </w:pPr>
    </w:p>
    <w:p>
      <w:pPr>
        <w:pStyle w:val="ListParagraph"/>
        <w:numPr>
          <w:ilvl w:val="0"/>
          <w:numId w:val="46"/>
        </w:numPr>
        <w:tabs>
          <w:tab w:pos="820" w:val="left" w:leader="none"/>
          <w:tab w:pos="821" w:val="left" w:leader="none"/>
        </w:tabs>
        <w:spacing w:line="240" w:lineRule="auto" w:before="35" w:after="0"/>
        <w:ind w:left="821" w:right="0" w:hanging="361"/>
        <w:jc w:val="left"/>
        <w:rPr>
          <w:sz w:val="24"/>
        </w:rPr>
      </w:pPr>
      <w:r>
        <w:rPr>
          <w:sz w:val="24"/>
        </w:rPr>
        <w:t>Calentamiento</w:t>
      </w:r>
      <w:r>
        <w:rPr>
          <w:spacing w:val="-16"/>
          <w:sz w:val="24"/>
        </w:rPr>
        <w:t> </w:t>
      </w:r>
      <w:r>
        <w:rPr>
          <w:sz w:val="24"/>
        </w:rPr>
        <w:t>Global</w:t>
      </w:r>
    </w:p>
    <w:p>
      <w:pPr>
        <w:pStyle w:val="ListParagraph"/>
        <w:numPr>
          <w:ilvl w:val="0"/>
          <w:numId w:val="46"/>
        </w:numPr>
        <w:tabs>
          <w:tab w:pos="820" w:val="left" w:leader="none"/>
          <w:tab w:pos="821" w:val="left" w:leader="none"/>
        </w:tabs>
        <w:spacing w:line="240" w:lineRule="auto" w:before="133" w:after="0"/>
        <w:ind w:left="821" w:right="0" w:hanging="361"/>
        <w:jc w:val="left"/>
        <w:rPr>
          <w:sz w:val="24"/>
        </w:rPr>
      </w:pPr>
      <w:r>
        <w:rPr>
          <w:sz w:val="24"/>
        </w:rPr>
        <w:t>Reducción de la Capa de</w:t>
      </w:r>
      <w:r>
        <w:rPr>
          <w:spacing w:val="-19"/>
          <w:sz w:val="24"/>
        </w:rPr>
        <w:t> </w:t>
      </w:r>
      <w:r>
        <w:rPr>
          <w:sz w:val="24"/>
        </w:rPr>
        <w:t>Ozono</w:t>
      </w:r>
    </w:p>
    <w:p>
      <w:pPr>
        <w:pStyle w:val="ListParagraph"/>
        <w:numPr>
          <w:ilvl w:val="0"/>
          <w:numId w:val="46"/>
        </w:numPr>
        <w:tabs>
          <w:tab w:pos="820" w:val="left" w:leader="none"/>
          <w:tab w:pos="821" w:val="left" w:leader="none"/>
        </w:tabs>
        <w:spacing w:line="240" w:lineRule="auto" w:before="138" w:after="0"/>
        <w:ind w:left="821" w:right="0" w:hanging="361"/>
        <w:jc w:val="left"/>
        <w:rPr>
          <w:sz w:val="24"/>
        </w:rPr>
      </w:pPr>
      <w:r>
        <w:rPr>
          <w:sz w:val="24"/>
        </w:rPr>
        <w:t>Acidificación</w:t>
      </w:r>
    </w:p>
    <w:p>
      <w:pPr>
        <w:pStyle w:val="ListParagraph"/>
        <w:numPr>
          <w:ilvl w:val="0"/>
          <w:numId w:val="46"/>
        </w:numPr>
        <w:tabs>
          <w:tab w:pos="820" w:val="left" w:leader="none"/>
          <w:tab w:pos="821" w:val="left" w:leader="none"/>
        </w:tabs>
        <w:spacing w:line="240" w:lineRule="auto" w:before="133" w:after="0"/>
        <w:ind w:left="821" w:right="0" w:hanging="361"/>
        <w:jc w:val="left"/>
        <w:rPr>
          <w:sz w:val="24"/>
        </w:rPr>
      </w:pPr>
      <w:r>
        <w:rPr>
          <w:sz w:val="24"/>
        </w:rPr>
        <w:t>Eutrofización</w:t>
      </w:r>
    </w:p>
    <w:p>
      <w:pPr>
        <w:pStyle w:val="ListParagraph"/>
        <w:numPr>
          <w:ilvl w:val="0"/>
          <w:numId w:val="46"/>
        </w:numPr>
        <w:tabs>
          <w:tab w:pos="820" w:val="left" w:leader="none"/>
          <w:tab w:pos="821" w:val="left" w:leader="none"/>
        </w:tabs>
        <w:spacing w:line="240" w:lineRule="auto" w:before="138" w:after="0"/>
        <w:ind w:left="821" w:right="0" w:hanging="361"/>
        <w:jc w:val="left"/>
        <w:rPr>
          <w:sz w:val="24"/>
        </w:rPr>
      </w:pPr>
      <w:r>
        <w:rPr>
          <w:sz w:val="24"/>
        </w:rPr>
        <w:t>Formación de oxidantes</w:t>
      </w:r>
      <w:r>
        <w:rPr>
          <w:spacing w:val="-24"/>
          <w:sz w:val="24"/>
        </w:rPr>
        <w:t> </w:t>
      </w:r>
      <w:r>
        <w:rPr>
          <w:sz w:val="24"/>
        </w:rPr>
        <w:t>fotoquímicos</w:t>
      </w:r>
    </w:p>
    <w:p>
      <w:pPr>
        <w:pStyle w:val="ListParagraph"/>
        <w:numPr>
          <w:ilvl w:val="0"/>
          <w:numId w:val="46"/>
        </w:numPr>
        <w:tabs>
          <w:tab w:pos="820" w:val="left" w:leader="none"/>
          <w:tab w:pos="821" w:val="left" w:leader="none"/>
        </w:tabs>
        <w:spacing w:line="240" w:lineRule="auto" w:before="134" w:after="0"/>
        <w:ind w:left="821" w:right="0" w:hanging="361"/>
        <w:jc w:val="left"/>
        <w:rPr>
          <w:sz w:val="24"/>
        </w:rPr>
      </w:pPr>
      <w:r>
        <w:rPr>
          <w:sz w:val="24"/>
        </w:rPr>
        <w:t>Generación de</w:t>
      </w:r>
      <w:r>
        <w:rPr>
          <w:spacing w:val="-15"/>
          <w:sz w:val="24"/>
        </w:rPr>
        <w:t> </w:t>
      </w:r>
      <w:r>
        <w:rPr>
          <w:sz w:val="24"/>
        </w:rPr>
        <w:t>residuos</w:t>
      </w:r>
    </w:p>
    <w:p>
      <w:pPr>
        <w:pStyle w:val="BodyText"/>
      </w:pPr>
    </w:p>
    <w:p>
      <w:pPr>
        <w:pStyle w:val="BodyText"/>
        <w:spacing w:before="9"/>
        <w:rPr>
          <w:sz w:val="23"/>
        </w:rPr>
      </w:pPr>
    </w:p>
    <w:p>
      <w:pPr>
        <w:pStyle w:val="Heading4"/>
        <w:numPr>
          <w:ilvl w:val="0"/>
          <w:numId w:val="45"/>
        </w:numPr>
        <w:tabs>
          <w:tab w:pos="821" w:val="left" w:leader="none"/>
        </w:tabs>
        <w:spacing w:line="240" w:lineRule="auto" w:before="0" w:after="0"/>
        <w:ind w:left="821" w:right="0" w:hanging="361"/>
        <w:jc w:val="left"/>
        <w:rPr>
          <w:i/>
        </w:rPr>
      </w:pPr>
      <w:r>
        <w:rPr>
          <w:i/>
        </w:rPr>
        <w:t>Caracterización y Análisis de Significancia</w:t>
      </w:r>
      <w:r>
        <w:rPr>
          <w:i/>
          <w:spacing w:val="-22"/>
        </w:rPr>
        <w:t> </w:t>
      </w:r>
      <w:r>
        <w:rPr>
          <w:i/>
        </w:rPr>
        <w:t>(Normalización)</w:t>
      </w:r>
    </w:p>
    <w:p>
      <w:pPr>
        <w:pStyle w:val="BodyText"/>
        <w:rPr>
          <w:b/>
          <w:i/>
        </w:rPr>
      </w:pPr>
    </w:p>
    <w:p>
      <w:pPr>
        <w:pStyle w:val="BodyText"/>
        <w:rPr>
          <w:b/>
          <w:i/>
        </w:rPr>
      </w:pPr>
    </w:p>
    <w:p>
      <w:pPr>
        <w:pStyle w:val="BodyText"/>
        <w:spacing w:line="362" w:lineRule="auto"/>
        <w:ind w:left="100" w:right="110"/>
        <w:jc w:val="both"/>
      </w:pPr>
      <w:r>
        <w:rPr/>
        <w:t>La caracterización es el cálculo de la contribución potencial de cada compuesto detectado en el análisis de inventario a un efecto ambiental.</w:t>
      </w:r>
    </w:p>
    <w:p>
      <w:pPr>
        <w:pStyle w:val="BodyText"/>
      </w:pPr>
    </w:p>
    <w:p>
      <w:pPr>
        <w:pStyle w:val="BodyText"/>
        <w:spacing w:line="360" w:lineRule="auto" w:before="139"/>
        <w:ind w:left="100" w:right="98"/>
        <w:jc w:val="both"/>
      </w:pPr>
      <w:r>
        <w:rPr/>
        <w:t>Con el fin de analizar la importancia relativa de cada efecto considerado durante la caracterización, se recurre a un “análisis técnico de significancia” (término propuesto por ISO), también llamado “normalización” (término propuesto por SETAC). Este paso consiste en el cálculo de la contribución relativa de cada efecto ambiental a las cargas totales del producto/proceso en</w:t>
      </w:r>
      <w:r>
        <w:rPr>
          <w:spacing w:val="-37"/>
        </w:rPr>
        <w:t> </w:t>
      </w:r>
      <w:r>
        <w:rPr/>
        <w:t>estudio.</w:t>
      </w:r>
    </w:p>
    <w:p>
      <w:pPr>
        <w:pStyle w:val="BodyText"/>
      </w:pPr>
    </w:p>
    <w:p>
      <w:pPr>
        <w:pStyle w:val="BodyText"/>
        <w:spacing w:line="360" w:lineRule="auto" w:before="142"/>
        <w:ind w:left="100" w:right="105"/>
        <w:jc w:val="both"/>
      </w:pPr>
      <w:r>
        <w:rPr/>
        <w:t>La normalización es necesaria debido al hecho de que los valores que se obtienen durante la caracterización, como se ha expuesto, están expresados en diferentes unidades. La normalización permite trasladar los resultados de la clasificación a unidades que permitan su comparación y su interpretación.</w:t>
      </w:r>
    </w:p>
    <w:p>
      <w:pPr>
        <w:pStyle w:val="BodyText"/>
      </w:pPr>
    </w:p>
    <w:p>
      <w:pPr>
        <w:pStyle w:val="BodyText"/>
        <w:spacing w:line="362" w:lineRule="auto" w:before="142"/>
        <w:ind w:left="100" w:right="110"/>
        <w:jc w:val="both"/>
      </w:pPr>
      <w:r>
        <w:rPr/>
        <w:t>Tras la normalización de cada efecto, se lleva a cabo la agregación de los datos, con lo que se obtiene un perfil ambiental del Ciclo de Vida bajo estudio.</w:t>
      </w:r>
    </w:p>
    <w:p>
      <w:pPr>
        <w:pStyle w:val="BodyText"/>
      </w:pPr>
    </w:p>
    <w:p>
      <w:pPr>
        <w:pStyle w:val="Heading4"/>
        <w:numPr>
          <w:ilvl w:val="0"/>
          <w:numId w:val="45"/>
        </w:numPr>
        <w:tabs>
          <w:tab w:pos="821" w:val="left" w:leader="none"/>
        </w:tabs>
        <w:spacing w:line="240" w:lineRule="auto" w:before="139" w:after="0"/>
        <w:ind w:left="821" w:right="0" w:hanging="361"/>
        <w:jc w:val="left"/>
        <w:rPr>
          <w:i/>
        </w:rPr>
      </w:pPr>
      <w:r>
        <w:rPr>
          <w:i/>
        </w:rPr>
        <w:t>Valoración</w:t>
      </w:r>
    </w:p>
    <w:p>
      <w:pPr>
        <w:pStyle w:val="BodyText"/>
        <w:rPr>
          <w:b/>
          <w:i/>
        </w:rPr>
      </w:pPr>
    </w:p>
    <w:p>
      <w:pPr>
        <w:pStyle w:val="BodyText"/>
        <w:rPr>
          <w:b/>
          <w:i/>
        </w:rPr>
      </w:pPr>
    </w:p>
    <w:p>
      <w:pPr>
        <w:pStyle w:val="BodyText"/>
        <w:spacing w:line="360" w:lineRule="auto"/>
        <w:ind w:left="100" w:right="98"/>
        <w:jc w:val="both"/>
      </w:pPr>
      <w:r>
        <w:rPr/>
        <w:t>EL siguiente paso a llevar a cabo dentro de la fase de Evaluación de Impacto de Ciclo de Vida es la Valoración. El objetivo de esta etapa es determinar qué efecto causa el menor impacto teniendo en cuenta el Ciclo de Vida completo, para lo que</w:t>
      </w:r>
    </w:p>
    <w:p>
      <w:pPr>
        <w:spacing w:after="0" w:line="360" w:lineRule="auto"/>
        <w:jc w:val="both"/>
        <w:sectPr>
          <w:pgSz w:w="12240" w:h="15840"/>
          <w:pgMar w:header="0" w:footer="1031" w:top="1420" w:bottom="1220" w:left="1600" w:right="1600"/>
        </w:sectPr>
      </w:pPr>
    </w:p>
    <w:p>
      <w:pPr>
        <w:pStyle w:val="BodyText"/>
        <w:spacing w:line="357" w:lineRule="auto" w:before="59"/>
        <w:ind w:left="100" w:right="108"/>
        <w:jc w:val="both"/>
      </w:pPr>
      <w:r>
        <w:rPr/>
        <w:t>los efectos ambientales son sopesados unos con otros con la finalidad de comparar los perfiles normalizados obtenidos en la etapa anterior.</w:t>
      </w:r>
    </w:p>
    <w:p>
      <w:pPr>
        <w:pStyle w:val="BodyText"/>
      </w:pPr>
    </w:p>
    <w:p>
      <w:pPr>
        <w:pStyle w:val="Heading2"/>
        <w:numPr>
          <w:ilvl w:val="2"/>
          <w:numId w:val="32"/>
        </w:numPr>
        <w:tabs>
          <w:tab w:pos="901" w:val="left" w:leader="none"/>
        </w:tabs>
        <w:spacing w:line="240" w:lineRule="auto" w:before="203" w:after="0"/>
        <w:ind w:left="901" w:right="0" w:hanging="801"/>
        <w:jc w:val="both"/>
      </w:pPr>
      <w:bookmarkStart w:name="3.3.6.  Metodologías básicas para evalua" w:id="198"/>
      <w:bookmarkEnd w:id="198"/>
      <w:r>
        <w:rPr/>
      </w:r>
      <w:bookmarkStart w:name="_bookmark128" w:id="199"/>
      <w:bookmarkEnd w:id="199"/>
      <w:r>
        <w:rPr/>
        <w:t>M</w:t>
      </w:r>
      <w:r>
        <w:rPr/>
        <w:t>etodologías básicas para evaluar impacto</w:t>
      </w:r>
      <w:r>
        <w:rPr>
          <w:spacing w:val="-13"/>
        </w:rPr>
        <w:t> </w:t>
      </w:r>
      <w:r>
        <w:rPr/>
        <w:t>ambiental</w:t>
      </w:r>
    </w:p>
    <w:p>
      <w:pPr>
        <w:pStyle w:val="BodyText"/>
        <w:rPr>
          <w:sz w:val="28"/>
        </w:rPr>
      </w:pPr>
    </w:p>
    <w:p>
      <w:pPr>
        <w:pStyle w:val="BodyText"/>
        <w:spacing w:before="4"/>
        <w:rPr>
          <w:sz w:val="22"/>
        </w:rPr>
      </w:pPr>
    </w:p>
    <w:p>
      <w:pPr>
        <w:pStyle w:val="BodyText"/>
        <w:ind w:left="100"/>
        <w:jc w:val="both"/>
      </w:pPr>
      <w:r>
        <w:rPr/>
        <w:t>Para poder hacer la evaluación de impacto ambiental, existen básicamente dos</w:t>
      </w:r>
    </w:p>
    <w:p>
      <w:pPr>
        <w:spacing w:before="132"/>
        <w:ind w:left="100" w:right="0" w:firstLine="0"/>
        <w:jc w:val="both"/>
        <w:rPr>
          <w:sz w:val="24"/>
        </w:rPr>
      </w:pPr>
      <w:r>
        <w:rPr>
          <w:b/>
          <w:sz w:val="24"/>
        </w:rPr>
        <w:t>tipos de metodologías</w:t>
      </w:r>
      <w:r>
        <w:rPr>
          <w:sz w:val="24"/>
        </w:rPr>
        <w:t>, las de endpoint y las de midpoint. Ver la </w:t>
      </w:r>
      <w:hyperlink w:history="true" w:anchor="_bookmark129">
        <w:r>
          <w:rPr>
            <w:sz w:val="24"/>
          </w:rPr>
          <w:t>Figura 3.5</w:t>
        </w:r>
      </w:hyperlink>
    </w:p>
    <w:p>
      <w:pPr>
        <w:pStyle w:val="BodyText"/>
        <w:spacing w:before="1"/>
        <w:rPr>
          <w:sz w:val="9"/>
        </w:rPr>
      </w:pPr>
      <w:r>
        <w:rPr/>
        <w:drawing>
          <wp:anchor distT="0" distB="0" distL="0" distR="0" allowOverlap="1" layoutInCell="1" locked="0" behindDoc="0" simplePos="0" relativeHeight="2032">
            <wp:simplePos x="0" y="0"/>
            <wp:positionH relativeFrom="page">
              <wp:posOffset>2085975</wp:posOffset>
            </wp:positionH>
            <wp:positionV relativeFrom="paragraph">
              <wp:posOffset>91528</wp:posOffset>
            </wp:positionV>
            <wp:extent cx="3625914" cy="2426589"/>
            <wp:effectExtent l="0" t="0" r="0" b="0"/>
            <wp:wrapTopAndBottom/>
            <wp:docPr id="193" name="image101.jpeg" descr=""/>
            <wp:cNvGraphicFramePr>
              <a:graphicFrameLocks noChangeAspect="1"/>
            </wp:cNvGraphicFramePr>
            <a:graphic>
              <a:graphicData uri="http://schemas.openxmlformats.org/drawingml/2006/picture">
                <pic:pic>
                  <pic:nvPicPr>
                    <pic:cNvPr id="194" name="image101.jpeg"/>
                    <pic:cNvPicPr/>
                  </pic:nvPicPr>
                  <pic:blipFill>
                    <a:blip r:embed="rId164" cstate="print"/>
                    <a:stretch>
                      <a:fillRect/>
                    </a:stretch>
                  </pic:blipFill>
                  <pic:spPr>
                    <a:xfrm>
                      <a:off x="0" y="0"/>
                      <a:ext cx="3625914" cy="2426589"/>
                    </a:xfrm>
                    <a:prstGeom prst="rect">
                      <a:avLst/>
                    </a:prstGeom>
                  </pic:spPr>
                </pic:pic>
              </a:graphicData>
            </a:graphic>
          </wp:anchor>
        </w:drawing>
      </w:r>
    </w:p>
    <w:p>
      <w:pPr>
        <w:spacing w:before="38"/>
        <w:ind w:left="1721" w:right="0" w:firstLine="0"/>
        <w:jc w:val="left"/>
        <w:rPr>
          <w:sz w:val="18"/>
        </w:rPr>
      </w:pPr>
      <w:bookmarkStart w:name="_bookmark129" w:id="200"/>
      <w:bookmarkEnd w:id="200"/>
      <w:r>
        <w:rPr/>
      </w:r>
      <w:r>
        <w:rPr>
          <w:sz w:val="18"/>
        </w:rPr>
        <w:t>Figura 3.5. Muestra el Mindpoint y el Endpoint. (Fuente: Giménez, 2012).</w:t>
      </w:r>
    </w:p>
    <w:p>
      <w:pPr>
        <w:pStyle w:val="BodyText"/>
        <w:rPr>
          <w:sz w:val="18"/>
        </w:rPr>
      </w:pPr>
    </w:p>
    <w:p>
      <w:pPr>
        <w:pStyle w:val="BodyText"/>
        <w:spacing w:before="3"/>
        <w:rPr>
          <w:sz w:val="18"/>
        </w:rPr>
      </w:pPr>
    </w:p>
    <w:p>
      <w:pPr>
        <w:pStyle w:val="BodyText"/>
        <w:spacing w:line="360" w:lineRule="auto"/>
        <w:ind w:left="100" w:right="98"/>
        <w:jc w:val="both"/>
      </w:pPr>
      <w:r>
        <w:rPr/>
        <w:t>Las metodologías de endpoint hacen una aproximación al problema del tipo top- down, es decir, se definen unos impactos finales bastante generales </w:t>
      </w:r>
      <w:r>
        <w:rPr>
          <w:spacing w:val="-3"/>
        </w:rPr>
        <w:t>y, </w:t>
      </w:r>
      <w:r>
        <w:rPr/>
        <w:t>a partir de ahí, se buscan los factores (impactos) concretos que puedan tener incidencia sobre cada uno de los impactos finales previamente</w:t>
      </w:r>
      <w:r>
        <w:rPr>
          <w:spacing w:val="-35"/>
        </w:rPr>
        <w:t> </w:t>
      </w:r>
      <w:r>
        <w:rPr/>
        <w:t>definidos.</w:t>
      </w:r>
    </w:p>
    <w:p>
      <w:pPr>
        <w:pStyle w:val="BodyText"/>
      </w:pPr>
    </w:p>
    <w:p>
      <w:pPr>
        <w:pStyle w:val="BodyText"/>
        <w:spacing w:line="360" w:lineRule="auto" w:before="142"/>
        <w:ind w:left="100" w:right="101"/>
        <w:jc w:val="both"/>
      </w:pPr>
      <w:r>
        <w:rPr/>
        <w:t>Estas metodologías permiten analizar el efecto último del impacto ambiental (endpoints) </w:t>
      </w:r>
      <w:r>
        <w:rPr>
          <w:spacing w:val="-3"/>
        </w:rPr>
        <w:t>y, </w:t>
      </w:r>
      <w:r>
        <w:rPr/>
        <w:t>por tanto, van hacia la identificación y definición del daño causado al hombre y a los sistemas naturales. Por ejemplo, uno de los impactos finales que normalmente se utilizan es la influencia sobre la salud de las personas </w:t>
      </w:r>
      <w:r>
        <w:rPr>
          <w:spacing w:val="-3"/>
        </w:rPr>
        <w:t>y, </w:t>
      </w:r>
      <w:r>
        <w:rPr/>
        <w:t>por  tanto, a partir de ahí, se definen subcategorías de impacto que puedan tener influencia sobre ese aspecto. Son metodologías orientadas a daños. Por ello permiten ver con mayor claridad cuáles son los factores más importantes a la hora de evaluar los daños. Se suelen establecer tres</w:t>
      </w:r>
      <w:r>
        <w:rPr>
          <w:spacing w:val="-24"/>
        </w:rPr>
        <w:t> </w:t>
      </w:r>
      <w:r>
        <w:rPr/>
        <w:t>categorías:</w:t>
      </w:r>
    </w:p>
    <w:p>
      <w:pPr>
        <w:spacing w:after="0" w:line="360" w:lineRule="auto"/>
        <w:jc w:val="both"/>
        <w:sectPr>
          <w:pgSz w:w="12240" w:h="15840"/>
          <w:pgMar w:header="0" w:footer="1031" w:top="1400" w:bottom="1220" w:left="1600" w:right="1600"/>
        </w:sectPr>
      </w:pPr>
    </w:p>
    <w:p>
      <w:pPr>
        <w:pStyle w:val="BodyText"/>
        <w:rPr>
          <w:sz w:val="20"/>
        </w:rPr>
      </w:pPr>
    </w:p>
    <w:p>
      <w:pPr>
        <w:pStyle w:val="BodyText"/>
        <w:spacing w:before="1"/>
        <w:rPr>
          <w:sz w:val="28"/>
        </w:rPr>
      </w:pPr>
    </w:p>
    <w:p>
      <w:pPr>
        <w:pStyle w:val="ListParagraph"/>
        <w:numPr>
          <w:ilvl w:val="0"/>
          <w:numId w:val="47"/>
        </w:numPr>
        <w:tabs>
          <w:tab w:pos="821" w:val="left" w:leader="none"/>
        </w:tabs>
        <w:spacing w:line="362" w:lineRule="auto" w:before="70" w:after="0"/>
        <w:ind w:left="100" w:right="6435" w:firstLine="360"/>
        <w:jc w:val="left"/>
        <w:rPr>
          <w:sz w:val="24"/>
        </w:rPr>
      </w:pPr>
      <w:r>
        <w:rPr>
          <w:sz w:val="24"/>
        </w:rPr>
        <w:t>Salud  Humana o Efectos</w:t>
      </w:r>
      <w:r>
        <w:rPr>
          <w:spacing w:val="-14"/>
          <w:sz w:val="24"/>
        </w:rPr>
        <w:t> </w:t>
      </w:r>
      <w:r>
        <w:rPr>
          <w:sz w:val="24"/>
        </w:rPr>
        <w:t>cancerígenos</w:t>
      </w:r>
    </w:p>
    <w:p>
      <w:pPr>
        <w:pStyle w:val="ListParagraph"/>
        <w:numPr>
          <w:ilvl w:val="0"/>
          <w:numId w:val="48"/>
        </w:numPr>
        <w:tabs>
          <w:tab w:pos="301" w:val="left" w:leader="none"/>
        </w:tabs>
        <w:spacing w:line="362" w:lineRule="auto" w:before="0" w:after="0"/>
        <w:ind w:left="100" w:right="5847" w:firstLine="0"/>
        <w:jc w:val="left"/>
        <w:rPr>
          <w:sz w:val="24"/>
        </w:rPr>
      </w:pPr>
      <w:r>
        <w:rPr>
          <w:sz w:val="24"/>
        </w:rPr>
        <w:t>Respiración</w:t>
      </w:r>
      <w:r>
        <w:rPr>
          <w:spacing w:val="-14"/>
          <w:sz w:val="24"/>
        </w:rPr>
        <w:t> </w:t>
      </w:r>
      <w:r>
        <w:rPr>
          <w:sz w:val="24"/>
        </w:rPr>
        <w:t>contaminantes o Cambio</w:t>
      </w:r>
      <w:r>
        <w:rPr>
          <w:spacing w:val="-12"/>
          <w:sz w:val="24"/>
        </w:rPr>
        <w:t> </w:t>
      </w:r>
      <w:r>
        <w:rPr>
          <w:sz w:val="24"/>
        </w:rPr>
        <w:t>climático</w:t>
      </w:r>
    </w:p>
    <w:p>
      <w:pPr>
        <w:pStyle w:val="ListParagraph"/>
        <w:numPr>
          <w:ilvl w:val="0"/>
          <w:numId w:val="48"/>
        </w:numPr>
        <w:tabs>
          <w:tab w:pos="301" w:val="left" w:leader="none"/>
        </w:tabs>
        <w:spacing w:line="275" w:lineRule="exact" w:before="0" w:after="0"/>
        <w:ind w:left="300" w:right="0" w:hanging="200"/>
        <w:jc w:val="both"/>
        <w:rPr>
          <w:sz w:val="24"/>
        </w:rPr>
      </w:pPr>
      <w:r>
        <w:rPr>
          <w:sz w:val="24"/>
        </w:rPr>
        <w:t>Radiaciones</w:t>
      </w:r>
      <w:r>
        <w:rPr>
          <w:spacing w:val="-16"/>
          <w:sz w:val="24"/>
        </w:rPr>
        <w:t> </w:t>
      </w:r>
      <w:r>
        <w:rPr>
          <w:sz w:val="24"/>
        </w:rPr>
        <w:t>ionizantes</w:t>
      </w:r>
    </w:p>
    <w:p>
      <w:pPr>
        <w:pStyle w:val="ListParagraph"/>
        <w:numPr>
          <w:ilvl w:val="0"/>
          <w:numId w:val="48"/>
        </w:numPr>
        <w:tabs>
          <w:tab w:pos="301" w:val="left" w:leader="none"/>
        </w:tabs>
        <w:spacing w:line="240" w:lineRule="auto" w:before="140" w:after="0"/>
        <w:ind w:left="300" w:right="0" w:hanging="200"/>
        <w:jc w:val="both"/>
        <w:rPr>
          <w:sz w:val="24"/>
        </w:rPr>
      </w:pPr>
      <w:r>
        <w:rPr>
          <w:sz w:val="24"/>
        </w:rPr>
        <w:t>Disminución de la capa de</w:t>
      </w:r>
      <w:r>
        <w:rPr>
          <w:spacing w:val="-18"/>
          <w:sz w:val="24"/>
        </w:rPr>
        <w:t> </w:t>
      </w:r>
      <w:r>
        <w:rPr>
          <w:sz w:val="24"/>
        </w:rPr>
        <w:t>ozono</w:t>
      </w:r>
    </w:p>
    <w:p>
      <w:pPr>
        <w:pStyle w:val="BodyText"/>
      </w:pPr>
    </w:p>
    <w:p>
      <w:pPr>
        <w:pStyle w:val="BodyText"/>
      </w:pPr>
    </w:p>
    <w:p>
      <w:pPr>
        <w:pStyle w:val="ListParagraph"/>
        <w:numPr>
          <w:ilvl w:val="1"/>
          <w:numId w:val="48"/>
        </w:numPr>
        <w:tabs>
          <w:tab w:pos="821" w:val="left" w:leader="none"/>
        </w:tabs>
        <w:spacing w:line="357" w:lineRule="auto" w:before="0" w:after="0"/>
        <w:ind w:left="100" w:right="5221" w:firstLine="360"/>
        <w:jc w:val="left"/>
        <w:rPr>
          <w:sz w:val="24"/>
        </w:rPr>
      </w:pPr>
      <w:r>
        <w:rPr>
          <w:sz w:val="24"/>
        </w:rPr>
        <w:t>Calidad del medio</w:t>
      </w:r>
      <w:r>
        <w:rPr>
          <w:spacing w:val="-18"/>
          <w:sz w:val="24"/>
        </w:rPr>
        <w:t> </w:t>
      </w:r>
      <w:r>
        <w:rPr>
          <w:sz w:val="24"/>
        </w:rPr>
        <w:t>Ambiente o</w:t>
      </w:r>
      <w:r>
        <w:rPr>
          <w:spacing w:val="-10"/>
          <w:sz w:val="24"/>
        </w:rPr>
        <w:t> </w:t>
      </w:r>
      <w:r>
        <w:rPr>
          <w:sz w:val="24"/>
        </w:rPr>
        <w:t>Ecotoxicidad</w:t>
      </w:r>
    </w:p>
    <w:p>
      <w:pPr>
        <w:pStyle w:val="ListParagraph"/>
        <w:numPr>
          <w:ilvl w:val="0"/>
          <w:numId w:val="48"/>
        </w:numPr>
        <w:tabs>
          <w:tab w:pos="301" w:val="left" w:leader="none"/>
        </w:tabs>
        <w:spacing w:line="357" w:lineRule="auto" w:before="8" w:after="0"/>
        <w:ind w:left="100" w:right="5795" w:firstLine="0"/>
        <w:jc w:val="left"/>
        <w:rPr>
          <w:sz w:val="24"/>
        </w:rPr>
      </w:pPr>
      <w:r>
        <w:rPr>
          <w:sz w:val="24"/>
        </w:rPr>
        <w:t>Acidificación y</w:t>
      </w:r>
      <w:r>
        <w:rPr>
          <w:spacing w:val="-18"/>
          <w:sz w:val="24"/>
        </w:rPr>
        <w:t> </w:t>
      </w:r>
      <w:r>
        <w:rPr>
          <w:sz w:val="24"/>
        </w:rPr>
        <w:t>eutrofización o Uso del</w:t>
      </w:r>
      <w:r>
        <w:rPr>
          <w:spacing w:val="-9"/>
          <w:sz w:val="24"/>
        </w:rPr>
        <w:t> </w:t>
      </w:r>
      <w:r>
        <w:rPr>
          <w:sz w:val="24"/>
        </w:rPr>
        <w:t>suelo</w:t>
      </w:r>
    </w:p>
    <w:p>
      <w:pPr>
        <w:pStyle w:val="BodyText"/>
      </w:pPr>
    </w:p>
    <w:p>
      <w:pPr>
        <w:pStyle w:val="ListParagraph"/>
        <w:numPr>
          <w:ilvl w:val="1"/>
          <w:numId w:val="48"/>
        </w:numPr>
        <w:tabs>
          <w:tab w:pos="821" w:val="left" w:leader="none"/>
        </w:tabs>
        <w:spacing w:line="362" w:lineRule="auto" w:before="145" w:after="0"/>
        <w:ind w:left="100" w:right="7210" w:firstLine="360"/>
        <w:jc w:val="left"/>
        <w:rPr>
          <w:sz w:val="24"/>
        </w:rPr>
      </w:pPr>
      <w:r>
        <w:rPr>
          <w:spacing w:val="-1"/>
          <w:sz w:val="24"/>
        </w:rPr>
        <w:t>Recursos </w:t>
      </w:r>
      <w:r>
        <w:rPr>
          <w:sz w:val="24"/>
        </w:rPr>
        <w:t>o</w:t>
      </w:r>
      <w:r>
        <w:rPr>
          <w:spacing w:val="-10"/>
          <w:sz w:val="24"/>
        </w:rPr>
        <w:t> </w:t>
      </w:r>
      <w:r>
        <w:rPr>
          <w:sz w:val="24"/>
        </w:rPr>
        <w:t>Minerales</w:t>
      </w:r>
    </w:p>
    <w:p>
      <w:pPr>
        <w:pStyle w:val="ListParagraph"/>
        <w:numPr>
          <w:ilvl w:val="0"/>
          <w:numId w:val="48"/>
        </w:numPr>
        <w:tabs>
          <w:tab w:pos="301" w:val="left" w:leader="none"/>
        </w:tabs>
        <w:spacing w:line="275" w:lineRule="exact" w:before="0" w:after="0"/>
        <w:ind w:left="300" w:right="0" w:hanging="200"/>
        <w:jc w:val="both"/>
        <w:rPr>
          <w:sz w:val="24"/>
        </w:rPr>
      </w:pPr>
      <w:r>
        <w:rPr>
          <w:sz w:val="24"/>
        </w:rPr>
        <w:t>Combustibles</w:t>
      </w:r>
      <w:r>
        <w:rPr>
          <w:spacing w:val="-16"/>
          <w:sz w:val="24"/>
        </w:rPr>
        <w:t> </w:t>
      </w:r>
      <w:r>
        <w:rPr>
          <w:sz w:val="24"/>
        </w:rPr>
        <w:t>fósiles</w:t>
      </w:r>
    </w:p>
    <w:p>
      <w:pPr>
        <w:pStyle w:val="BodyText"/>
      </w:pPr>
    </w:p>
    <w:p>
      <w:pPr>
        <w:pStyle w:val="BodyText"/>
      </w:pPr>
    </w:p>
    <w:p>
      <w:pPr>
        <w:pStyle w:val="BodyText"/>
        <w:spacing w:line="360" w:lineRule="auto"/>
        <w:ind w:left="100" w:right="100"/>
        <w:jc w:val="both"/>
      </w:pPr>
      <w:r>
        <w:rPr/>
        <w:t>Las metodologías de midpoint hacen una aproximación al problema del tipo bottom-up, es decir, a partir de las emisiones y consumo de recursos y energía, se definen unas categorías de impacto y luego se calculan los correspondientes índices. Por tanto, no definen impactos finales, por ejemplo, sobre la salud de las personas. Son metodologías orientadas a temas o aspectos. Permiten la cuantificación del efecto ambiental sobre diversas categorías. Permiten sólo la evaluación de los efectos indirectos o intermedios sobre el ser humano (midpoints). Por ello se las conoce también como metodologías de distancia al nivel objetivo. Algunas categorías de impacto normalmente establecidas son las siguientes (ver </w:t>
      </w:r>
      <w:hyperlink w:history="true" w:anchor="_bookmark130">
        <w:r>
          <w:rPr/>
          <w:t>Figura</w:t>
        </w:r>
        <w:r>
          <w:rPr>
            <w:spacing w:val="-14"/>
          </w:rPr>
          <w:t> </w:t>
        </w:r>
        <w:r>
          <w:rPr/>
          <w:t>3.6</w:t>
        </w:r>
      </w:hyperlink>
      <w:r>
        <w:rPr/>
        <w:t>):</w:t>
      </w:r>
    </w:p>
    <w:p>
      <w:pPr>
        <w:pStyle w:val="BodyText"/>
      </w:pPr>
    </w:p>
    <w:p>
      <w:pPr>
        <w:pStyle w:val="ListParagraph"/>
        <w:numPr>
          <w:ilvl w:val="0"/>
          <w:numId w:val="49"/>
        </w:numPr>
        <w:tabs>
          <w:tab w:pos="821" w:val="left" w:leader="none"/>
        </w:tabs>
        <w:spacing w:line="240" w:lineRule="auto" w:before="142" w:after="0"/>
        <w:ind w:left="821" w:right="0" w:hanging="361"/>
        <w:jc w:val="left"/>
        <w:rPr>
          <w:sz w:val="24"/>
        </w:rPr>
      </w:pPr>
      <w:r>
        <w:rPr>
          <w:sz w:val="24"/>
        </w:rPr>
        <w:t>Disminución de los recursos</w:t>
      </w:r>
      <w:r>
        <w:rPr>
          <w:spacing w:val="-21"/>
          <w:sz w:val="24"/>
        </w:rPr>
        <w:t> </w:t>
      </w:r>
      <w:r>
        <w:rPr>
          <w:sz w:val="24"/>
        </w:rPr>
        <w:t>abióticos</w:t>
      </w:r>
    </w:p>
    <w:p>
      <w:pPr>
        <w:pStyle w:val="ListParagraph"/>
        <w:numPr>
          <w:ilvl w:val="0"/>
          <w:numId w:val="49"/>
        </w:numPr>
        <w:tabs>
          <w:tab w:pos="821" w:val="left" w:leader="none"/>
        </w:tabs>
        <w:spacing w:line="240" w:lineRule="auto" w:before="140" w:after="0"/>
        <w:ind w:left="821" w:right="0" w:hanging="361"/>
        <w:jc w:val="left"/>
        <w:rPr>
          <w:sz w:val="24"/>
        </w:rPr>
      </w:pPr>
      <w:r>
        <w:rPr>
          <w:sz w:val="24"/>
        </w:rPr>
        <w:t>Efectos del uso del</w:t>
      </w:r>
      <w:r>
        <w:rPr>
          <w:spacing w:val="-15"/>
          <w:sz w:val="24"/>
        </w:rPr>
        <w:t> </w:t>
      </w:r>
      <w:r>
        <w:rPr>
          <w:sz w:val="24"/>
        </w:rPr>
        <w:t>suelo</w:t>
      </w:r>
    </w:p>
    <w:p>
      <w:pPr>
        <w:spacing w:after="0" w:line="240" w:lineRule="auto"/>
        <w:jc w:val="left"/>
        <w:rPr>
          <w:sz w:val="24"/>
        </w:rPr>
        <w:sectPr>
          <w:pgSz w:w="12240" w:h="15840"/>
          <w:pgMar w:header="0" w:footer="1031" w:top="1500" w:bottom="1220" w:left="1600" w:right="1600"/>
        </w:sectPr>
      </w:pPr>
    </w:p>
    <w:p>
      <w:pPr>
        <w:pStyle w:val="ListParagraph"/>
        <w:numPr>
          <w:ilvl w:val="0"/>
          <w:numId w:val="50"/>
        </w:numPr>
        <w:tabs>
          <w:tab w:pos="701" w:val="left" w:leader="none"/>
        </w:tabs>
        <w:spacing w:line="360" w:lineRule="auto" w:before="43" w:after="0"/>
        <w:ind w:left="701" w:right="117" w:hanging="361"/>
        <w:jc w:val="both"/>
        <w:rPr>
          <w:sz w:val="24"/>
        </w:rPr>
      </w:pPr>
      <w:r>
        <w:rPr>
          <w:sz w:val="24"/>
        </w:rPr>
        <w:t>Cambio climático: La luz UV y visible pasan a través de la atmósfera. Gran parte de esa radiación es absorbida y se usa para calentar la tierra y el agua, mientras que otra parte se refleja de nuevo hacia el espacio. Además, la superficie caliente de la tierra emite radiación infrarroja hacia el espacio. Algunos gases como vapor de agua, CO2, CH4, N2O,CFCs, etc. absorben la radiación infrarroja y la re-emiten en forma de calor en todas las direcciones. Todo ello, de manera conjunta, provoca  el  sobre calentamiento.</w:t>
      </w:r>
    </w:p>
    <w:p>
      <w:pPr>
        <w:pStyle w:val="ListParagraph"/>
        <w:numPr>
          <w:ilvl w:val="0"/>
          <w:numId w:val="50"/>
        </w:numPr>
        <w:tabs>
          <w:tab w:pos="701" w:val="left" w:leader="none"/>
        </w:tabs>
        <w:spacing w:line="240" w:lineRule="auto" w:before="6" w:after="0"/>
        <w:ind w:left="701" w:right="0" w:hanging="361"/>
        <w:jc w:val="left"/>
        <w:rPr>
          <w:sz w:val="24"/>
        </w:rPr>
      </w:pPr>
      <w:r>
        <w:rPr>
          <w:sz w:val="24"/>
        </w:rPr>
        <w:t>Disminución ozono</w:t>
      </w:r>
      <w:r>
        <w:rPr>
          <w:spacing w:val="-20"/>
          <w:sz w:val="24"/>
        </w:rPr>
        <w:t> </w:t>
      </w:r>
      <w:r>
        <w:rPr>
          <w:sz w:val="24"/>
        </w:rPr>
        <w:t>estratosférico</w:t>
      </w:r>
    </w:p>
    <w:p>
      <w:pPr>
        <w:pStyle w:val="ListParagraph"/>
        <w:numPr>
          <w:ilvl w:val="0"/>
          <w:numId w:val="50"/>
        </w:numPr>
        <w:tabs>
          <w:tab w:pos="701" w:val="left" w:leader="none"/>
        </w:tabs>
        <w:spacing w:line="240" w:lineRule="auto" w:before="136" w:after="0"/>
        <w:ind w:left="701" w:right="0" w:hanging="361"/>
        <w:jc w:val="left"/>
        <w:rPr>
          <w:sz w:val="24"/>
        </w:rPr>
      </w:pPr>
      <w:r>
        <w:rPr>
          <w:sz w:val="24"/>
        </w:rPr>
        <w:t>Toxicidad</w:t>
      </w:r>
      <w:r>
        <w:rPr>
          <w:spacing w:val="-11"/>
          <w:sz w:val="24"/>
        </w:rPr>
        <w:t> </w:t>
      </w:r>
      <w:r>
        <w:rPr>
          <w:sz w:val="24"/>
        </w:rPr>
        <w:t>humana</w:t>
      </w:r>
    </w:p>
    <w:p>
      <w:pPr>
        <w:pStyle w:val="ListParagraph"/>
        <w:numPr>
          <w:ilvl w:val="0"/>
          <w:numId w:val="50"/>
        </w:numPr>
        <w:tabs>
          <w:tab w:pos="701" w:val="left" w:leader="none"/>
        </w:tabs>
        <w:spacing w:line="240" w:lineRule="auto" w:before="140" w:after="0"/>
        <w:ind w:left="701" w:right="0" w:hanging="361"/>
        <w:jc w:val="left"/>
        <w:rPr>
          <w:sz w:val="24"/>
        </w:rPr>
      </w:pPr>
      <w:r>
        <w:rPr>
          <w:sz w:val="24"/>
        </w:rPr>
        <w:t>Ecotoxicidad</w:t>
      </w:r>
    </w:p>
    <w:p>
      <w:pPr>
        <w:pStyle w:val="ListParagraph"/>
        <w:numPr>
          <w:ilvl w:val="0"/>
          <w:numId w:val="50"/>
        </w:numPr>
        <w:tabs>
          <w:tab w:pos="701" w:val="left" w:leader="none"/>
        </w:tabs>
        <w:spacing w:line="360" w:lineRule="auto" w:before="136" w:after="0"/>
        <w:ind w:left="701" w:right="116" w:hanging="361"/>
        <w:jc w:val="both"/>
        <w:rPr>
          <w:sz w:val="24"/>
        </w:rPr>
      </w:pPr>
      <w:r>
        <w:rPr>
          <w:sz w:val="24"/>
        </w:rPr>
        <w:t>Formación de foto-oxidantes (Photochemical Smog Formation): NOx y VOCs presentes en la atmósfera, en presencia de la luz UV del sol, empiezan una serie de reacciones fotoquímicas que conducen a la formación de O3, nitrato de peroxiacetilo (PAN), nitrato de peroxibenzoilo y otros. Todo ello puede provocar: problemas respiratorios, irritaciones ojos, garganta,</w:t>
      </w:r>
      <w:r>
        <w:rPr>
          <w:spacing w:val="-10"/>
          <w:sz w:val="24"/>
        </w:rPr>
        <w:t> </w:t>
      </w:r>
      <w:r>
        <w:rPr>
          <w:sz w:val="24"/>
        </w:rPr>
        <w:t>etc.</w:t>
      </w:r>
    </w:p>
    <w:p>
      <w:pPr>
        <w:pStyle w:val="ListParagraph"/>
        <w:numPr>
          <w:ilvl w:val="0"/>
          <w:numId w:val="50"/>
        </w:numPr>
        <w:tabs>
          <w:tab w:pos="701" w:val="left" w:leader="none"/>
        </w:tabs>
        <w:spacing w:line="360" w:lineRule="auto" w:before="2" w:after="0"/>
        <w:ind w:left="701" w:right="118" w:hanging="361"/>
        <w:jc w:val="both"/>
        <w:rPr>
          <w:sz w:val="24"/>
        </w:rPr>
      </w:pPr>
      <w:r>
        <w:rPr>
          <w:sz w:val="24"/>
        </w:rPr>
        <w:t>Acidificación: Se emiten a la atmósfera compuestos ácidos (ác. sulfúrico, ácido nítrico, óxidos de azufre, etc.) y luego pueden caer en forma de lluvia ácida.</w:t>
      </w:r>
    </w:p>
    <w:p>
      <w:pPr>
        <w:pStyle w:val="ListParagraph"/>
        <w:numPr>
          <w:ilvl w:val="0"/>
          <w:numId w:val="50"/>
        </w:numPr>
        <w:tabs>
          <w:tab w:pos="701" w:val="left" w:leader="none"/>
        </w:tabs>
        <w:spacing w:line="360" w:lineRule="auto" w:before="5" w:after="0"/>
        <w:ind w:left="701" w:right="113" w:hanging="361"/>
        <w:jc w:val="both"/>
        <w:rPr>
          <w:sz w:val="24"/>
        </w:rPr>
      </w:pPr>
      <w:r>
        <w:rPr>
          <w:sz w:val="24"/>
        </w:rPr>
        <w:t>Eutrofización: Cuando se produce un aporte </w:t>
      </w:r>
      <w:r>
        <w:rPr>
          <w:spacing w:val="-2"/>
          <w:sz w:val="24"/>
        </w:rPr>
        <w:t>más </w:t>
      </w:r>
      <w:r>
        <w:rPr>
          <w:sz w:val="24"/>
        </w:rPr>
        <w:t>o menos masivo de nutrientes inorgánicos a un ecosistema acuático, empiezan a  proliferar algas unicelulares, normalmente algas verdes. El gran crecimiento de algas provoca un enturbiamiento que impide que la luz penetre hasta el fondo </w:t>
      </w:r>
      <w:r>
        <w:rPr>
          <w:spacing w:val="4"/>
          <w:sz w:val="24"/>
        </w:rPr>
        <w:t>del </w:t>
      </w:r>
      <w:r>
        <w:rPr>
          <w:sz w:val="24"/>
        </w:rPr>
        <w:t>ecosistema. Como consecuencia en el fondo se hace imposible la fotosíntesis y aumenta la actividad metabólica consumidora de oxígeno de los organismos, que empiezan a recibir los excedentes de materia orgánica producidos cerca de la superficie. En el fondo se agota pronto el oxígeno. Esta alteración radical del ambiente hace inviable la existencia de la mayoría de las especies que previamente formaban el ecosistema. Ver </w:t>
      </w:r>
      <w:hyperlink w:history="true" w:anchor="_bookmark130">
        <w:r>
          <w:rPr>
            <w:sz w:val="24"/>
          </w:rPr>
          <w:t>Figura</w:t>
        </w:r>
        <w:r>
          <w:rPr>
            <w:spacing w:val="-7"/>
            <w:sz w:val="24"/>
          </w:rPr>
          <w:t> </w:t>
        </w:r>
        <w:r>
          <w:rPr>
            <w:sz w:val="24"/>
          </w:rPr>
          <w:t>3.6</w:t>
        </w:r>
      </w:hyperlink>
    </w:p>
    <w:p>
      <w:pPr>
        <w:spacing w:after="0" w:line="360" w:lineRule="auto"/>
        <w:jc w:val="both"/>
        <w:rPr>
          <w:sz w:val="24"/>
        </w:rPr>
        <w:sectPr>
          <w:pgSz w:w="12240" w:h="15840"/>
          <w:pgMar w:header="0" w:footer="1031" w:top="1460" w:bottom="1220" w:left="1720" w:right="1580"/>
        </w:sectPr>
      </w:pPr>
    </w:p>
    <w:p>
      <w:pPr>
        <w:pStyle w:val="BodyText"/>
        <w:ind w:left="544"/>
        <w:rPr>
          <w:sz w:val="20"/>
        </w:rPr>
      </w:pPr>
      <w:r>
        <w:rPr>
          <w:sz w:val="20"/>
        </w:rPr>
        <w:drawing>
          <wp:inline distT="0" distB="0" distL="0" distR="0">
            <wp:extent cx="5035034" cy="2903220"/>
            <wp:effectExtent l="0" t="0" r="0" b="0"/>
            <wp:docPr id="195" name="image102.jpeg" descr=""/>
            <wp:cNvGraphicFramePr>
              <a:graphicFrameLocks noChangeAspect="1"/>
            </wp:cNvGraphicFramePr>
            <a:graphic>
              <a:graphicData uri="http://schemas.openxmlformats.org/drawingml/2006/picture">
                <pic:pic>
                  <pic:nvPicPr>
                    <pic:cNvPr id="196" name="image102.jpeg"/>
                    <pic:cNvPicPr/>
                  </pic:nvPicPr>
                  <pic:blipFill>
                    <a:blip r:embed="rId165" cstate="print"/>
                    <a:stretch>
                      <a:fillRect/>
                    </a:stretch>
                  </pic:blipFill>
                  <pic:spPr>
                    <a:xfrm>
                      <a:off x="0" y="0"/>
                      <a:ext cx="5035034" cy="2903220"/>
                    </a:xfrm>
                    <a:prstGeom prst="rect">
                      <a:avLst/>
                    </a:prstGeom>
                  </pic:spPr>
                </pic:pic>
              </a:graphicData>
            </a:graphic>
          </wp:inline>
        </w:drawing>
      </w:r>
      <w:r>
        <w:rPr>
          <w:sz w:val="20"/>
        </w:rPr>
      </w:r>
    </w:p>
    <w:p>
      <w:pPr>
        <w:spacing w:before="116"/>
        <w:ind w:left="2097" w:right="0" w:firstLine="0"/>
        <w:jc w:val="left"/>
        <w:rPr>
          <w:sz w:val="18"/>
        </w:rPr>
      </w:pPr>
      <w:bookmarkStart w:name="_bookmark130" w:id="201"/>
      <w:bookmarkEnd w:id="201"/>
      <w:r>
        <w:rPr/>
      </w:r>
      <w:r>
        <w:rPr>
          <w:sz w:val="18"/>
        </w:rPr>
        <w:t>Figura 3.6. Categorías de impacto. (Fuente: Giménez, 2012: 8).</w:t>
      </w:r>
    </w:p>
    <w:p>
      <w:pPr>
        <w:pStyle w:val="BodyText"/>
        <w:rPr>
          <w:sz w:val="18"/>
        </w:rPr>
      </w:pPr>
    </w:p>
    <w:p>
      <w:pPr>
        <w:pStyle w:val="BodyText"/>
        <w:spacing w:before="3"/>
        <w:rPr>
          <w:sz w:val="18"/>
        </w:rPr>
      </w:pPr>
    </w:p>
    <w:p>
      <w:pPr>
        <w:pStyle w:val="BodyText"/>
        <w:spacing w:line="360" w:lineRule="auto"/>
        <w:ind w:left="100" w:right="101"/>
        <w:jc w:val="both"/>
      </w:pPr>
      <w:r>
        <w:rPr/>
        <w:t>Para enunciar el Eco-indicador 99 nos basaremos en Goedkoop et. al. (1999), donde señala que en el Eco-indicador 99 se ha definido el término “medio ambiente” según tres tipos de daños:</w:t>
      </w:r>
    </w:p>
    <w:p>
      <w:pPr>
        <w:pStyle w:val="BodyText"/>
      </w:pPr>
    </w:p>
    <w:p>
      <w:pPr>
        <w:pStyle w:val="ListParagraph"/>
        <w:numPr>
          <w:ilvl w:val="0"/>
          <w:numId w:val="51"/>
        </w:numPr>
        <w:tabs>
          <w:tab w:pos="821" w:val="left" w:leader="none"/>
        </w:tabs>
        <w:spacing w:line="360" w:lineRule="auto" w:before="142" w:after="0"/>
        <w:ind w:left="821" w:right="100" w:hanging="361"/>
        <w:jc w:val="both"/>
        <w:rPr>
          <w:sz w:val="24"/>
        </w:rPr>
      </w:pPr>
      <w:r>
        <w:rPr>
          <w:sz w:val="24"/>
        </w:rPr>
        <w:t>A la salud humana. En esta categoría incluimos el número y la duración de las enfermedades y los años de vida perdidos debido a la muerte prematura por causas ambientales. Los efectos aquí incluidos son: cambio climático, disminución de la capa de ozono, efectos cancerígenos y respiratorios y radiación ionizante</w:t>
      </w:r>
      <w:r>
        <w:rPr>
          <w:spacing w:val="-19"/>
          <w:sz w:val="24"/>
        </w:rPr>
        <w:t> </w:t>
      </w:r>
      <w:r>
        <w:rPr>
          <w:sz w:val="24"/>
        </w:rPr>
        <w:t>(nuclear).</w:t>
      </w:r>
    </w:p>
    <w:p>
      <w:pPr>
        <w:pStyle w:val="ListParagraph"/>
        <w:numPr>
          <w:ilvl w:val="0"/>
          <w:numId w:val="51"/>
        </w:numPr>
        <w:tabs>
          <w:tab w:pos="821" w:val="left" w:leader="none"/>
        </w:tabs>
        <w:spacing w:line="360" w:lineRule="auto" w:before="1" w:after="0"/>
        <w:ind w:left="821" w:right="98" w:hanging="361"/>
        <w:jc w:val="both"/>
        <w:rPr>
          <w:sz w:val="24"/>
        </w:rPr>
      </w:pPr>
      <w:r>
        <w:rPr>
          <w:sz w:val="24"/>
        </w:rPr>
        <w:t>Ala calidad del medio ambiente. En esta categoría incluimos el efecto sobre la diversidad de especies, especialmente en plantas vasculares y los organismos sencillos. Entre los efectos incluidos están la ecotoxicidad, acidificación, eutrofización, y el uso del</w:t>
      </w:r>
      <w:r>
        <w:rPr>
          <w:spacing w:val="-30"/>
          <w:sz w:val="24"/>
        </w:rPr>
        <w:t> </w:t>
      </w:r>
      <w:r>
        <w:rPr>
          <w:sz w:val="24"/>
        </w:rPr>
        <w:t>suelo.</w:t>
      </w:r>
    </w:p>
    <w:p>
      <w:pPr>
        <w:pStyle w:val="BodyText"/>
      </w:pPr>
    </w:p>
    <w:p>
      <w:pPr>
        <w:pStyle w:val="ListParagraph"/>
        <w:numPr>
          <w:ilvl w:val="0"/>
          <w:numId w:val="51"/>
        </w:numPr>
        <w:tabs>
          <w:tab w:pos="821" w:val="left" w:leader="none"/>
        </w:tabs>
        <w:spacing w:line="360" w:lineRule="auto" w:before="142" w:after="0"/>
        <w:ind w:left="821" w:right="104" w:hanging="361"/>
        <w:jc w:val="both"/>
        <w:rPr>
          <w:sz w:val="24"/>
        </w:rPr>
      </w:pPr>
      <w:r>
        <w:rPr>
          <w:sz w:val="24"/>
        </w:rPr>
        <w:t>A los recursos. En esta categoría incluimos la necesidad extra requerida de energía en el futuro para extraer mineral de baja calidad y recursos fósiles. La disminución de los recursos brutos, tales como arena y gravilla se incluyen dentro del uso del</w:t>
      </w:r>
      <w:r>
        <w:rPr>
          <w:spacing w:val="-16"/>
          <w:sz w:val="24"/>
        </w:rPr>
        <w:t> </w:t>
      </w:r>
      <w:r>
        <w:rPr>
          <w:sz w:val="24"/>
        </w:rPr>
        <w:t>suelo.</w:t>
      </w:r>
    </w:p>
    <w:p>
      <w:pPr>
        <w:spacing w:after="0" w:line="360" w:lineRule="auto"/>
        <w:jc w:val="both"/>
        <w:rPr>
          <w:sz w:val="24"/>
        </w:rPr>
        <w:sectPr>
          <w:pgSz w:w="12240" w:h="15840"/>
          <w:pgMar w:header="0" w:footer="1031" w:top="1460" w:bottom="1220" w:left="1600" w:right="1600"/>
        </w:sectPr>
      </w:pPr>
    </w:p>
    <w:p>
      <w:pPr>
        <w:pStyle w:val="Heading3"/>
        <w:spacing w:before="47"/>
      </w:pPr>
      <w:r>
        <w:rPr/>
        <w:t>Descripción de los Eco-indicadores estándar</w:t>
      </w:r>
    </w:p>
    <w:p>
      <w:pPr>
        <w:pStyle w:val="BodyText"/>
        <w:spacing w:before="140"/>
        <w:ind w:left="100"/>
        <w:jc w:val="both"/>
      </w:pPr>
      <w:r>
        <w:rPr/>
        <w:t>Los valores estándar de Eco-indicador 99 se clasifican en:</w:t>
      </w:r>
    </w:p>
    <w:p>
      <w:pPr>
        <w:pStyle w:val="ListParagraph"/>
        <w:numPr>
          <w:ilvl w:val="1"/>
          <w:numId w:val="50"/>
        </w:numPr>
        <w:tabs>
          <w:tab w:pos="821" w:val="left" w:leader="none"/>
        </w:tabs>
        <w:spacing w:line="362" w:lineRule="auto" w:before="136" w:after="0"/>
        <w:ind w:left="821" w:right="102" w:hanging="361"/>
        <w:jc w:val="both"/>
        <w:rPr>
          <w:sz w:val="24"/>
        </w:rPr>
      </w:pPr>
      <w:r>
        <w:rPr>
          <w:b/>
          <w:sz w:val="24"/>
        </w:rPr>
        <w:t>Materiales: </w:t>
      </w:r>
      <w:r>
        <w:rPr>
          <w:sz w:val="24"/>
        </w:rPr>
        <w:t>los eco-indicadores de materiales se miden según la medida de 1 kilo de</w:t>
      </w:r>
      <w:r>
        <w:rPr>
          <w:spacing w:val="-12"/>
          <w:sz w:val="24"/>
        </w:rPr>
        <w:t> </w:t>
      </w:r>
      <w:r>
        <w:rPr>
          <w:sz w:val="24"/>
        </w:rPr>
        <w:t>material.</w:t>
      </w:r>
    </w:p>
    <w:p>
      <w:pPr>
        <w:pStyle w:val="ListParagraph"/>
        <w:numPr>
          <w:ilvl w:val="1"/>
          <w:numId w:val="50"/>
        </w:numPr>
        <w:tabs>
          <w:tab w:pos="821" w:val="left" w:leader="none"/>
        </w:tabs>
        <w:spacing w:line="362" w:lineRule="auto" w:before="0" w:after="0"/>
        <w:ind w:left="821" w:right="101" w:hanging="361"/>
        <w:jc w:val="both"/>
        <w:rPr>
          <w:sz w:val="24"/>
        </w:rPr>
      </w:pPr>
      <w:r>
        <w:rPr>
          <w:b/>
          <w:sz w:val="24"/>
        </w:rPr>
        <w:t>Procesos de producción</w:t>
      </w:r>
      <w:r>
        <w:rPr>
          <w:sz w:val="24"/>
        </w:rPr>
        <w:t>: tratamiento y procesado de varios materiales. Cada tratamiento se expresa en la unidad apropiada al proceso particular (metros cuadrados, kilos, metros soldados,</w:t>
      </w:r>
      <w:r>
        <w:rPr>
          <w:spacing w:val="-25"/>
          <w:sz w:val="24"/>
        </w:rPr>
        <w:t> </w:t>
      </w:r>
      <w:r>
        <w:rPr>
          <w:sz w:val="24"/>
        </w:rPr>
        <w:t>etc.).</w:t>
      </w:r>
    </w:p>
    <w:p>
      <w:pPr>
        <w:pStyle w:val="ListParagraph"/>
        <w:numPr>
          <w:ilvl w:val="1"/>
          <w:numId w:val="50"/>
        </w:numPr>
        <w:tabs>
          <w:tab w:pos="821" w:val="left" w:leader="none"/>
        </w:tabs>
        <w:spacing w:line="364" w:lineRule="auto" w:before="0" w:after="0"/>
        <w:ind w:left="821" w:right="103" w:hanging="361"/>
        <w:jc w:val="both"/>
        <w:rPr>
          <w:sz w:val="24"/>
        </w:rPr>
      </w:pPr>
      <w:r>
        <w:rPr>
          <w:b/>
          <w:sz w:val="24"/>
        </w:rPr>
        <w:t>Procesos de transporte: </w:t>
      </w:r>
      <w:r>
        <w:rPr>
          <w:sz w:val="24"/>
        </w:rPr>
        <w:t>se expresan normalmente en toneladas por kilómetro.</w:t>
      </w:r>
    </w:p>
    <w:p>
      <w:pPr>
        <w:pStyle w:val="ListParagraph"/>
        <w:numPr>
          <w:ilvl w:val="1"/>
          <w:numId w:val="50"/>
        </w:numPr>
        <w:tabs>
          <w:tab w:pos="821" w:val="left" w:leader="none"/>
        </w:tabs>
        <w:spacing w:line="364" w:lineRule="auto" w:before="0" w:after="0"/>
        <w:ind w:left="821" w:right="103" w:hanging="361"/>
        <w:jc w:val="both"/>
        <w:rPr>
          <w:sz w:val="24"/>
        </w:rPr>
      </w:pPr>
      <w:r>
        <w:rPr>
          <w:b/>
          <w:sz w:val="24"/>
        </w:rPr>
        <w:t>Procesos de generación de energía</w:t>
      </w:r>
      <w:r>
        <w:rPr>
          <w:sz w:val="24"/>
        </w:rPr>
        <w:t>: se determinan unidades para electricidad y</w:t>
      </w:r>
      <w:r>
        <w:rPr>
          <w:spacing w:val="-14"/>
          <w:sz w:val="24"/>
        </w:rPr>
        <w:t> </w:t>
      </w:r>
      <w:r>
        <w:rPr>
          <w:sz w:val="24"/>
        </w:rPr>
        <w:t>calor.</w:t>
      </w:r>
    </w:p>
    <w:p>
      <w:pPr>
        <w:pStyle w:val="ListParagraph"/>
        <w:numPr>
          <w:ilvl w:val="1"/>
          <w:numId w:val="50"/>
        </w:numPr>
        <w:tabs>
          <w:tab w:pos="821" w:val="left" w:leader="none"/>
        </w:tabs>
        <w:spacing w:line="362" w:lineRule="auto" w:before="0" w:after="0"/>
        <w:ind w:left="821" w:right="104" w:hanging="361"/>
        <w:jc w:val="both"/>
        <w:rPr>
          <w:sz w:val="24"/>
        </w:rPr>
      </w:pPr>
      <w:r>
        <w:rPr>
          <w:b/>
          <w:sz w:val="24"/>
        </w:rPr>
        <w:t>Escenarios de eliminación</w:t>
      </w:r>
      <w:r>
        <w:rPr>
          <w:sz w:val="24"/>
        </w:rPr>
        <w:t>: se expresan por kilos o materiales, subdivididos en los tipos de materiales y en los métodos para proceder a su desecho.</w:t>
      </w:r>
    </w:p>
    <w:p>
      <w:pPr>
        <w:pStyle w:val="Heading3"/>
        <w:spacing w:before="159"/>
        <w:rPr>
          <w:b w:val="0"/>
        </w:rPr>
      </w:pPr>
      <w:r>
        <w:rPr/>
        <w:t>Instrucciones de manejo</w:t>
      </w:r>
      <w:r>
        <w:rPr>
          <w:b w:val="0"/>
        </w:rPr>
        <w:t>.</w:t>
      </w:r>
    </w:p>
    <w:p>
      <w:pPr>
        <w:pStyle w:val="BodyText"/>
        <w:spacing w:line="357" w:lineRule="auto" w:before="140"/>
        <w:ind w:left="100" w:right="101"/>
        <w:jc w:val="both"/>
      </w:pPr>
      <w:r>
        <w:rPr/>
        <w:t>Para utilizar los Eco-indicadores de manera adecuada deben seguirse los siguientes pasos:</w:t>
      </w:r>
    </w:p>
    <w:p>
      <w:pPr>
        <w:pStyle w:val="ListParagraph"/>
        <w:numPr>
          <w:ilvl w:val="0"/>
          <w:numId w:val="52"/>
        </w:numPr>
        <w:tabs>
          <w:tab w:pos="821" w:val="left" w:leader="none"/>
        </w:tabs>
        <w:spacing w:line="240" w:lineRule="auto" w:before="8" w:after="0"/>
        <w:ind w:left="821" w:right="0" w:hanging="361"/>
        <w:jc w:val="left"/>
        <w:rPr>
          <w:sz w:val="24"/>
        </w:rPr>
      </w:pPr>
      <w:r>
        <w:rPr>
          <w:sz w:val="24"/>
        </w:rPr>
        <w:t>Definir el propósito del cálculo de los</w:t>
      </w:r>
      <w:r>
        <w:rPr>
          <w:spacing w:val="-27"/>
          <w:sz w:val="24"/>
        </w:rPr>
        <w:t> </w:t>
      </w:r>
      <w:r>
        <w:rPr>
          <w:sz w:val="24"/>
        </w:rPr>
        <w:t>Eco-indicadores,</w:t>
      </w:r>
    </w:p>
    <w:p>
      <w:pPr>
        <w:pStyle w:val="ListParagraph"/>
        <w:numPr>
          <w:ilvl w:val="0"/>
          <w:numId w:val="52"/>
        </w:numPr>
        <w:tabs>
          <w:tab w:pos="821" w:val="left" w:leader="none"/>
        </w:tabs>
        <w:spacing w:line="240" w:lineRule="auto" w:before="136" w:after="0"/>
        <w:ind w:left="821" w:right="0" w:hanging="361"/>
        <w:jc w:val="left"/>
        <w:rPr>
          <w:sz w:val="24"/>
        </w:rPr>
      </w:pPr>
      <w:r>
        <w:rPr>
          <w:sz w:val="24"/>
        </w:rPr>
        <w:t>Definir el Ciclo de</w:t>
      </w:r>
      <w:r>
        <w:rPr>
          <w:spacing w:val="-17"/>
          <w:sz w:val="24"/>
        </w:rPr>
        <w:t> </w:t>
      </w:r>
      <w:r>
        <w:rPr>
          <w:sz w:val="24"/>
        </w:rPr>
        <w:t>Vida,</w:t>
      </w:r>
    </w:p>
    <w:p>
      <w:pPr>
        <w:pStyle w:val="ListParagraph"/>
        <w:numPr>
          <w:ilvl w:val="0"/>
          <w:numId w:val="52"/>
        </w:numPr>
        <w:tabs>
          <w:tab w:pos="821" w:val="left" w:leader="none"/>
        </w:tabs>
        <w:spacing w:line="240" w:lineRule="auto" w:before="140" w:after="0"/>
        <w:ind w:left="821" w:right="0" w:hanging="361"/>
        <w:jc w:val="left"/>
        <w:rPr>
          <w:sz w:val="24"/>
        </w:rPr>
      </w:pPr>
      <w:r>
        <w:rPr>
          <w:sz w:val="24"/>
        </w:rPr>
        <w:t>Cuantificar los materiales y</w:t>
      </w:r>
      <w:r>
        <w:rPr>
          <w:spacing w:val="-27"/>
          <w:sz w:val="24"/>
        </w:rPr>
        <w:t> </w:t>
      </w:r>
      <w:r>
        <w:rPr>
          <w:sz w:val="24"/>
        </w:rPr>
        <w:t>procesos</w:t>
      </w:r>
    </w:p>
    <w:p>
      <w:pPr>
        <w:pStyle w:val="ListParagraph"/>
        <w:numPr>
          <w:ilvl w:val="0"/>
          <w:numId w:val="52"/>
        </w:numPr>
        <w:tabs>
          <w:tab w:pos="821" w:val="left" w:leader="none"/>
        </w:tabs>
        <w:spacing w:line="240" w:lineRule="auto" w:before="136" w:after="0"/>
        <w:ind w:left="821" w:right="0" w:hanging="361"/>
        <w:jc w:val="left"/>
        <w:rPr>
          <w:sz w:val="24"/>
        </w:rPr>
      </w:pPr>
      <w:r>
        <w:rPr>
          <w:sz w:val="24"/>
        </w:rPr>
        <w:t>Rellenar el</w:t>
      </w:r>
      <w:r>
        <w:rPr>
          <w:spacing w:val="-15"/>
          <w:sz w:val="24"/>
        </w:rPr>
        <w:t> </w:t>
      </w:r>
      <w:r>
        <w:rPr>
          <w:sz w:val="24"/>
        </w:rPr>
        <w:t>formulario</w:t>
      </w:r>
    </w:p>
    <w:p>
      <w:pPr>
        <w:pStyle w:val="ListParagraph"/>
        <w:numPr>
          <w:ilvl w:val="0"/>
          <w:numId w:val="52"/>
        </w:numPr>
        <w:tabs>
          <w:tab w:pos="821" w:val="left" w:leader="none"/>
        </w:tabs>
        <w:spacing w:line="240" w:lineRule="auto" w:before="140" w:after="0"/>
        <w:ind w:left="821" w:right="0" w:hanging="361"/>
        <w:jc w:val="left"/>
        <w:rPr>
          <w:sz w:val="24"/>
        </w:rPr>
      </w:pPr>
      <w:r>
        <w:rPr>
          <w:sz w:val="24"/>
        </w:rPr>
        <w:t>Interpretar los</w:t>
      </w:r>
      <w:r>
        <w:rPr>
          <w:spacing w:val="-18"/>
          <w:sz w:val="24"/>
        </w:rPr>
        <w:t> </w:t>
      </w:r>
      <w:r>
        <w:rPr>
          <w:sz w:val="24"/>
        </w:rPr>
        <w:t>resultados</w:t>
      </w:r>
    </w:p>
    <w:p>
      <w:pPr>
        <w:pStyle w:val="BodyText"/>
        <w:spacing w:before="8"/>
        <w:rPr>
          <w:sz w:val="25"/>
        </w:rPr>
      </w:pPr>
    </w:p>
    <w:p>
      <w:pPr>
        <w:pStyle w:val="BodyText"/>
        <w:spacing w:line="360" w:lineRule="auto" w:before="1"/>
        <w:ind w:left="100" w:right="104"/>
        <w:jc w:val="both"/>
      </w:pPr>
      <w:r>
        <w:rPr/>
        <w:t>En la mayoría de los casos se recomienda empezar de forma sencilla y efectuar  un cálculo “por encima” al principio. Luego se podrán ir añadiendo detalles y los datos se podrán revisar o complementar después, eso evita las pérdidas  de tiempo en los</w:t>
      </w:r>
      <w:r>
        <w:rPr>
          <w:spacing w:val="-18"/>
        </w:rPr>
        <w:t> </w:t>
      </w:r>
      <w:r>
        <w:rPr/>
        <w:t>detalles.</w:t>
      </w:r>
    </w:p>
    <w:p>
      <w:pPr>
        <w:pStyle w:val="BodyText"/>
      </w:pPr>
    </w:p>
    <w:p>
      <w:pPr>
        <w:pStyle w:val="BodyText"/>
        <w:spacing w:line="360" w:lineRule="auto" w:before="142"/>
        <w:ind w:left="100" w:right="100"/>
        <w:jc w:val="both"/>
      </w:pPr>
      <w:r>
        <w:rPr/>
        <w:t>Algunos métodos y programas para la evaluación de impacto de ACV se mencionan a continuación. Hay distintos métodos para la evaluación de impacto de  ACV.  Entre  ellos  se  podrían  citar  los  siguientes:  CML,  Eco-indicator   </w:t>
      </w:r>
      <w:r>
        <w:rPr>
          <w:spacing w:val="30"/>
        </w:rPr>
        <w:t> </w:t>
      </w:r>
      <w:r>
        <w:rPr/>
        <w:t>99,</w:t>
      </w:r>
    </w:p>
    <w:p>
      <w:pPr>
        <w:spacing w:after="0" w:line="360" w:lineRule="auto"/>
        <w:jc w:val="both"/>
        <w:sectPr>
          <w:pgSz w:w="12240" w:h="15840"/>
          <w:pgMar w:header="0" w:footer="1031" w:top="1500" w:bottom="1220" w:left="1600" w:right="1600"/>
        </w:sectPr>
      </w:pPr>
    </w:p>
    <w:p>
      <w:pPr>
        <w:pStyle w:val="BodyText"/>
        <w:spacing w:before="4"/>
        <w:rPr>
          <w:sz w:val="12"/>
        </w:rPr>
      </w:pPr>
    </w:p>
    <w:p>
      <w:pPr>
        <w:pStyle w:val="BodyText"/>
        <w:spacing w:line="360" w:lineRule="auto" w:before="69"/>
        <w:ind w:left="100" w:right="101"/>
        <w:jc w:val="both"/>
      </w:pPr>
      <w:r>
        <w:rPr/>
        <w:t>ReCiPe, USEtox, IPCC 2007, EPD, Impact 2002+, Traci 2, BEES, Ecological Footprint EDIP 2003, Ecologicalscarcity 2006, EPS 2000, Greenhouse GasProtocol y otros. Quizá los más usados sean los dos primeros, el CML como metodología de midpoint y el Eco-indicator 99 como metodología de endpoint, siendo el ReCiPe un intento de conjugar ambos en una sola</w:t>
      </w:r>
      <w:r>
        <w:rPr>
          <w:spacing w:val="-37"/>
        </w:rPr>
        <w:t> </w:t>
      </w:r>
      <w:r>
        <w:rPr/>
        <w:t>metodología.</w:t>
      </w:r>
    </w:p>
    <w:p>
      <w:pPr>
        <w:pStyle w:val="BodyText"/>
      </w:pPr>
    </w:p>
    <w:p>
      <w:pPr>
        <w:pStyle w:val="BodyText"/>
        <w:spacing w:line="360" w:lineRule="auto" w:before="142"/>
        <w:ind w:left="100" w:right="104"/>
        <w:jc w:val="both"/>
      </w:pPr>
      <w:r>
        <w:rPr/>
        <w:t>Por lo que respecta a programas informáticos para la aplicación del ACV se dispone de varios en el mercado, los cuales poseen ya las bases de datos incorporadas.</w:t>
      </w:r>
    </w:p>
    <w:p>
      <w:pPr>
        <w:pStyle w:val="BodyText"/>
      </w:pPr>
    </w:p>
    <w:p>
      <w:pPr>
        <w:pStyle w:val="BodyText"/>
        <w:spacing w:line="360" w:lineRule="auto" w:before="142"/>
        <w:ind w:left="100" w:right="101"/>
        <w:jc w:val="both"/>
      </w:pPr>
      <w:r>
        <w:rPr/>
        <w:t>A pesar de que cada uno de ellos tiene sus propias características, casi  todos ellos se basan en la misma metodología y presentan rasgos comunes. Sus aplicaciones cambian en función de la etapa del ciclo de vida; desde el desarrollo de un concepto de producto, hasta que el producto está listo para salir al mercado o debe ser desmontado para su reutilización o vertido final.</w:t>
      </w:r>
    </w:p>
    <w:p>
      <w:pPr>
        <w:pStyle w:val="BodyText"/>
        <w:spacing w:before="11"/>
        <w:rPr>
          <w:sz w:val="35"/>
        </w:rPr>
      </w:pPr>
    </w:p>
    <w:p>
      <w:pPr>
        <w:pStyle w:val="BodyText"/>
        <w:spacing w:line="360" w:lineRule="auto"/>
        <w:ind w:left="100" w:right="101" w:firstLine="68"/>
        <w:jc w:val="both"/>
      </w:pPr>
      <w:r>
        <w:rPr/>
        <w:t>Entre ellos cabe destacar: LCAmanager, CMLCA (Leiden University, Institute of Environmental Sciences, CML), SimaPro (PRéConsultants, empresa holandesa), GaBi (desarrollado por la empresa PE International), AthenaModel (AthenaInstitute), Umberto, Eco-it, Eco-edit, Ciclope, EcoScan, EcoLab, Team, Green-e, PT lser, LCAiT-CIT Ekologic, Design System, KLC-ECO, entre otros. Los más utilizados por la comunidad científica suelen ser el SimaPro y el GaBi.</w:t>
      </w:r>
    </w:p>
    <w:p>
      <w:pPr>
        <w:spacing w:after="0" w:line="360" w:lineRule="auto"/>
        <w:jc w:val="both"/>
        <w:sectPr>
          <w:pgSz w:w="12240" w:h="15840"/>
          <w:pgMar w:header="0" w:footer="1031" w:top="1500" w:bottom="1220" w:left="1600" w:right="1600"/>
        </w:sectPr>
      </w:pPr>
    </w:p>
    <w:p>
      <w:pPr>
        <w:pStyle w:val="Heading2"/>
        <w:spacing w:before="49"/>
        <w:ind w:left="120" w:firstLine="0"/>
      </w:pPr>
      <w:bookmarkStart w:name="3.4. Conclusiones de conceptos básicos d" w:id="202"/>
      <w:bookmarkEnd w:id="202"/>
      <w:r>
        <w:rPr/>
      </w:r>
      <w:bookmarkStart w:name="_bookmark131" w:id="203"/>
      <w:bookmarkEnd w:id="203"/>
      <w:r>
        <w:rPr/>
      </w:r>
      <w:r>
        <w:rPr/>
        <w:t>3.4. Conclusiones de conceptos básicos de sustentabilidad</w:t>
      </w:r>
    </w:p>
    <w:p>
      <w:pPr>
        <w:pStyle w:val="BodyText"/>
        <w:rPr>
          <w:sz w:val="28"/>
        </w:rPr>
      </w:pPr>
    </w:p>
    <w:p>
      <w:pPr>
        <w:pStyle w:val="BodyText"/>
        <w:spacing w:before="8"/>
        <w:rPr>
          <w:sz w:val="22"/>
        </w:rPr>
      </w:pPr>
    </w:p>
    <w:p>
      <w:pPr>
        <w:pStyle w:val="BodyText"/>
        <w:spacing w:line="360" w:lineRule="auto"/>
        <w:ind w:left="120" w:right="115"/>
        <w:jc w:val="both"/>
      </w:pPr>
      <w:r>
        <w:rPr/>
        <w:t>La práctica de la escultura y el manejo de los materiales tradicionales me ha permitido explorar diferentes procesos, un proceso constantemente utilizado es la fabricación de moldes, en el caso concreto el uso de FV, material industrial, es común que en los talleres escultóricos no se cuente con el equipo de seguridad ni con las instalaciones adecuadas como extractores de vapores para utilizar dicho material, ya que este es aplicado de manera artesanal. Este proceso es incómodo durante su ejecución para la piel, ojos y nariz (considerado material tóxico), debido a esto se propone el tema de “Estudio de tecnología de modelado 3D para su aplicación en escultura sustentable” porque se necesita encontrar  otras alternativas en que puedan sustituir este método, y además que solucione problemas frecuentes en el proceso creativo de bocetaje y producción, considerando todo lo que implica utilizar FV.</w:t>
      </w:r>
    </w:p>
    <w:p>
      <w:pPr>
        <w:pStyle w:val="BodyText"/>
        <w:spacing w:before="3"/>
        <w:rPr>
          <w:sz w:val="33"/>
        </w:rPr>
      </w:pPr>
    </w:p>
    <w:p>
      <w:pPr>
        <w:pStyle w:val="BodyText"/>
        <w:spacing w:line="360" w:lineRule="auto"/>
        <w:ind w:left="120" w:right="116"/>
        <w:jc w:val="both"/>
      </w:pPr>
      <w:r>
        <w:rPr/>
        <w:t>Por ejemplo en el proceso creativo de bocetaje si se utiliza material yeso </w:t>
      </w:r>
      <w:r>
        <w:rPr>
          <w:position w:val="11"/>
          <w:sz w:val="16"/>
        </w:rPr>
        <w:t>2 </w:t>
      </w:r>
      <w:r>
        <w:rPr/>
        <w:t>o plastilina, por lo general para realizar una pieza se realizan hasta 20 bocetos pequeños (de 10 a 15 cm) a escala, y de esas 20 piezas de volumen solo se elige una, es trabajo y material necesarios, ¿pero se puede ahorrar dicho material? Si, cuando en un software de dibujo 3D puedes dibujar ahorrando todo ese material, y de eso están muy seguros los escultores digitales.</w:t>
      </w:r>
    </w:p>
    <w:p>
      <w:pPr>
        <w:pStyle w:val="BodyText"/>
      </w:pPr>
    </w:p>
    <w:p>
      <w:pPr>
        <w:pStyle w:val="BodyText"/>
        <w:spacing w:line="350" w:lineRule="auto" w:before="141"/>
        <w:ind w:left="120" w:right="121"/>
        <w:jc w:val="both"/>
      </w:pPr>
      <w:r>
        <w:rPr/>
        <w:t>Para decidir tomar otro proceso de modelado escultórico, lo que preocupa al escultor es el dinero, puesto que “los materiales tradicionales” tienen la ventaja de ser muy económicos, aunque en algunos procesos se eleva el gasto</w:t>
      </w:r>
      <w:r>
        <w:rPr>
          <w:position w:val="11"/>
          <w:sz w:val="16"/>
        </w:rPr>
        <w:t>3 </w:t>
      </w:r>
      <w:r>
        <w:rPr/>
        <w:t>¿De qué sirve cambiar el método si resultaría más costoso?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0"/>
        </w:rPr>
      </w:pPr>
      <w:r>
        <w:rPr/>
        <w:pict>
          <v:line style="position:absolute;mso-position-horizontal-relative:page;mso-position-vertical-relative:paragraph;z-index:2056;mso-wrap-distance-left:0;mso-wrap-distance-right:0" from="85.025002pt,8.515055pt" to="229.075002pt,8.515055pt" stroked="true" strokeweight=".599980pt" strokecolor="#000000">
            <w10:wrap type="topAndBottom"/>
          </v:line>
        </w:pict>
      </w:r>
    </w:p>
    <w:p>
      <w:pPr>
        <w:pStyle w:val="BodyText"/>
        <w:spacing w:before="5"/>
        <w:rPr>
          <w:sz w:val="7"/>
        </w:rPr>
      </w:pPr>
    </w:p>
    <w:p>
      <w:pPr>
        <w:spacing w:before="87"/>
        <w:ind w:left="120" w:right="0" w:firstLine="0"/>
        <w:jc w:val="left"/>
        <w:rPr>
          <w:sz w:val="18"/>
        </w:rPr>
      </w:pPr>
      <w:r>
        <w:rPr>
          <w:position w:val="9"/>
          <w:sz w:val="12"/>
        </w:rPr>
        <w:t>2 </w:t>
      </w:r>
      <w:r>
        <w:rPr>
          <w:sz w:val="18"/>
        </w:rPr>
        <w:t>El yeso no se puede volver a fraguar, solo se puede reciclar ahogado como relleno de volumen en otros vaciados.</w:t>
      </w:r>
    </w:p>
    <w:p>
      <w:pPr>
        <w:spacing w:line="208" w:lineRule="exact" w:before="0"/>
        <w:ind w:left="120" w:right="0" w:firstLine="0"/>
        <w:jc w:val="left"/>
        <w:rPr>
          <w:sz w:val="18"/>
        </w:rPr>
      </w:pPr>
      <w:r>
        <w:rPr>
          <w:position w:val="9"/>
          <w:sz w:val="12"/>
        </w:rPr>
        <w:t>3  </w:t>
      </w:r>
      <w:r>
        <w:rPr>
          <w:sz w:val="18"/>
        </w:rPr>
        <w:t>Un proceso tradicional puede tener alto consumo de energía eléctrica.</w:t>
      </w:r>
    </w:p>
    <w:p>
      <w:pPr>
        <w:spacing w:after="0" w:line="208" w:lineRule="exact"/>
        <w:jc w:val="left"/>
        <w:rPr>
          <w:sz w:val="18"/>
        </w:rPr>
        <w:sectPr>
          <w:pgSz w:w="12240" w:h="15840"/>
          <w:pgMar w:header="0" w:footer="1031" w:top="1360" w:bottom="1220" w:left="1580" w:right="1580"/>
        </w:sectPr>
      </w:pPr>
    </w:p>
    <w:p>
      <w:pPr>
        <w:pStyle w:val="BodyText"/>
        <w:spacing w:line="360" w:lineRule="auto" w:before="55"/>
        <w:ind w:left="120" w:right="117"/>
        <w:jc w:val="both"/>
      </w:pPr>
      <w:r>
        <w:rPr/>
        <w:t>Para poder comprobar si es factible practicar los otros nuevos procesos, se decide experimentar con el ejemplo de una escultura BM, y compararla en costos, daños a la salud de la persona y el impacto</w:t>
      </w:r>
      <w:r>
        <w:rPr>
          <w:spacing w:val="-27"/>
        </w:rPr>
        <w:t> </w:t>
      </w:r>
      <w:r>
        <w:rPr/>
        <w:t>ambiental.</w:t>
      </w:r>
    </w:p>
    <w:p>
      <w:pPr>
        <w:pStyle w:val="BodyText"/>
      </w:pPr>
    </w:p>
    <w:p>
      <w:pPr>
        <w:pStyle w:val="BodyText"/>
        <w:spacing w:line="345" w:lineRule="auto" w:before="142"/>
        <w:ind w:left="120" w:right="114"/>
        <w:jc w:val="both"/>
      </w:pPr>
      <w:r>
        <w:rPr/>
        <w:t>El impacto ambiental como uno de los factores del desarrollo sustentable preocupa, puesto que dentro del quehacer de los procesos del escultor se observa en la praxis cierta renuencia al considerar el medio ambiente</w:t>
      </w:r>
      <w:r>
        <w:rPr>
          <w:position w:val="11"/>
          <w:sz w:val="16"/>
        </w:rPr>
        <w:t>4</w:t>
      </w:r>
      <w:r>
        <w:rPr/>
        <w:t>. En todas las </w:t>
      </w:r>
      <w:r>
        <w:rPr>
          <w:spacing w:val="54"/>
        </w:rPr>
        <w:t> </w:t>
      </w:r>
      <w:r>
        <w:rPr/>
        <w:t>áreas</w:t>
      </w:r>
    </w:p>
    <w:p>
      <w:pPr>
        <w:pStyle w:val="BodyText"/>
        <w:spacing w:line="360" w:lineRule="auto" w:before="5"/>
        <w:ind w:left="120" w:right="116"/>
        <w:jc w:val="both"/>
      </w:pPr>
      <w:r>
        <w:rPr/>
        <w:t>de práctica industrial tienen procesos normados bajo la visión del Eco-diseño, que inclusive están normados en los procesos, pero en el arte donde “todo se vale” se percibe negligencia donde nada controla el cuidado que se debería tener en el manejo y desecho de los materiales tóxicos.</w:t>
      </w:r>
    </w:p>
    <w:p>
      <w:pPr>
        <w:pStyle w:val="BodyText"/>
      </w:pPr>
    </w:p>
    <w:p>
      <w:pPr>
        <w:pStyle w:val="BodyText"/>
        <w:spacing w:line="360" w:lineRule="auto" w:before="142"/>
        <w:ind w:left="120" w:right="122"/>
        <w:jc w:val="both"/>
      </w:pPr>
      <w:r>
        <w:rPr/>
        <w:t>El desarrollo sustentable está conformado por los aspectos económico, social y ambiental; en este caso funcionan para realizar un comparativo de fabricación y análisis para determinar cual es más favorable tomando en cuenta los criterios de sustentabilidad, para ello se utiliza una herramienta de medición como es el Sima Pro que se encarga de medir las entradas y salidas de ambos procesos.</w:t>
      </w:r>
    </w:p>
    <w:p>
      <w:pPr>
        <w:pStyle w:val="BodyText"/>
      </w:pPr>
    </w:p>
    <w:p>
      <w:pPr>
        <w:pStyle w:val="BodyText"/>
        <w:spacing w:line="360" w:lineRule="auto" w:before="142"/>
        <w:ind w:left="120" w:right="122"/>
        <w:jc w:val="both"/>
      </w:pPr>
      <w:r>
        <w:rPr/>
        <w:t>Para dicho análisis se consideran los criterios relevantes de la fabricación como los gastos que se generan y pertenecen al aspecto económico; los daños a la salud por lapsos prolongados de tiempo de inhalar los solventes utilizados en el proceso y que se engloban el aspecto social, este indica que se debe buscar  algún beneficio para el usuario; y por último el aspecto medioambiental que tiene el compromiso de concientizar y decidir la sustitución de los procesos tradicionales escultóricos en otros métodos innovadores que beneficien a la sociedad y que generan menor impacto</w:t>
      </w:r>
      <w:r>
        <w:rPr>
          <w:spacing w:val="-19"/>
        </w:rPr>
        <w:t> </w:t>
      </w:r>
      <w:r>
        <w:rPr/>
        <w:t>ambiental.</w:t>
      </w:r>
    </w:p>
    <w:p>
      <w:pPr>
        <w:pStyle w:val="BodyText"/>
      </w:pPr>
    </w:p>
    <w:p>
      <w:pPr>
        <w:pStyle w:val="BodyText"/>
        <w:spacing w:line="360" w:lineRule="auto" w:before="142"/>
        <w:ind w:left="120" w:right="125"/>
        <w:jc w:val="both"/>
      </w:pPr>
      <w:r>
        <w:rPr/>
        <w:t>La sustentabilidad es un enfoque que si funciona muy bien en el campo del diseño también puede para el arte, al tratar de buscar materiales y procesos dentro de </w:t>
      </w:r>
      <w:r>
        <w:rPr>
          <w:spacing w:val="59"/>
        </w:rPr>
        <w:t> </w:t>
      </w:r>
      <w:r>
        <w:rPr/>
        <w:t>la</w:t>
      </w:r>
    </w:p>
    <w:p>
      <w:pPr>
        <w:pStyle w:val="BodyText"/>
        <w:spacing w:before="1"/>
        <w:rPr>
          <w:sz w:val="26"/>
        </w:rPr>
      </w:pPr>
      <w:r>
        <w:rPr/>
        <w:pict>
          <v:line style="position:absolute;mso-position-horizontal-relative:page;mso-position-vertical-relative:paragraph;z-index:2080;mso-wrap-distance-left:0;mso-wrap-distance-right:0" from="85.025002pt,17.253918pt" to="229.075002pt,17.253918pt" stroked="true" strokeweight=".599980pt" strokecolor="#000000">
            <w10:wrap type="topAndBottom"/>
          </v:line>
        </w:pict>
      </w:r>
    </w:p>
    <w:p>
      <w:pPr>
        <w:pStyle w:val="BodyText"/>
        <w:spacing w:before="5"/>
        <w:rPr>
          <w:sz w:val="7"/>
        </w:rPr>
      </w:pPr>
    </w:p>
    <w:p>
      <w:pPr>
        <w:spacing w:before="87"/>
        <w:ind w:left="120" w:right="0" w:firstLine="0"/>
        <w:jc w:val="left"/>
        <w:rPr>
          <w:sz w:val="18"/>
        </w:rPr>
      </w:pPr>
      <w:r>
        <w:rPr>
          <w:position w:val="9"/>
          <w:sz w:val="12"/>
        </w:rPr>
        <w:t>4 </w:t>
      </w:r>
      <w:r>
        <w:rPr>
          <w:sz w:val="18"/>
        </w:rPr>
        <w:t>Dentro de la práctica no se observan cuidados ambientales dentro de los talleres de arte como en las fundidoras artísticas, en los procesos y manejo de materiales tóxicos como ácidos, gases y aceites.</w:t>
      </w:r>
    </w:p>
    <w:p>
      <w:pPr>
        <w:spacing w:after="0"/>
        <w:jc w:val="left"/>
        <w:rPr>
          <w:sz w:val="18"/>
        </w:rPr>
        <w:sectPr>
          <w:pgSz w:w="12240" w:h="15840"/>
          <w:pgMar w:header="0" w:footer="1031" w:top="1360" w:bottom="1220" w:left="1580" w:right="1580"/>
        </w:sectPr>
      </w:pPr>
    </w:p>
    <w:p>
      <w:pPr>
        <w:pStyle w:val="BodyText"/>
        <w:spacing w:line="357" w:lineRule="auto" w:before="43"/>
        <w:ind w:left="100" w:right="121"/>
        <w:jc w:val="both"/>
      </w:pPr>
      <w:r>
        <w:rPr/>
        <w:t>producción escultórica que sean más amigables con el medio ambiente, con mejores costos y menor daño a la salud.</w:t>
      </w:r>
    </w:p>
    <w:p>
      <w:pPr>
        <w:pStyle w:val="BodyText"/>
      </w:pPr>
    </w:p>
    <w:p>
      <w:pPr>
        <w:pStyle w:val="BodyText"/>
        <w:spacing w:line="360" w:lineRule="auto" w:before="144"/>
        <w:ind w:left="100" w:right="117"/>
        <w:jc w:val="both"/>
      </w:pPr>
      <w:r>
        <w:rPr/>
        <w:t>En dicho experimento se trata de probar si la tecnología de modelado 3D puede sustituir el caso de la FV, por eso es necesario comparar bajo la visión de la sustentabilidad que no descuida lo más importante como la salud del escultor, el costo, y el impacto ambiental, por eso dicho modelo plantea la solución del problema.</w:t>
      </w:r>
    </w:p>
    <w:p>
      <w:pPr>
        <w:pStyle w:val="BodyText"/>
      </w:pPr>
    </w:p>
    <w:p>
      <w:pPr>
        <w:pStyle w:val="BodyText"/>
        <w:spacing w:line="360" w:lineRule="auto" w:before="142"/>
        <w:ind w:left="100" w:right="115"/>
        <w:jc w:val="both"/>
      </w:pPr>
      <w:r>
        <w:rPr/>
        <w:t>En la tesis se analiza si es viable la propuesta de la impresión 3D sólo en el caso de FDM utilizando una impresora RepRap (Prusia i3) con cartucho de PLA, que es ecológica en comparación con el SLS en la impresora Objet500 Connex3 que utiliza material de resina; en el aspecto económico se opta experimentar con la Prusia i3 puesto que la impresión con el proceso SLS es más costoso (ver </w:t>
      </w:r>
      <w:hyperlink w:history="true" w:anchor="_bookmark208">
        <w:r>
          <w:rPr/>
          <w:t>Anexos</w:t>
        </w:r>
      </w:hyperlink>
      <w:r>
        <w:rPr/>
        <w:t>), cotización del Centro de ciencias aplicadas y desarrollo tecnológico (CCADET) en el Centro nacional de manufactura aditiva, digitalización 3D y tomografía Computarizada de la UNAM.</w:t>
      </w:r>
    </w:p>
    <w:p>
      <w:pPr>
        <w:pStyle w:val="BodyText"/>
      </w:pPr>
    </w:p>
    <w:p>
      <w:pPr>
        <w:pStyle w:val="BodyText"/>
        <w:spacing w:line="360" w:lineRule="auto" w:before="142"/>
        <w:ind w:left="100" w:right="113"/>
        <w:jc w:val="both"/>
      </w:pPr>
      <w:r>
        <w:rPr/>
        <w:t>El desarrollo del trabajo solo puede concluir con la prueba de la hipótesis, pero sería de gran trascendencia que se desarrollara una propuesta a futuro que estableciera de manera más formal el Eco-diseño con las Artes Visuales, en general dentro de los talleres que producen productos tangibles puesto que puede ocurrir lo mismo en el taller de grabado y pintura. Po ejemplo, sería recomendable que se impartiera una asignatura de Sustentabilidad en los programas de licenciatura de Artes Visuales, como lo hacen ya las academias de Diseño y Arquitectura.</w:t>
      </w:r>
    </w:p>
    <w:p>
      <w:pPr>
        <w:spacing w:after="0" w:line="360" w:lineRule="auto"/>
        <w:jc w:val="both"/>
        <w:sectPr>
          <w:pgSz w:w="12240" w:h="15840"/>
          <w:pgMar w:header="0" w:footer="1031" w:top="1460" w:bottom="122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5"/>
        </w:rPr>
      </w:pPr>
    </w:p>
    <w:p>
      <w:pPr>
        <w:pStyle w:val="Heading1"/>
        <w:spacing w:before="50"/>
      </w:pPr>
      <w:r>
        <w:rPr/>
        <w:t>Capítulo</w:t>
      </w:r>
    </w:p>
    <w:p>
      <w:pPr>
        <w:pStyle w:val="Heading2"/>
        <w:numPr>
          <w:ilvl w:val="1"/>
          <w:numId w:val="52"/>
        </w:numPr>
        <w:tabs>
          <w:tab w:pos="3398" w:val="left" w:leader="none"/>
        </w:tabs>
        <w:spacing w:line="240" w:lineRule="auto" w:before="240" w:after="0"/>
        <w:ind w:left="781" w:right="0" w:firstLine="2184"/>
        <w:jc w:val="left"/>
      </w:pPr>
      <w:bookmarkStart w:name="4. LCA en Impresión 3D" w:id="204"/>
      <w:bookmarkEnd w:id="204"/>
      <w:r>
        <w:rPr/>
      </w:r>
      <w:bookmarkStart w:name="_bookmark132" w:id="205"/>
      <w:bookmarkEnd w:id="205"/>
      <w:r>
        <w:rPr/>
      </w:r>
      <w:bookmarkStart w:name="_bookmark132" w:id="206"/>
      <w:bookmarkEnd w:id="206"/>
      <w:r>
        <w:rPr/>
        <w:t>L</w:t>
      </w:r>
      <w:r>
        <w:rPr/>
        <w:t>CA en Impresión</w:t>
      </w:r>
      <w:r>
        <w:rPr>
          <w:spacing w:val="-5"/>
        </w:rPr>
        <w:t> </w:t>
      </w:r>
      <w:r>
        <w:rPr/>
        <w:t>3D</w:t>
      </w:r>
    </w:p>
    <w:p>
      <w:pPr>
        <w:spacing w:after="0" w:line="240" w:lineRule="auto"/>
        <w:jc w:val="left"/>
        <w:sectPr>
          <w:pgSz w:w="12240" w:h="15840"/>
          <w:pgMar w:header="0" w:footer="1031" w:top="1500" w:bottom="1220" w:left="1600" w:right="1720"/>
        </w:sectPr>
      </w:pPr>
    </w:p>
    <w:p>
      <w:pPr>
        <w:pStyle w:val="Heading2"/>
        <w:numPr>
          <w:ilvl w:val="1"/>
          <w:numId w:val="53"/>
        </w:numPr>
        <w:tabs>
          <w:tab w:pos="677" w:val="left" w:leader="none"/>
        </w:tabs>
        <w:spacing w:line="240" w:lineRule="auto" w:before="109" w:after="0"/>
        <w:ind w:left="676" w:right="0" w:hanging="576"/>
        <w:jc w:val="both"/>
      </w:pPr>
      <w:bookmarkStart w:name="4.1. Introducción de capítulo" w:id="207"/>
      <w:bookmarkEnd w:id="207"/>
      <w:r>
        <w:rPr/>
      </w:r>
      <w:bookmarkStart w:name="_bookmark133" w:id="208"/>
      <w:bookmarkEnd w:id="208"/>
      <w:r>
        <w:rPr/>
      </w:r>
      <w:bookmarkStart w:name="_bookmark133" w:id="209"/>
      <w:bookmarkEnd w:id="209"/>
      <w:r>
        <w:rPr/>
        <w:t>I</w:t>
      </w:r>
      <w:r>
        <w:rPr/>
        <w:t>ntroducción de</w:t>
      </w:r>
      <w:r>
        <w:rPr>
          <w:spacing w:val="-7"/>
        </w:rPr>
        <w:t> </w:t>
      </w:r>
      <w:r>
        <w:rPr/>
        <w:t>capítulo</w:t>
      </w:r>
    </w:p>
    <w:p>
      <w:pPr>
        <w:pStyle w:val="BodyText"/>
        <w:rPr>
          <w:sz w:val="28"/>
        </w:rPr>
      </w:pPr>
    </w:p>
    <w:p>
      <w:pPr>
        <w:pStyle w:val="BodyText"/>
        <w:spacing w:before="8"/>
        <w:rPr>
          <w:sz w:val="22"/>
        </w:rPr>
      </w:pPr>
    </w:p>
    <w:p>
      <w:pPr>
        <w:pStyle w:val="BodyText"/>
        <w:spacing w:line="360" w:lineRule="auto"/>
        <w:ind w:left="100" w:right="101"/>
        <w:jc w:val="both"/>
      </w:pPr>
      <w:r>
        <w:rPr/>
        <w:t>En el capítulo 3 vimos los conceptos básicos de sustentabilidad y las herramientas de medición de los aspectos medio ambientales, con el objetivo de saber qué conceptos nos serán útiles para el caso de estudio. En este capítulo se enuncian artículos científicos que estudian la sustentabilidad de las impresoras 3D, y su uso con el PLA.</w:t>
      </w:r>
    </w:p>
    <w:p>
      <w:pPr>
        <w:pStyle w:val="BodyText"/>
      </w:pPr>
    </w:p>
    <w:p>
      <w:pPr>
        <w:pStyle w:val="BodyText"/>
        <w:spacing w:line="360" w:lineRule="auto" w:before="142"/>
        <w:ind w:left="100" w:right="98"/>
        <w:jc w:val="both"/>
      </w:pPr>
      <w:r>
        <w:rPr/>
        <w:t>El orden de este capítulo es mencionar el LCA de la impresión 3D, qué es el PLA, y cómo es para la impresión 3D. Los autores que fundamentan son Drizo y Pegna (2006),</w:t>
      </w:r>
      <w:r>
        <w:rPr>
          <w:spacing w:val="42"/>
        </w:rPr>
        <w:t> </w:t>
      </w:r>
      <w:r>
        <w:rPr/>
        <w:t>Faludi</w:t>
      </w:r>
      <w:r>
        <w:rPr>
          <w:spacing w:val="40"/>
        </w:rPr>
        <w:t> </w:t>
      </w:r>
      <w:r>
        <w:rPr/>
        <w:t>et.</w:t>
      </w:r>
      <w:r>
        <w:rPr>
          <w:spacing w:val="42"/>
        </w:rPr>
        <w:t> </w:t>
      </w:r>
      <w:r>
        <w:rPr/>
        <w:t>al</w:t>
      </w:r>
      <w:r>
        <w:rPr>
          <w:spacing w:val="40"/>
        </w:rPr>
        <w:t> </w:t>
      </w:r>
      <w:r>
        <w:rPr/>
        <w:t>(2014</w:t>
      </w:r>
      <w:r>
        <w:rPr>
          <w:spacing w:val="43"/>
        </w:rPr>
        <w:t> </w:t>
      </w:r>
      <w:r>
        <w:rPr/>
        <w:t>y</w:t>
      </w:r>
      <w:r>
        <w:rPr>
          <w:spacing w:val="41"/>
        </w:rPr>
        <w:t> </w:t>
      </w:r>
      <w:r>
        <w:rPr/>
        <w:t>2015),</w:t>
      </w:r>
      <w:r>
        <w:rPr>
          <w:spacing w:val="46"/>
        </w:rPr>
        <w:t> </w:t>
      </w:r>
      <w:r>
        <w:rPr/>
        <w:t>Stephens</w:t>
      </w:r>
      <w:r>
        <w:rPr>
          <w:spacing w:val="41"/>
        </w:rPr>
        <w:t> </w:t>
      </w:r>
      <w:r>
        <w:rPr/>
        <w:t>(2013),</w:t>
      </w:r>
      <w:r>
        <w:rPr>
          <w:spacing w:val="42"/>
        </w:rPr>
        <w:t> </w:t>
      </w:r>
      <w:r>
        <w:rPr>
          <w:spacing w:val="-3"/>
        </w:rPr>
        <w:t>Vink</w:t>
      </w:r>
      <w:r>
        <w:rPr>
          <w:spacing w:val="45"/>
        </w:rPr>
        <w:t> </w:t>
      </w:r>
      <w:r>
        <w:rPr/>
        <w:t>(2002),</w:t>
      </w:r>
      <w:r>
        <w:rPr>
          <w:spacing w:val="38"/>
        </w:rPr>
        <w:t> </w:t>
      </w:r>
      <w:r>
        <w:rPr/>
        <w:t>Wijk</w:t>
      </w:r>
      <w:r>
        <w:rPr>
          <w:spacing w:val="45"/>
        </w:rPr>
        <w:t> </w:t>
      </w:r>
      <w:r>
        <w:rPr/>
        <w:t>(2015),</w:t>
      </w:r>
    </w:p>
    <w:p>
      <w:pPr>
        <w:pStyle w:val="BodyText"/>
        <w:spacing w:before="2"/>
        <w:ind w:left="100"/>
        <w:jc w:val="both"/>
      </w:pPr>
      <w:r>
        <w:rPr/>
        <w:t>Herryman (2005), Henton (2005), Weinhoffer (2012) y Giménez (2011-2012).</w:t>
      </w:r>
    </w:p>
    <w:p>
      <w:pPr>
        <w:pStyle w:val="BodyText"/>
      </w:pPr>
    </w:p>
    <w:p>
      <w:pPr>
        <w:pStyle w:val="BodyText"/>
      </w:pPr>
    </w:p>
    <w:p>
      <w:pPr>
        <w:pStyle w:val="Heading2"/>
        <w:numPr>
          <w:ilvl w:val="1"/>
          <w:numId w:val="53"/>
        </w:numPr>
        <w:tabs>
          <w:tab w:pos="677" w:val="left" w:leader="none"/>
        </w:tabs>
        <w:spacing w:line="240" w:lineRule="auto" w:before="195" w:after="0"/>
        <w:ind w:left="676" w:right="0" w:hanging="576"/>
        <w:jc w:val="both"/>
      </w:pPr>
      <w:bookmarkStart w:name="4.2. ACV en impresión 3D" w:id="210"/>
      <w:bookmarkEnd w:id="210"/>
      <w:r>
        <w:rPr/>
      </w:r>
      <w:bookmarkStart w:name="_bookmark134" w:id="211"/>
      <w:bookmarkEnd w:id="211"/>
      <w:r>
        <w:rPr/>
      </w:r>
      <w:bookmarkStart w:name="_bookmark134" w:id="212"/>
      <w:bookmarkEnd w:id="212"/>
      <w:r>
        <w:rPr/>
        <w:t>A</w:t>
      </w:r>
      <w:r>
        <w:rPr/>
        <w:t>CV en impresión</w:t>
      </w:r>
      <w:r>
        <w:rPr>
          <w:spacing w:val="-5"/>
        </w:rPr>
        <w:t> </w:t>
      </w:r>
      <w:r>
        <w:rPr/>
        <w:t>3D</w:t>
      </w:r>
    </w:p>
    <w:p>
      <w:pPr>
        <w:pStyle w:val="BodyText"/>
        <w:rPr>
          <w:sz w:val="28"/>
        </w:rPr>
      </w:pPr>
    </w:p>
    <w:p>
      <w:pPr>
        <w:pStyle w:val="BodyText"/>
        <w:spacing w:before="4"/>
        <w:rPr>
          <w:sz w:val="22"/>
        </w:rPr>
      </w:pPr>
    </w:p>
    <w:p>
      <w:pPr>
        <w:pStyle w:val="BodyText"/>
        <w:spacing w:line="362" w:lineRule="auto"/>
        <w:ind w:left="100" w:right="101"/>
        <w:jc w:val="both"/>
      </w:pPr>
      <w:r>
        <w:rPr/>
        <w:t>Este subapartado se fundamentará con los siguientes autores: Drizo y Pegna (2006), Faludi et. al (2014 y 2015), Stephens (2013), Vink (2002),  y Wijk (2015).</w:t>
      </w:r>
    </w:p>
    <w:p>
      <w:pPr>
        <w:pStyle w:val="BodyText"/>
      </w:pPr>
    </w:p>
    <w:p>
      <w:pPr>
        <w:pStyle w:val="BodyText"/>
        <w:spacing w:line="360" w:lineRule="auto" w:before="140"/>
        <w:ind w:left="100" w:right="105"/>
        <w:jc w:val="both"/>
      </w:pPr>
      <w:r>
        <w:rPr/>
        <w:t>En la literatura referente a la sustentabilidad de la impresión 3D se encontraron interrogantes como cuál es el impacto ambiental que generan, cómo repercutiría en la salud del usuario, comparativos de impacto ambiental con otras formas de prototipado como el CNC y consideraciones como el tipo de plástico que extruye la impresora.</w:t>
      </w:r>
    </w:p>
    <w:p>
      <w:pPr>
        <w:pStyle w:val="BodyText"/>
      </w:pPr>
    </w:p>
    <w:p>
      <w:pPr>
        <w:pStyle w:val="BodyText"/>
        <w:spacing w:line="360" w:lineRule="auto" w:before="142"/>
        <w:ind w:left="100" w:right="106"/>
        <w:jc w:val="both"/>
      </w:pPr>
      <w:r>
        <w:rPr/>
        <w:t>Iniciando con Wijk (2015), que plantea las promesas que proporciona la combinación de impresión 3D con biomateriales como una oportunidad de realizar una economía circular y verdaderamente sustentable, las cosas que considera el autor se muestran en la siguiente </w:t>
      </w:r>
      <w:hyperlink w:history="true" w:anchor="_bookmark135">
        <w:r>
          <w:rPr/>
          <w:t>Tabla 4.1</w:t>
        </w:r>
      </w:hyperlink>
      <w:r>
        <w:rPr/>
        <w:t>.</w:t>
      </w:r>
    </w:p>
    <w:p>
      <w:pPr>
        <w:spacing w:after="0" w:line="360" w:lineRule="auto"/>
        <w:jc w:val="both"/>
        <w:sectPr>
          <w:pgSz w:w="12240" w:h="15840"/>
          <w:pgMar w:header="0" w:footer="1031" w:top="1500" w:bottom="1220" w:left="1600" w:right="1600"/>
        </w:sectPr>
      </w:pPr>
    </w:p>
    <w:p>
      <w:pPr>
        <w:spacing w:before="51" w:after="6"/>
        <w:ind w:left="2853" w:right="0" w:firstLine="0"/>
        <w:jc w:val="left"/>
        <w:rPr>
          <w:sz w:val="18"/>
        </w:rPr>
      </w:pPr>
      <w:bookmarkStart w:name="_bookmark135" w:id="213"/>
      <w:bookmarkEnd w:id="213"/>
      <w:r>
        <w:rPr/>
      </w:r>
      <w:r>
        <w:rPr>
          <w:sz w:val="18"/>
        </w:rPr>
        <w:t>Tabla 4.1. Circular y sustentable según Wijk.</w:t>
      </w:r>
    </w:p>
    <w:tbl>
      <w:tblPr>
        <w:tblW w:w="0" w:type="auto"/>
        <w:jc w:val="left"/>
        <w:tblInd w:w="28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237"/>
        <w:gridCol w:w="6238"/>
      </w:tblGrid>
      <w:tr>
        <w:trPr>
          <w:trHeight w:val="320" w:hRule="exact"/>
        </w:trPr>
        <w:tc>
          <w:tcPr>
            <w:tcW w:w="8475" w:type="dxa"/>
            <w:gridSpan w:val="2"/>
          </w:tcPr>
          <w:p>
            <w:pPr>
              <w:pStyle w:val="TableParagraph"/>
              <w:spacing w:line="206" w:lineRule="exact"/>
              <w:ind w:left="3808" w:right="3808"/>
              <w:jc w:val="center"/>
              <w:rPr>
                <w:sz w:val="18"/>
              </w:rPr>
            </w:pPr>
            <w:r>
              <w:rPr>
                <w:sz w:val="18"/>
              </w:rPr>
              <w:t>Promesas</w:t>
            </w:r>
          </w:p>
        </w:tc>
      </w:tr>
      <w:tr>
        <w:trPr>
          <w:trHeight w:val="1877" w:hRule="exact"/>
        </w:trPr>
        <w:tc>
          <w:tcPr>
            <w:tcW w:w="2237" w:type="dxa"/>
          </w:tcPr>
          <w:p>
            <w:pPr>
              <w:pStyle w:val="TableParagraph"/>
              <w:rPr>
                <w:sz w:val="18"/>
              </w:rPr>
            </w:pPr>
          </w:p>
          <w:p>
            <w:pPr>
              <w:pStyle w:val="TableParagraph"/>
              <w:rPr>
                <w:sz w:val="18"/>
              </w:rPr>
            </w:pPr>
          </w:p>
          <w:p>
            <w:pPr>
              <w:pStyle w:val="TableParagraph"/>
              <w:spacing w:before="9"/>
              <w:rPr>
                <w:sz w:val="17"/>
              </w:rPr>
            </w:pPr>
          </w:p>
          <w:p>
            <w:pPr>
              <w:pStyle w:val="TableParagraph"/>
              <w:spacing w:line="362" w:lineRule="auto" w:before="1"/>
              <w:ind w:left="327" w:right="311" w:firstLine="172"/>
              <w:rPr>
                <w:sz w:val="18"/>
              </w:rPr>
            </w:pPr>
            <w:r>
              <w:rPr>
                <w:sz w:val="18"/>
              </w:rPr>
              <w:t>Impresión 3D o Manufactura aditiva</w:t>
            </w:r>
          </w:p>
        </w:tc>
        <w:tc>
          <w:tcPr>
            <w:tcW w:w="6238" w:type="dxa"/>
          </w:tcPr>
          <w:p>
            <w:pPr>
              <w:pStyle w:val="TableParagraph"/>
              <w:spacing w:line="206" w:lineRule="exact"/>
              <w:ind w:left="1984" w:right="1985"/>
              <w:jc w:val="center"/>
              <w:rPr>
                <w:sz w:val="18"/>
              </w:rPr>
            </w:pPr>
            <w:r>
              <w:rPr>
                <w:sz w:val="18"/>
              </w:rPr>
              <w:t>Libertad de Diseño</w:t>
            </w:r>
          </w:p>
          <w:p>
            <w:pPr>
              <w:pStyle w:val="TableParagraph"/>
              <w:spacing w:line="362" w:lineRule="auto" w:before="101"/>
              <w:ind w:left="1205" w:right="1211"/>
              <w:jc w:val="center"/>
              <w:rPr>
                <w:sz w:val="18"/>
              </w:rPr>
            </w:pPr>
            <w:r>
              <w:rPr>
                <w:sz w:val="18"/>
              </w:rPr>
              <w:t>Diseños personalizados basados en</w:t>
            </w:r>
            <w:r>
              <w:rPr>
                <w:spacing w:val="-9"/>
                <w:sz w:val="18"/>
              </w:rPr>
              <w:t> </w:t>
            </w:r>
            <w:r>
              <w:rPr>
                <w:sz w:val="18"/>
              </w:rPr>
              <w:t>comunidad Ciclos rápidos de desarrollado de producto Bajo costo de</w:t>
            </w:r>
            <w:r>
              <w:rPr>
                <w:spacing w:val="-5"/>
                <w:sz w:val="18"/>
              </w:rPr>
              <w:t> </w:t>
            </w:r>
            <w:r>
              <w:rPr>
                <w:sz w:val="18"/>
              </w:rPr>
              <w:t>producción</w:t>
            </w:r>
          </w:p>
          <w:p>
            <w:pPr>
              <w:pStyle w:val="TableParagraph"/>
              <w:spacing w:line="362" w:lineRule="auto"/>
              <w:ind w:left="1988" w:right="1985"/>
              <w:jc w:val="center"/>
              <w:rPr>
                <w:sz w:val="18"/>
              </w:rPr>
            </w:pPr>
            <w:r>
              <w:rPr>
                <w:sz w:val="18"/>
              </w:rPr>
              <w:t>Demanda bajo producción Menos transporte y logística</w:t>
            </w:r>
          </w:p>
        </w:tc>
      </w:tr>
      <w:tr>
        <w:trPr>
          <w:trHeight w:val="1560" w:hRule="exact"/>
        </w:trPr>
        <w:tc>
          <w:tcPr>
            <w:tcW w:w="2237" w:type="dxa"/>
          </w:tcPr>
          <w:p>
            <w:pPr>
              <w:pStyle w:val="TableParagraph"/>
              <w:rPr>
                <w:sz w:val="18"/>
              </w:rPr>
            </w:pPr>
          </w:p>
          <w:p>
            <w:pPr>
              <w:pStyle w:val="TableParagraph"/>
              <w:rPr>
                <w:sz w:val="18"/>
              </w:rPr>
            </w:pPr>
          </w:p>
          <w:p>
            <w:pPr>
              <w:pStyle w:val="TableParagraph"/>
              <w:spacing w:before="5"/>
              <w:rPr>
                <w:sz w:val="17"/>
              </w:rPr>
            </w:pPr>
          </w:p>
          <w:p>
            <w:pPr>
              <w:pStyle w:val="TableParagraph"/>
              <w:ind w:left="568" w:right="311"/>
              <w:rPr>
                <w:sz w:val="18"/>
              </w:rPr>
            </w:pPr>
            <w:r>
              <w:rPr>
                <w:sz w:val="18"/>
              </w:rPr>
              <w:t>Biomateriales</w:t>
            </w:r>
          </w:p>
        </w:tc>
        <w:tc>
          <w:tcPr>
            <w:tcW w:w="6238" w:type="dxa"/>
          </w:tcPr>
          <w:p>
            <w:pPr>
              <w:pStyle w:val="TableParagraph"/>
              <w:spacing w:line="362" w:lineRule="auto"/>
              <w:ind w:left="599" w:right="605"/>
              <w:jc w:val="center"/>
              <w:rPr>
                <w:sz w:val="18"/>
              </w:rPr>
            </w:pPr>
            <w:r>
              <w:rPr>
                <w:sz w:val="18"/>
              </w:rPr>
              <w:t>El material de origen biológico en lugar de combustibles fósiles No hay CO2 (ciclo corto) las emisiones</w:t>
            </w:r>
          </w:p>
          <w:p>
            <w:pPr>
              <w:pStyle w:val="TableParagraph"/>
              <w:spacing w:line="362" w:lineRule="auto"/>
              <w:ind w:left="1368" w:right="1365"/>
              <w:jc w:val="center"/>
              <w:rPr>
                <w:sz w:val="18"/>
              </w:rPr>
            </w:pPr>
            <w:r>
              <w:rPr>
                <w:sz w:val="18"/>
              </w:rPr>
              <w:t>Materia prima puede crecer en todas partes Cada plástico puede ser producido</w:t>
            </w:r>
          </w:p>
          <w:p>
            <w:pPr>
              <w:pStyle w:val="TableParagraph"/>
              <w:spacing w:before="3"/>
              <w:ind w:left="599" w:right="600"/>
              <w:jc w:val="center"/>
              <w:rPr>
                <w:sz w:val="18"/>
              </w:rPr>
            </w:pPr>
            <w:r>
              <w:rPr>
                <w:sz w:val="18"/>
              </w:rPr>
              <w:t>Material específico y único para impresión 3D</w:t>
            </w:r>
          </w:p>
        </w:tc>
      </w:tr>
      <w:tr>
        <w:trPr>
          <w:trHeight w:val="1280" w:hRule="exact"/>
        </w:trPr>
        <w:tc>
          <w:tcPr>
            <w:tcW w:w="2237" w:type="dxa"/>
          </w:tcPr>
          <w:p>
            <w:pPr>
              <w:pStyle w:val="TableParagraph"/>
              <w:spacing w:before="8"/>
              <w:rPr>
                <w:sz w:val="26"/>
              </w:rPr>
            </w:pPr>
          </w:p>
          <w:p>
            <w:pPr>
              <w:pStyle w:val="TableParagraph"/>
              <w:spacing w:line="362" w:lineRule="auto"/>
              <w:ind w:left="568" w:right="390" w:hanging="160"/>
              <w:rPr>
                <w:sz w:val="18"/>
              </w:rPr>
            </w:pPr>
            <w:r>
              <w:rPr>
                <w:sz w:val="18"/>
              </w:rPr>
              <w:t>Impresión 3D con Biomateriales</w:t>
            </w:r>
          </w:p>
        </w:tc>
        <w:tc>
          <w:tcPr>
            <w:tcW w:w="6238" w:type="dxa"/>
          </w:tcPr>
          <w:p>
            <w:pPr>
              <w:pStyle w:val="TableParagraph"/>
              <w:spacing w:line="357" w:lineRule="auto"/>
              <w:ind w:left="907" w:right="916"/>
              <w:jc w:val="center"/>
              <w:rPr>
                <w:sz w:val="18"/>
              </w:rPr>
            </w:pPr>
            <w:r>
              <w:rPr>
                <w:sz w:val="18"/>
              </w:rPr>
              <w:t>Producción local de ambos biomateriales y productos Cero emisiones de gas</w:t>
            </w:r>
          </w:p>
          <w:p>
            <w:pPr>
              <w:pStyle w:val="TableParagraph"/>
              <w:spacing w:line="362" w:lineRule="auto" w:before="6"/>
              <w:ind w:left="911" w:right="916"/>
              <w:jc w:val="center"/>
              <w:rPr>
                <w:sz w:val="18"/>
              </w:rPr>
            </w:pPr>
            <w:r>
              <w:rPr>
                <w:sz w:val="18"/>
              </w:rPr>
              <w:t>Únicos e innovadores y nuevos productos sustentables La realización de una economía circular sustentable</w:t>
            </w:r>
          </w:p>
        </w:tc>
      </w:tr>
    </w:tbl>
    <w:p>
      <w:pPr>
        <w:spacing w:line="206" w:lineRule="exact" w:before="0"/>
        <w:ind w:left="1088" w:right="1089" w:firstLine="0"/>
        <w:jc w:val="center"/>
        <w:rPr>
          <w:sz w:val="18"/>
        </w:rPr>
      </w:pPr>
      <w:r>
        <w:rPr>
          <w:sz w:val="18"/>
        </w:rPr>
        <w:t>(Fuente: Wijk, 2015: 9).</w:t>
      </w:r>
    </w:p>
    <w:p>
      <w:pPr>
        <w:pStyle w:val="BodyText"/>
        <w:rPr>
          <w:sz w:val="18"/>
        </w:rPr>
      </w:pPr>
    </w:p>
    <w:p>
      <w:pPr>
        <w:pStyle w:val="BodyText"/>
        <w:rPr>
          <w:sz w:val="18"/>
        </w:rPr>
      </w:pPr>
    </w:p>
    <w:p>
      <w:pPr>
        <w:pStyle w:val="BodyText"/>
        <w:spacing w:line="360" w:lineRule="auto" w:before="111"/>
        <w:ind w:left="100" w:right="98"/>
        <w:jc w:val="both"/>
      </w:pPr>
      <w:r>
        <w:rPr/>
        <w:t>¿Cómo surge la preocupación de que la impresión 3D sea un método de fabricación amigable con el medio ambiente? Drizo y Pegna (2006), mencionan que el ACV, fue establecido durante la década de 1990, y que ahora es una herramienta internacional aceptada para evaluar los impactos ambientales de diversos procesos, productos y actividades industriales. Los autores agregan que desde entonces la mayoría de los procesos industriales son evaluados bajo este modelo y que debido a esto se ha mostrado interés por la evaluación del impacto ambiental de prototipado rápido y herramientas:</w:t>
      </w:r>
    </w:p>
    <w:p>
      <w:pPr>
        <w:pStyle w:val="BodyText"/>
      </w:pPr>
    </w:p>
    <w:p>
      <w:pPr>
        <w:spacing w:line="360" w:lineRule="auto" w:before="140"/>
        <w:ind w:left="809" w:right="101" w:firstLine="0"/>
        <w:jc w:val="both"/>
        <w:rPr>
          <w:sz w:val="24"/>
        </w:rPr>
      </w:pPr>
      <w:r>
        <w:rPr>
          <w:i/>
          <w:sz w:val="20"/>
        </w:rPr>
        <w:t>Luo et al. (1999) propusieron un método para evaluar el desempeño ambiental de los </w:t>
      </w:r>
      <w:r>
        <w:rPr>
          <w:i/>
          <w:sz w:val="20"/>
        </w:rPr>
        <w:t>procesos de RP y RT (</w:t>
      </w:r>
      <w:r>
        <w:rPr>
          <w:sz w:val="20"/>
        </w:rPr>
        <w:t>herramentado rápido</w:t>
      </w:r>
      <w:r>
        <w:rPr>
          <w:i/>
          <w:sz w:val="20"/>
        </w:rPr>
        <w:t>), para dividirlos en diferentes etapas de la  </w:t>
      </w:r>
      <w:r>
        <w:rPr>
          <w:i/>
          <w:sz w:val="20"/>
        </w:rPr>
        <w:t>vida. El atributo de impacto ambiental que se producen en cada una de estas etapas se define como la extracción de materiales y de producción (materiales preparación), el consumo de energía (parte de construcción), materiales toxicidad (parte uso) y los métodos de eliminación (vertedero, incineración, reciclaje) (Luo et al., 1999)…Los impactos ambientales correspondientes fueron identificados como el consumo de materiales, el consumo de energía y el residuo de proceso. </w:t>
      </w:r>
      <w:r>
        <w:rPr>
          <w:sz w:val="24"/>
        </w:rPr>
        <w:t>(Drizo y Pegna, 2006:</w:t>
      </w:r>
      <w:r>
        <w:rPr>
          <w:spacing w:val="-20"/>
          <w:sz w:val="24"/>
        </w:rPr>
        <w:t> </w:t>
      </w:r>
      <w:r>
        <w:rPr>
          <w:sz w:val="24"/>
        </w:rPr>
        <w:t>66).</w:t>
      </w:r>
    </w:p>
    <w:p>
      <w:pPr>
        <w:spacing w:after="0" w:line="360" w:lineRule="auto"/>
        <w:jc w:val="both"/>
        <w:rPr>
          <w:sz w:val="24"/>
        </w:rPr>
        <w:sectPr>
          <w:pgSz w:w="12240" w:h="15840"/>
          <w:pgMar w:header="0" w:footer="1031" w:top="1360" w:bottom="1220" w:left="1600" w:right="1600"/>
        </w:sectPr>
      </w:pPr>
    </w:p>
    <w:p>
      <w:pPr>
        <w:pStyle w:val="BodyText"/>
        <w:spacing w:line="360" w:lineRule="auto" w:before="55"/>
        <w:ind w:left="100" w:right="121"/>
        <w:jc w:val="both"/>
      </w:pPr>
      <w:r>
        <w:rPr/>
        <w:t>Con dichos antecedentes los autores comentan que a partir de entonces nos interesará saber el consumo de materiales, consumo de energía y el residuo que dejan dichos procesos, y aún con eso, no es suficiente puesto que algunos materiales tradicionales y emergentes también deben ser normados por la toxicidad y efectos ambientales, como lo menciona a continuación Drizo y Pegna como cuestiones no resueltas:</w:t>
      </w:r>
    </w:p>
    <w:p>
      <w:pPr>
        <w:pStyle w:val="BodyText"/>
      </w:pPr>
    </w:p>
    <w:p>
      <w:pPr>
        <w:spacing w:line="360" w:lineRule="auto" w:before="139"/>
        <w:ind w:left="809" w:right="114" w:firstLine="0"/>
        <w:jc w:val="both"/>
        <w:rPr>
          <w:sz w:val="24"/>
        </w:rPr>
      </w:pPr>
      <w:r>
        <w:rPr>
          <w:i/>
          <w:sz w:val="20"/>
        </w:rPr>
        <w:t>Una de las cuestiones más apremiantes en la estimación del impacto ambiental de las </w:t>
      </w:r>
      <w:r>
        <w:rPr>
          <w:i/>
          <w:sz w:val="20"/>
        </w:rPr>
        <w:t>tecnologías de RP y </w:t>
      </w:r>
      <w:r>
        <w:rPr>
          <w:i/>
          <w:spacing w:val="-3"/>
          <w:sz w:val="20"/>
        </w:rPr>
        <w:t>RT </w:t>
      </w:r>
      <w:r>
        <w:rPr>
          <w:i/>
          <w:sz w:val="20"/>
        </w:rPr>
        <w:t>(Rapid tooling) es evaluar el potencial de salud toxicológico y medio ambiental los riesgos que se pueden producir a partir de la manipulación, el uso y la eliminación de la RP y RT materiales. Puesto que, los primeros procesos de RP el despliegue en la década de 1980, numerosos materiales (resinas epoxi, policarbonatos, acrilatos, acrilonitrilo / butadieno / estirenos, elastómeros, medias de nylon (poliamidas), cianoacrilatos) han sido desarrollados, con nuevos materiales emergiendo rápidamente en el mercado. </w:t>
      </w:r>
      <w:r>
        <w:rPr>
          <w:i/>
          <w:spacing w:val="-3"/>
          <w:sz w:val="20"/>
        </w:rPr>
        <w:t>Sin </w:t>
      </w:r>
      <w:r>
        <w:rPr>
          <w:i/>
          <w:sz w:val="20"/>
        </w:rPr>
        <w:t>embargo, aunque la necesidad de materiales de normalización industrial  en la RP fue reconocido hace cinco años (Waterman, 1999; NIST, 2003) la toxicidad y los efectos ambientales de muchos materiales RP (tanto "vieja generación" y nuevos materiales) y solventes químicos utilizados para su eliminación, no se han identificado  hasta la fecha. </w:t>
      </w:r>
      <w:r>
        <w:rPr>
          <w:sz w:val="24"/>
        </w:rPr>
        <w:t>(Drizo y Pegna, 2006:</w:t>
      </w:r>
      <w:r>
        <w:rPr>
          <w:spacing w:val="-6"/>
          <w:sz w:val="24"/>
        </w:rPr>
        <w:t> </w:t>
      </w:r>
      <w:r>
        <w:rPr>
          <w:sz w:val="24"/>
        </w:rPr>
        <w:t>66).</w:t>
      </w:r>
    </w:p>
    <w:p>
      <w:pPr>
        <w:pStyle w:val="BodyText"/>
      </w:pPr>
    </w:p>
    <w:p>
      <w:pPr>
        <w:pStyle w:val="BodyText"/>
        <w:spacing w:line="360" w:lineRule="auto" w:before="142"/>
        <w:ind w:left="100" w:right="124"/>
        <w:jc w:val="both"/>
      </w:pPr>
      <w:r>
        <w:rPr/>
        <w:t>En lo ambiental, (Durham, 2002; citado en Drizo y Pegna, 2006) señaló que todas las entradas y salidas de energía necesaria para los procesos de RP, las pérdidas de energía térmica, partículas en el aire y los residuos sólidos producidos tienen que ser evaluados.</w:t>
      </w:r>
    </w:p>
    <w:p>
      <w:pPr>
        <w:pStyle w:val="BodyText"/>
      </w:pPr>
    </w:p>
    <w:p>
      <w:pPr>
        <w:pStyle w:val="BodyText"/>
        <w:spacing w:before="142"/>
        <w:ind w:left="100"/>
        <w:jc w:val="both"/>
      </w:pPr>
      <w:r>
        <w:rPr/>
        <w:t>Para poder ubicar el ACV en RP se podrían considerar los siguientes aspectos:</w:t>
      </w:r>
    </w:p>
    <w:p>
      <w:pPr>
        <w:pStyle w:val="ListParagraph"/>
        <w:numPr>
          <w:ilvl w:val="2"/>
          <w:numId w:val="53"/>
        </w:numPr>
        <w:tabs>
          <w:tab w:pos="820" w:val="left" w:leader="none"/>
          <w:tab w:pos="821" w:val="left" w:leader="none"/>
        </w:tabs>
        <w:spacing w:line="240" w:lineRule="auto" w:before="140" w:after="0"/>
        <w:ind w:left="821" w:right="0" w:hanging="361"/>
        <w:jc w:val="left"/>
        <w:rPr>
          <w:sz w:val="24"/>
        </w:rPr>
      </w:pPr>
      <w:r>
        <w:rPr>
          <w:sz w:val="24"/>
        </w:rPr>
        <w:t>consumo de materiales (ABS o</w:t>
      </w:r>
      <w:r>
        <w:rPr>
          <w:spacing w:val="-16"/>
          <w:sz w:val="24"/>
        </w:rPr>
        <w:t> </w:t>
      </w:r>
      <w:r>
        <w:rPr>
          <w:sz w:val="24"/>
        </w:rPr>
        <w:t>PLA)</w:t>
      </w:r>
    </w:p>
    <w:p>
      <w:pPr>
        <w:pStyle w:val="ListParagraph"/>
        <w:numPr>
          <w:ilvl w:val="2"/>
          <w:numId w:val="53"/>
        </w:numPr>
        <w:tabs>
          <w:tab w:pos="820" w:val="left" w:leader="none"/>
          <w:tab w:pos="821" w:val="left" w:leader="none"/>
        </w:tabs>
        <w:spacing w:line="240" w:lineRule="auto" w:before="134" w:after="0"/>
        <w:ind w:left="821" w:right="0" w:hanging="361"/>
        <w:jc w:val="left"/>
        <w:rPr>
          <w:sz w:val="24"/>
        </w:rPr>
      </w:pPr>
      <w:r>
        <w:rPr>
          <w:sz w:val="24"/>
        </w:rPr>
        <w:t>consumo de</w:t>
      </w:r>
      <w:r>
        <w:rPr>
          <w:spacing w:val="-11"/>
          <w:sz w:val="24"/>
        </w:rPr>
        <w:t> </w:t>
      </w:r>
      <w:r>
        <w:rPr>
          <w:sz w:val="24"/>
        </w:rPr>
        <w:t>energía</w:t>
      </w:r>
    </w:p>
    <w:p>
      <w:pPr>
        <w:pStyle w:val="ListParagraph"/>
        <w:numPr>
          <w:ilvl w:val="2"/>
          <w:numId w:val="53"/>
        </w:numPr>
        <w:tabs>
          <w:tab w:pos="820" w:val="left" w:leader="none"/>
          <w:tab w:pos="821" w:val="left" w:leader="none"/>
        </w:tabs>
        <w:spacing w:line="240" w:lineRule="auto" w:before="138" w:after="0"/>
        <w:ind w:left="821" w:right="0" w:hanging="361"/>
        <w:jc w:val="left"/>
        <w:rPr>
          <w:sz w:val="24"/>
        </w:rPr>
      </w:pPr>
      <w:r>
        <w:rPr>
          <w:sz w:val="24"/>
        </w:rPr>
        <w:t>residuos que dejan dichos</w:t>
      </w:r>
      <w:r>
        <w:rPr>
          <w:spacing w:val="-21"/>
          <w:sz w:val="24"/>
        </w:rPr>
        <w:t> </w:t>
      </w:r>
      <w:r>
        <w:rPr>
          <w:sz w:val="24"/>
        </w:rPr>
        <w:t>procesos</w:t>
      </w:r>
    </w:p>
    <w:p>
      <w:pPr>
        <w:pStyle w:val="ListParagraph"/>
        <w:numPr>
          <w:ilvl w:val="2"/>
          <w:numId w:val="53"/>
        </w:numPr>
        <w:tabs>
          <w:tab w:pos="820" w:val="left" w:leader="none"/>
          <w:tab w:pos="821" w:val="left" w:leader="none"/>
        </w:tabs>
        <w:spacing w:line="240" w:lineRule="auto" w:before="134" w:after="0"/>
        <w:ind w:left="821" w:right="0" w:hanging="361"/>
        <w:jc w:val="left"/>
        <w:rPr>
          <w:sz w:val="24"/>
        </w:rPr>
      </w:pPr>
      <w:r>
        <w:rPr>
          <w:sz w:val="24"/>
        </w:rPr>
        <w:t>toxicidad en las</w:t>
      </w:r>
      <w:r>
        <w:rPr>
          <w:spacing w:val="-16"/>
          <w:sz w:val="24"/>
        </w:rPr>
        <w:t> </w:t>
      </w:r>
      <w:r>
        <w:rPr>
          <w:sz w:val="24"/>
        </w:rPr>
        <w:t>personas</w:t>
      </w:r>
    </w:p>
    <w:p>
      <w:pPr>
        <w:pStyle w:val="ListParagraph"/>
        <w:numPr>
          <w:ilvl w:val="2"/>
          <w:numId w:val="53"/>
        </w:numPr>
        <w:tabs>
          <w:tab w:pos="820" w:val="left" w:leader="none"/>
          <w:tab w:pos="821" w:val="left" w:leader="none"/>
        </w:tabs>
        <w:spacing w:line="240" w:lineRule="auto" w:before="138" w:after="0"/>
        <w:ind w:left="821" w:right="0" w:hanging="361"/>
        <w:jc w:val="left"/>
        <w:rPr>
          <w:sz w:val="24"/>
        </w:rPr>
      </w:pPr>
      <w:r>
        <w:rPr>
          <w:sz w:val="24"/>
        </w:rPr>
        <w:t>efectos</w:t>
      </w:r>
      <w:r>
        <w:rPr>
          <w:spacing w:val="-14"/>
          <w:sz w:val="24"/>
        </w:rPr>
        <w:t> </w:t>
      </w:r>
      <w:r>
        <w:rPr>
          <w:sz w:val="24"/>
        </w:rPr>
        <w:t>ambientales</w:t>
      </w:r>
    </w:p>
    <w:p>
      <w:pPr>
        <w:spacing w:after="0" w:line="240" w:lineRule="auto"/>
        <w:jc w:val="left"/>
        <w:rPr>
          <w:sz w:val="24"/>
        </w:rPr>
        <w:sectPr>
          <w:pgSz w:w="12240" w:h="15840"/>
          <w:pgMar w:header="0" w:footer="1031" w:top="1360" w:bottom="1220" w:left="1600" w:right="1580"/>
        </w:sectPr>
      </w:pPr>
    </w:p>
    <w:p>
      <w:pPr>
        <w:pStyle w:val="BodyText"/>
        <w:spacing w:line="360" w:lineRule="auto" w:before="55"/>
        <w:ind w:left="100" w:right="113"/>
        <w:jc w:val="both"/>
      </w:pPr>
      <w:r>
        <w:rPr/>
        <w:t>Faludi (2014a) realiza un comparativo de los impactos ambientales entre la FA y el maquinado tradicional (mecanizado CNC) a través del ACV y los resultados de  ese comparativo fueron que depende principalmente de la utilización y de las máquinas en específico; no puede ser declarado categóricamente que las máquinas de impresión 3D sean más amigables con el medio ambiente que el mecanizado CNC o</w:t>
      </w:r>
      <w:r>
        <w:rPr>
          <w:spacing w:val="-15"/>
        </w:rPr>
        <w:t> </w:t>
      </w:r>
      <w:r>
        <w:rPr/>
        <w:t>viceversa.</w:t>
      </w:r>
    </w:p>
    <w:p>
      <w:pPr>
        <w:pStyle w:val="BodyText"/>
      </w:pPr>
    </w:p>
    <w:p>
      <w:pPr>
        <w:pStyle w:val="BodyText"/>
        <w:spacing w:line="360" w:lineRule="auto" w:before="142"/>
        <w:ind w:left="100" w:right="123"/>
        <w:jc w:val="both"/>
      </w:pPr>
      <w:r>
        <w:rPr/>
        <w:t>Faludi propone como estrategia sustentable de prototipado compartir  herramientas, y tener el </w:t>
      </w:r>
      <w:r>
        <w:rPr>
          <w:spacing w:val="-2"/>
        </w:rPr>
        <w:t>más </w:t>
      </w:r>
      <w:r>
        <w:rPr/>
        <w:t>bajo número de máquinas corriendo la mayor cantidad de trabajos, así se mejoraría el impacto ambiental. El autor comenta que de las impresoras y las CNC, ambos produjeron un 40% de desperdicio, y de este modelo material tiene alto impacto ecológico por gramo que el plástico tradicional ABS debido a la alta toxicidad de ingredientes, Faludi</w:t>
      </w:r>
      <w:r>
        <w:rPr>
          <w:spacing w:val="-33"/>
        </w:rPr>
        <w:t> </w:t>
      </w:r>
      <w:r>
        <w:rPr/>
        <w:t>(2014a).</w:t>
      </w:r>
    </w:p>
    <w:p>
      <w:pPr>
        <w:pStyle w:val="BodyText"/>
      </w:pPr>
    </w:p>
    <w:p>
      <w:pPr>
        <w:pStyle w:val="BodyText"/>
        <w:spacing w:line="360" w:lineRule="auto" w:before="142"/>
        <w:ind w:left="100" w:right="125"/>
        <w:jc w:val="both"/>
      </w:pPr>
      <w:r>
        <w:rPr/>
        <w:t>De esa prueba el mismo autor concluye que si el estudio sólo midió el uso de energía, la máquina CNC podría tener el mejor impacto de las herramientas en su máxima utilización; sin embargo si el estudio solo mide desperdicio, la máquina CNC parecería la peor de las tres en la misma situación. Faludi (2014a).</w:t>
      </w:r>
    </w:p>
    <w:p>
      <w:pPr>
        <w:pStyle w:val="BodyText"/>
      </w:pPr>
    </w:p>
    <w:p>
      <w:pPr>
        <w:pStyle w:val="BodyText"/>
        <w:spacing w:line="360" w:lineRule="auto" w:before="142"/>
        <w:ind w:left="100" w:right="123"/>
        <w:jc w:val="both"/>
      </w:pPr>
      <w:r>
        <w:rPr/>
        <w:t>Faludi (2014a) afirma que el uso de corte de chorro,  mostró en estudios previos,  el mayor riesgo de salud directo para el trabajador, fueron encontrados ser insignificantes en comparación con el agotamiento de combustibles fósiles, cambio climático, y toxicidad de la producción de electricidad y desperdicio que causa riesgos a la salud ambos trabajadores y al mundo</w:t>
      </w:r>
      <w:r>
        <w:rPr>
          <w:spacing w:val="-30"/>
        </w:rPr>
        <w:t> </w:t>
      </w:r>
      <w:r>
        <w:rPr/>
        <w:t>entero.</w:t>
      </w:r>
    </w:p>
    <w:p>
      <w:pPr>
        <w:pStyle w:val="BodyText"/>
      </w:pPr>
    </w:p>
    <w:p>
      <w:pPr>
        <w:pStyle w:val="BodyText"/>
        <w:spacing w:line="360" w:lineRule="auto" w:before="142"/>
        <w:ind w:left="100" w:right="118"/>
        <w:jc w:val="both"/>
      </w:pPr>
      <w:r>
        <w:rPr/>
        <w:t>Faludi dice que es necesario tener un método científico creíble que compare estos diferentes tipos de impacto ahorraría el trabajo al propietario, al gestor del laboratorio de prototipado, u otro que tome decisiones (ninguno de los cuales son científicos ambientales) para comparar el impacto ambiental y de salud por conjeturas inexpertas sin sustento.</w:t>
      </w:r>
    </w:p>
    <w:p>
      <w:pPr>
        <w:spacing w:after="0" w:line="360" w:lineRule="auto"/>
        <w:jc w:val="both"/>
        <w:sectPr>
          <w:pgSz w:w="12240" w:h="15840"/>
          <w:pgMar w:header="0" w:footer="1031" w:top="1360" w:bottom="1220" w:left="1600" w:right="1580"/>
        </w:sectPr>
      </w:pPr>
    </w:p>
    <w:p>
      <w:pPr>
        <w:pStyle w:val="BodyText"/>
        <w:spacing w:line="360" w:lineRule="auto" w:before="55"/>
        <w:ind w:left="100" w:right="124"/>
        <w:jc w:val="both"/>
      </w:pPr>
      <w:r>
        <w:rPr/>
        <w:t>De esta comparación de Faludi (2014a), concluye que la calidad de acabado superficial y tolerancias para las tres máquinas (ThermoJet 3DS, FDM 3000 Stratasys y EOSINT M250 Xtended EOS) son aceptables; el proceso adicional que eleva la calidad del FDM es la calidad o restar procesamiento del fresado CNC reduce el impacto a cambio de menor calidad, podría cambiar los resultados.</w:t>
      </w:r>
    </w:p>
    <w:p>
      <w:pPr>
        <w:pStyle w:val="BodyText"/>
      </w:pPr>
    </w:p>
    <w:p>
      <w:pPr>
        <w:pStyle w:val="BodyText"/>
        <w:spacing w:line="360" w:lineRule="auto" w:before="142"/>
        <w:ind w:left="100" w:right="123"/>
        <w:jc w:val="both"/>
      </w:pPr>
      <w:r>
        <w:rPr/>
        <w:t>Faludi et. al., (2015) en su artículo “Es el material de elección que conduce a una impresión 3D sustentable?”, dice que la impresión 3D no utiliza comúnmente materiales "verdes", que causen pocos impactos ecológicos en su extracción o producción, la posible excepción sería el bioplástico PLA, que es comúnmente utilizado, y que imprime con un bajo consumo de energía además de tener menor impacto que el plástico ABS.</w:t>
      </w:r>
    </w:p>
    <w:p>
      <w:pPr>
        <w:pStyle w:val="BodyText"/>
      </w:pPr>
    </w:p>
    <w:p>
      <w:pPr>
        <w:pStyle w:val="BodyText"/>
        <w:spacing w:line="360" w:lineRule="auto" w:before="142"/>
        <w:ind w:left="100" w:right="123"/>
        <w:jc w:val="both"/>
      </w:pPr>
      <w:r>
        <w:rPr/>
        <w:t>Faludi (2015), probó tres materiales: la inyección de tinta con parte de sal posterior a una infusión en epoxi anotó la peor escala que una impresora de escritorio FDM que imprime PLA, y similar a una de escritorio FDM que imprime PET.</w:t>
      </w:r>
    </w:p>
    <w:p>
      <w:pPr>
        <w:pStyle w:val="BodyText"/>
      </w:pPr>
    </w:p>
    <w:p>
      <w:pPr>
        <w:pStyle w:val="BodyText"/>
        <w:spacing w:line="360" w:lineRule="auto" w:before="142"/>
        <w:ind w:left="100" w:right="117"/>
        <w:jc w:val="both"/>
      </w:pPr>
      <w:r>
        <w:rPr/>
        <w:t>En dicho artículo Faludi et. al., (2015) menciona que como muchas de las diferencias que pueden hacerse de materiales e impresoras “verdes”, estas ventajas sólo pueden realizarse si la utilización de la máquina es también optimizado para evitar perdida de electricidad a través de la perdida de potencia por inactividad entre impresiones, o un parámetro de impresión ineficiente. Agrega que la inactividad es particularmente importante. Él afirma que una impresora funcionando con una baja operación (imprimiendo una pieza a la semana pero encendida todo este tiempo) puede tener hasta aproximadamente 95 veces la puntuación de impacto ecológico como la misma impresora en funcionamiento a la máxima utilización (imprimir 24 horas / día, 7 días / semana, 4 piezas / impresión).</w:t>
      </w:r>
    </w:p>
    <w:p>
      <w:pPr>
        <w:pStyle w:val="BodyText"/>
      </w:pPr>
    </w:p>
    <w:p>
      <w:pPr>
        <w:pStyle w:val="BodyText"/>
        <w:spacing w:line="360" w:lineRule="auto" w:before="142"/>
        <w:ind w:left="100" w:right="118"/>
        <w:jc w:val="both"/>
      </w:pPr>
      <w:r>
        <w:rPr/>
        <w:t>Es enriquecedora la aportación y sugerencia de Faludi al concluir que la industria debería diseñar interfaces de impresora que ayude a maximizar el uso de la impresora para evitar tiempo de inactividad y amortizar impactos de las máquinas.</w:t>
      </w:r>
    </w:p>
    <w:p>
      <w:pPr>
        <w:spacing w:after="0" w:line="360" w:lineRule="auto"/>
        <w:jc w:val="both"/>
        <w:sectPr>
          <w:pgSz w:w="12240" w:h="15840"/>
          <w:pgMar w:header="0" w:footer="1031" w:top="1360" w:bottom="1220" w:left="1600" w:right="1580"/>
        </w:sectPr>
      </w:pPr>
    </w:p>
    <w:p>
      <w:pPr>
        <w:pStyle w:val="BodyText"/>
        <w:spacing w:line="360" w:lineRule="auto" w:before="55"/>
        <w:ind w:left="100" w:right="123"/>
        <w:jc w:val="both"/>
      </w:pPr>
      <w:r>
        <w:rPr/>
        <w:t>Por ejemplo Faludi propone que las interfaces que encaminen a compartir impresoras entre múltiples usuarios, interfaces para minimizar el uso de material (y por tanto también tiempo de impresión) en máquinas FDM, o interfaces para maximizar el número de piezas impresas juntos para máquinas SLA, PolyJet, y de inyección de tinta.</w:t>
      </w:r>
    </w:p>
    <w:p>
      <w:pPr>
        <w:pStyle w:val="BodyText"/>
      </w:pPr>
    </w:p>
    <w:p>
      <w:pPr>
        <w:pStyle w:val="BodyText"/>
        <w:spacing w:line="360" w:lineRule="auto" w:before="142"/>
        <w:ind w:left="100" w:right="121"/>
        <w:jc w:val="both"/>
      </w:pPr>
      <w:r>
        <w:rPr/>
        <w:t>Faludi (2015) concluye que idealmente la industria puede también dirigirse al modelo de negocio donde propiamente los materiales son la primera fuente de ganancia, con las impresoras simplemente como un vehículo para la demanda de material por lo que es factible una mayor experimentación de materiales. La impresión 3D </w:t>
      </w:r>
      <w:r>
        <w:rPr>
          <w:spacing w:val="-3"/>
        </w:rPr>
        <w:t>ya </w:t>
      </w:r>
      <w:r>
        <w:rPr/>
        <w:t>puede ser un método de manufactura más sustentable para varios productos; con esfuerzos como estos, esto debe convertirse en una manera </w:t>
      </w:r>
      <w:r>
        <w:rPr>
          <w:spacing w:val="-2"/>
        </w:rPr>
        <w:t>más </w:t>
      </w:r>
      <w:r>
        <w:rPr/>
        <w:t>verde de fabricar </w:t>
      </w:r>
      <w:r>
        <w:rPr>
          <w:spacing w:val="-2"/>
        </w:rPr>
        <w:t>más</w:t>
      </w:r>
      <w:r>
        <w:rPr>
          <w:spacing w:val="-8"/>
        </w:rPr>
        <w:t> </w:t>
      </w:r>
      <w:r>
        <w:rPr/>
        <w:t>productos.</w:t>
      </w:r>
    </w:p>
    <w:p>
      <w:pPr>
        <w:pStyle w:val="BodyText"/>
      </w:pPr>
    </w:p>
    <w:p>
      <w:pPr>
        <w:spacing w:line="360" w:lineRule="auto" w:before="138"/>
        <w:ind w:left="100" w:right="124" w:firstLine="0"/>
        <w:jc w:val="both"/>
        <w:rPr>
          <w:sz w:val="24"/>
        </w:rPr>
      </w:pPr>
      <w:r>
        <w:rPr>
          <w:sz w:val="24"/>
        </w:rPr>
        <w:t>En otro artículo “La s</w:t>
      </w:r>
      <w:r>
        <w:rPr>
          <w:i/>
          <w:sz w:val="24"/>
        </w:rPr>
        <w:t>ustentabilidad de impresión 3D vs mecanizado: es el tipo de </w:t>
      </w:r>
      <w:r>
        <w:rPr>
          <w:i/>
          <w:sz w:val="24"/>
        </w:rPr>
        <w:t>máquina o el tamaño?”, </w:t>
      </w:r>
      <w:r>
        <w:rPr>
          <w:sz w:val="24"/>
        </w:rPr>
        <w:t>Faludi et. al., (2014b) compara cuatro impresoras 3D con dos fresadoras CNC para encontrar si es mayor o menor, o ciertos tipos de máquina (FDM vs. SLA vs. Polyjet) cuál es </w:t>
      </w:r>
      <w:r>
        <w:rPr>
          <w:spacing w:val="-2"/>
          <w:sz w:val="24"/>
        </w:rPr>
        <w:t>más </w:t>
      </w:r>
      <w:r>
        <w:rPr>
          <w:sz w:val="24"/>
        </w:rPr>
        <w:t>sostenible para fabricar  prototipos.</w:t>
      </w:r>
    </w:p>
    <w:p>
      <w:pPr>
        <w:pStyle w:val="BodyText"/>
      </w:pPr>
    </w:p>
    <w:p>
      <w:pPr>
        <w:pStyle w:val="BodyText"/>
        <w:spacing w:line="360" w:lineRule="auto" w:before="141"/>
        <w:ind w:left="100" w:right="118"/>
        <w:jc w:val="both"/>
      </w:pPr>
      <w:r>
        <w:rPr/>
        <w:t>Y el resultado que define el autor es que los impactos ambientales hechos por parte dependían mucho más en la utilización de la máquina que el tipo de máquina o el tamaño, ver </w:t>
      </w:r>
      <w:hyperlink w:history="true" w:anchor="_bookmark137">
        <w:r>
          <w:rPr/>
          <w:t>Figura 4.2</w:t>
        </w:r>
      </w:hyperlink>
      <w:r>
        <w:rPr/>
        <w:t> muestra un 18x a 80x diferencia frente a la figura del 3.1.al 20% de 14x, o hasta 27x si el punto de datos anómala está incluido.) Impresión varias partes a la vez en el Polyjet y SLA también hicieron grande diferencias que tipo de máquina ver </w:t>
      </w:r>
      <w:hyperlink w:history="true" w:anchor="_bookmark136">
        <w:r>
          <w:rPr/>
          <w:t>Figura 4.1</w:t>
        </w:r>
      </w:hyperlink>
    </w:p>
    <w:p>
      <w:pPr>
        <w:pStyle w:val="BodyText"/>
      </w:pPr>
    </w:p>
    <w:p>
      <w:pPr>
        <w:pStyle w:val="BodyText"/>
        <w:spacing w:line="360" w:lineRule="auto" w:before="142"/>
        <w:ind w:left="100" w:right="117"/>
        <w:jc w:val="both"/>
      </w:pPr>
      <w:r>
        <w:rPr/>
        <w:t>Una conclusión de Faludi (2014b), fue que aunque algunos tipos de máquinas producen menor impacto que otros (por ejemplo, la FDM escritorio), el intercambio de   máquinas   para   maximizar   la   utilización   es   la   estrategia   superior  </w:t>
      </w:r>
      <w:r>
        <w:rPr>
          <w:spacing w:val="60"/>
        </w:rPr>
        <w:t> </w:t>
      </w:r>
      <w:r>
        <w:rPr/>
        <w:t>de</w:t>
      </w:r>
    </w:p>
    <w:p>
      <w:pPr>
        <w:spacing w:after="0" w:line="360" w:lineRule="auto"/>
        <w:jc w:val="both"/>
        <w:sectPr>
          <w:pgSz w:w="12240" w:h="15840"/>
          <w:pgMar w:header="0" w:footer="1031" w:top="1360" w:bottom="1220" w:left="1600" w:right="1580"/>
        </w:sectPr>
      </w:pPr>
    </w:p>
    <w:p>
      <w:pPr>
        <w:pStyle w:val="BodyText"/>
        <w:spacing w:line="362" w:lineRule="auto" w:before="55"/>
        <w:ind w:left="100" w:right="125"/>
        <w:jc w:val="both"/>
      </w:pPr>
      <w:r>
        <w:rPr/>
        <w:t>sostenibilidad para todas las máquinas, es más importante que el tipo de máquina o tamaño.</w:t>
      </w:r>
    </w:p>
    <w:p>
      <w:pPr>
        <w:pStyle w:val="BodyText"/>
        <w:ind w:left="2329"/>
        <w:rPr>
          <w:sz w:val="20"/>
        </w:rPr>
      </w:pPr>
      <w:r>
        <w:rPr>
          <w:sz w:val="20"/>
        </w:rPr>
        <w:drawing>
          <wp:inline distT="0" distB="0" distL="0" distR="0">
            <wp:extent cx="2778756" cy="2048255"/>
            <wp:effectExtent l="0" t="0" r="0" b="0"/>
            <wp:docPr id="197" name="image103.jpeg" descr=""/>
            <wp:cNvGraphicFramePr>
              <a:graphicFrameLocks noChangeAspect="1"/>
            </wp:cNvGraphicFramePr>
            <a:graphic>
              <a:graphicData uri="http://schemas.openxmlformats.org/drawingml/2006/picture">
                <pic:pic>
                  <pic:nvPicPr>
                    <pic:cNvPr id="198" name="image103.jpeg"/>
                    <pic:cNvPicPr/>
                  </pic:nvPicPr>
                  <pic:blipFill>
                    <a:blip r:embed="rId166" cstate="print"/>
                    <a:stretch>
                      <a:fillRect/>
                    </a:stretch>
                  </pic:blipFill>
                  <pic:spPr>
                    <a:xfrm>
                      <a:off x="0" y="0"/>
                      <a:ext cx="2778756" cy="2048255"/>
                    </a:xfrm>
                    <a:prstGeom prst="rect">
                      <a:avLst/>
                    </a:prstGeom>
                  </pic:spPr>
                </pic:pic>
              </a:graphicData>
            </a:graphic>
          </wp:inline>
        </w:drawing>
      </w:r>
      <w:r>
        <w:rPr>
          <w:sz w:val="20"/>
        </w:rPr>
      </w:r>
    </w:p>
    <w:p>
      <w:pPr>
        <w:spacing w:before="112"/>
        <w:ind w:left="1241" w:right="1029" w:firstLine="0"/>
        <w:jc w:val="center"/>
        <w:rPr>
          <w:sz w:val="18"/>
        </w:rPr>
      </w:pPr>
      <w:bookmarkStart w:name="_bookmark136" w:id="214"/>
      <w:bookmarkEnd w:id="214"/>
      <w:r>
        <w:rPr/>
      </w:r>
      <w:r>
        <w:rPr>
          <w:sz w:val="18"/>
        </w:rPr>
        <w:t>Figura 4.1. Impactos por pieza, que funciona a la máxima utilización. (Fuente: Faludi, 2014).</w:t>
      </w:r>
    </w:p>
    <w:p>
      <w:pPr>
        <w:pStyle w:val="BodyText"/>
        <w:rPr>
          <w:sz w:val="20"/>
        </w:rPr>
      </w:pPr>
    </w:p>
    <w:p>
      <w:pPr>
        <w:pStyle w:val="BodyText"/>
        <w:spacing w:before="10"/>
        <w:rPr>
          <w:sz w:val="12"/>
        </w:rPr>
      </w:pPr>
      <w:r>
        <w:rPr/>
        <w:drawing>
          <wp:anchor distT="0" distB="0" distL="0" distR="0" allowOverlap="1" layoutInCell="1" locked="0" behindDoc="0" simplePos="0" relativeHeight="2104">
            <wp:simplePos x="0" y="0"/>
            <wp:positionH relativeFrom="page">
              <wp:posOffset>2264664</wp:posOffset>
            </wp:positionH>
            <wp:positionV relativeFrom="paragraph">
              <wp:posOffset>119187</wp:posOffset>
            </wp:positionV>
            <wp:extent cx="3235392" cy="1650491"/>
            <wp:effectExtent l="0" t="0" r="0" b="0"/>
            <wp:wrapTopAndBottom/>
            <wp:docPr id="199" name="image104.jpeg" descr=""/>
            <wp:cNvGraphicFramePr>
              <a:graphicFrameLocks noChangeAspect="1"/>
            </wp:cNvGraphicFramePr>
            <a:graphic>
              <a:graphicData uri="http://schemas.openxmlformats.org/drawingml/2006/picture">
                <pic:pic>
                  <pic:nvPicPr>
                    <pic:cNvPr id="200" name="image104.jpeg"/>
                    <pic:cNvPicPr/>
                  </pic:nvPicPr>
                  <pic:blipFill>
                    <a:blip r:embed="rId167" cstate="print"/>
                    <a:stretch>
                      <a:fillRect/>
                    </a:stretch>
                  </pic:blipFill>
                  <pic:spPr>
                    <a:xfrm>
                      <a:off x="0" y="0"/>
                      <a:ext cx="3235392" cy="1650491"/>
                    </a:xfrm>
                    <a:prstGeom prst="rect">
                      <a:avLst/>
                    </a:prstGeom>
                  </pic:spPr>
                </pic:pic>
              </a:graphicData>
            </a:graphic>
          </wp:anchor>
        </w:drawing>
      </w:r>
    </w:p>
    <w:p>
      <w:pPr>
        <w:spacing w:before="84"/>
        <w:ind w:left="1235" w:right="1029" w:firstLine="0"/>
        <w:jc w:val="center"/>
        <w:rPr>
          <w:sz w:val="18"/>
        </w:rPr>
      </w:pPr>
      <w:bookmarkStart w:name="_bookmark137" w:id="215"/>
      <w:bookmarkEnd w:id="215"/>
      <w:r>
        <w:rPr/>
      </w:r>
      <w:r>
        <w:rPr>
          <w:sz w:val="18"/>
        </w:rPr>
        <w:t>Figura 4.2. Impactos de inactividad vs. máxima utilización. (Fuente: Faludi, 2014).</w:t>
      </w:r>
    </w:p>
    <w:p>
      <w:pPr>
        <w:pStyle w:val="BodyText"/>
        <w:rPr>
          <w:sz w:val="18"/>
        </w:rPr>
      </w:pPr>
    </w:p>
    <w:p>
      <w:pPr>
        <w:pStyle w:val="BodyText"/>
        <w:spacing w:before="2"/>
        <w:rPr>
          <w:sz w:val="18"/>
        </w:rPr>
      </w:pPr>
    </w:p>
    <w:p>
      <w:pPr>
        <w:pStyle w:val="BodyText"/>
        <w:spacing w:line="360" w:lineRule="auto"/>
        <w:ind w:left="100" w:right="125"/>
        <w:jc w:val="both"/>
      </w:pPr>
      <w:r>
        <w:rPr/>
        <w:t>Como se mencionó anteriormente la sustentabilidad abarca aspectos sociales, que en este caso se refiere a la salud de la persona, al manejo de los materiales que pueden ser tóxicos como veremos a continuación con Stephens.</w:t>
      </w:r>
    </w:p>
    <w:p>
      <w:pPr>
        <w:pStyle w:val="BodyText"/>
      </w:pPr>
    </w:p>
    <w:p>
      <w:pPr>
        <w:pStyle w:val="BodyText"/>
        <w:spacing w:line="360" w:lineRule="auto" w:before="142"/>
        <w:ind w:left="100" w:right="115"/>
        <w:jc w:val="both"/>
      </w:pPr>
      <w:r>
        <w:rPr/>
        <w:t>De las emisiones de gases que se producen en la impresión 3D, Stephens (2013), afirma que varios estudios epidemiológicos recientes han demostrado que las concentraciones de números UFP Partículas Ultra Finas (</w:t>
      </w:r>
      <w:r>
        <w:rPr>
          <w:i/>
        </w:rPr>
        <w:t>Ultra Fine Particles</w:t>
      </w:r>
      <w:r>
        <w:rPr/>
        <w:t>), elevados se asocian con efectos adversos para la salud, incluida la mortalidad total y cardio-respiratorio (Stölzel et al., 2007; citado en Stephens, et. al., 2013),  los ingresos hospitalarios por ictus (Andersen et al., 2010), y los síntomas del asma (Peters et al., 1997, Penttinen et al., 2001 y Von Klot et al., 2002;  </w:t>
      </w:r>
      <w:r>
        <w:rPr>
          <w:spacing w:val="58"/>
        </w:rPr>
        <w:t> </w:t>
      </w:r>
      <w:r>
        <w:rPr/>
        <w:t>citado en</w:t>
      </w:r>
    </w:p>
    <w:p>
      <w:pPr>
        <w:spacing w:after="0" w:line="360" w:lineRule="auto"/>
        <w:jc w:val="both"/>
        <w:sectPr>
          <w:pgSz w:w="12240" w:h="15840"/>
          <w:pgMar w:header="0" w:footer="1031" w:top="1360" w:bottom="1220" w:left="1600" w:right="1580"/>
        </w:sectPr>
      </w:pPr>
    </w:p>
    <w:p>
      <w:pPr>
        <w:pStyle w:val="BodyText"/>
        <w:spacing w:line="360" w:lineRule="auto" w:before="55"/>
        <w:ind w:left="100" w:right="103"/>
        <w:jc w:val="both"/>
      </w:pPr>
      <w:r>
        <w:rPr/>
        <w:t>Stephens, et. al., 2013). Por lo tanto, los resultados en este documento sugieren que se debe tener precaución al operar estos instrumentos de impresión en 3D dentro de los ambientes interiores sin ventilación o sin filtro, debido a sus grandes emisiones de UFP. Parte de sus conclusiones fueron las siguientes:</w:t>
      </w:r>
    </w:p>
    <w:p>
      <w:pPr>
        <w:pStyle w:val="BodyText"/>
      </w:pPr>
    </w:p>
    <w:p>
      <w:pPr>
        <w:spacing w:line="360" w:lineRule="auto" w:before="140"/>
        <w:ind w:left="809" w:right="98" w:firstLine="0"/>
        <w:jc w:val="both"/>
        <w:rPr>
          <w:sz w:val="24"/>
        </w:rPr>
      </w:pPr>
      <w:r>
        <w:rPr>
          <w:i/>
          <w:sz w:val="20"/>
        </w:rPr>
        <w:t>Las tasas de emisión de UFP totales fueron aproximadamente un orden de magnitud  </w:t>
      </w:r>
      <w:r>
        <w:rPr>
          <w:i/>
          <w:sz w:val="20"/>
        </w:rPr>
        <w:t>mayor para las impresoras 3D que utilizan termoplástico ABS materia prima relativa en relación con la materia prima de PLA. </w:t>
      </w:r>
      <w:r>
        <w:rPr>
          <w:i/>
          <w:spacing w:val="-3"/>
          <w:sz w:val="20"/>
        </w:rPr>
        <w:t>Sin </w:t>
      </w:r>
      <w:r>
        <w:rPr>
          <w:i/>
          <w:sz w:val="20"/>
        </w:rPr>
        <w:t>embargo ambos pueden ser caracterizados  como "altos emisores" de UFP. Estos resultados sugieren que </w:t>
      </w:r>
      <w:r>
        <w:rPr>
          <w:i/>
          <w:spacing w:val="4"/>
          <w:sz w:val="20"/>
        </w:rPr>
        <w:t>se </w:t>
      </w:r>
      <w:r>
        <w:rPr>
          <w:i/>
          <w:sz w:val="20"/>
        </w:rPr>
        <w:t>debe tener precaución cuando se opera algunos impresoras 3D disponibles en el mercado sin ventilación o filtros inadecuados en ambientes interiores. Además experimentos más controlados deben llevarse a cabo para evaluar las emisiones de aerosol de una gama más amplia de impresoras 3D de escritorio y materias primas. </w:t>
      </w:r>
      <w:r>
        <w:rPr>
          <w:sz w:val="24"/>
        </w:rPr>
        <w:t>(Stephens, et. al.,</w:t>
      </w:r>
      <w:r>
        <w:rPr>
          <w:spacing w:val="-19"/>
          <w:sz w:val="24"/>
        </w:rPr>
        <w:t> </w:t>
      </w:r>
      <w:r>
        <w:rPr>
          <w:sz w:val="24"/>
        </w:rPr>
        <w:t>2013).</w:t>
      </w:r>
    </w:p>
    <w:p>
      <w:pPr>
        <w:pStyle w:val="BodyText"/>
      </w:pPr>
    </w:p>
    <w:p>
      <w:pPr>
        <w:pStyle w:val="BodyText"/>
        <w:spacing w:line="360" w:lineRule="auto" w:before="141"/>
        <w:ind w:left="100" w:right="104"/>
        <w:jc w:val="both"/>
      </w:pPr>
      <w:r>
        <w:rPr/>
        <w:t>De lo anterior es importante tener la precaución tomando medidas como ventilar el área de trabajo donde se ubiquen las impresoras o contar con purificadores de aire, ya que estas partículas de plástico caliente pueden causar daño a la salud como se mencionó en el párrafo anterior. Al ver </w:t>
      </w:r>
      <w:hyperlink w:history="true" w:anchor="_bookmark138">
        <w:r>
          <w:rPr/>
          <w:t>Figura 4.3</w:t>
        </w:r>
      </w:hyperlink>
      <w:r>
        <w:rPr/>
        <w:t> podemos contemplar cuantitativamente que las emisiones del PLA son inferiores en comparación las del ABS, por lo tanto es mejor oler las partículas del PLA.</w:t>
      </w:r>
    </w:p>
    <w:p>
      <w:pPr>
        <w:pStyle w:val="BodyText"/>
        <w:rPr>
          <w:sz w:val="20"/>
        </w:rPr>
      </w:pPr>
    </w:p>
    <w:p>
      <w:pPr>
        <w:pStyle w:val="BodyText"/>
        <w:spacing w:before="9"/>
        <w:rPr>
          <w:sz w:val="12"/>
        </w:rPr>
      </w:pPr>
      <w:r>
        <w:rPr/>
        <w:drawing>
          <wp:anchor distT="0" distB="0" distL="0" distR="0" allowOverlap="1" layoutInCell="1" locked="0" behindDoc="0" simplePos="0" relativeHeight="2128">
            <wp:simplePos x="0" y="0"/>
            <wp:positionH relativeFrom="page">
              <wp:posOffset>1675764</wp:posOffset>
            </wp:positionH>
            <wp:positionV relativeFrom="paragraph">
              <wp:posOffset>118553</wp:posOffset>
            </wp:positionV>
            <wp:extent cx="4452758" cy="2282285"/>
            <wp:effectExtent l="0" t="0" r="0" b="0"/>
            <wp:wrapTopAndBottom/>
            <wp:docPr id="201" name="image105.jpeg" descr=""/>
            <wp:cNvGraphicFramePr>
              <a:graphicFrameLocks noChangeAspect="1"/>
            </wp:cNvGraphicFramePr>
            <a:graphic>
              <a:graphicData uri="http://schemas.openxmlformats.org/drawingml/2006/picture">
                <pic:pic>
                  <pic:nvPicPr>
                    <pic:cNvPr id="202" name="image105.jpeg"/>
                    <pic:cNvPicPr/>
                  </pic:nvPicPr>
                  <pic:blipFill>
                    <a:blip r:embed="rId168" cstate="print"/>
                    <a:stretch>
                      <a:fillRect/>
                    </a:stretch>
                  </pic:blipFill>
                  <pic:spPr>
                    <a:xfrm>
                      <a:off x="0" y="0"/>
                      <a:ext cx="4452758" cy="2282285"/>
                    </a:xfrm>
                    <a:prstGeom prst="rect">
                      <a:avLst/>
                    </a:prstGeom>
                  </pic:spPr>
                </pic:pic>
              </a:graphicData>
            </a:graphic>
          </wp:anchor>
        </w:drawing>
      </w:r>
    </w:p>
    <w:p>
      <w:pPr>
        <w:spacing w:line="242" w:lineRule="auto" w:before="43"/>
        <w:ind w:left="1241" w:right="1014" w:firstLine="7"/>
        <w:jc w:val="center"/>
        <w:rPr>
          <w:sz w:val="18"/>
        </w:rPr>
      </w:pPr>
      <w:bookmarkStart w:name="_bookmark138" w:id="216"/>
      <w:bookmarkEnd w:id="216"/>
      <w:r>
        <w:rPr/>
      </w:r>
      <w:r>
        <w:rPr>
          <w:sz w:val="18"/>
        </w:rPr>
        <w:t>Figura 4.3</w:t>
      </w:r>
      <w:r>
        <w:rPr>
          <w:b/>
          <w:sz w:val="18"/>
        </w:rPr>
        <w:t>.</w:t>
      </w:r>
      <w:r>
        <w:rPr>
          <w:sz w:val="18"/>
        </w:rPr>
        <w:t>Tasas individuales de emisión de UFP de las impresoras 3D que utilizan dos tipos de materias primas termoplásticas en este estudio: (a) las tasas de emisión de tamaño con resolución (11.5e116 nm) y (b) total de UFP (&lt;100 nm) las tasas de emisión. (Fuente: Stephens et al., 2013).</w:t>
      </w:r>
    </w:p>
    <w:p>
      <w:pPr>
        <w:spacing w:after="0" w:line="242" w:lineRule="auto"/>
        <w:jc w:val="center"/>
        <w:rPr>
          <w:sz w:val="18"/>
        </w:rPr>
        <w:sectPr>
          <w:pgSz w:w="12240" w:h="15840"/>
          <w:pgMar w:header="0" w:footer="1031" w:top="1360" w:bottom="1220" w:left="1600" w:right="1600"/>
        </w:sectPr>
      </w:pPr>
    </w:p>
    <w:p>
      <w:pPr>
        <w:pStyle w:val="BodyText"/>
        <w:spacing w:line="362" w:lineRule="auto" w:before="55"/>
        <w:ind w:left="100" w:right="103"/>
        <w:jc w:val="both"/>
      </w:pPr>
      <w:r>
        <w:rPr/>
        <w:t>Dicho resultado afirma que el PLA es menos nocivo en comparación con el ABS, podemos mencionar otro punto a favor.</w:t>
      </w:r>
    </w:p>
    <w:p>
      <w:pPr>
        <w:pStyle w:val="BodyText"/>
      </w:pPr>
    </w:p>
    <w:p>
      <w:pPr>
        <w:pStyle w:val="BodyText"/>
        <w:spacing w:line="360" w:lineRule="auto" w:before="139"/>
        <w:ind w:left="100" w:right="98"/>
        <w:jc w:val="both"/>
      </w:pPr>
      <w:r>
        <w:rPr/>
        <w:t>Respecto al material de impresión, Vink (2002) define que el PLA es el mejor material a imprimir, que los polímeros de recursos renovables pueden ser significativamente más bajos en las emisiones de gases de efecto invernadero y energía fósil usados hoy en día en comparación con polímeros basados en petroquímicos convencionales.  A largo plazo, ACV demuestra que los procesos  de producción de PLA pueden llegar a convertirse en energía libre de la fósil y una fuente de bonos de carbono. Este brillante futuro vendrá sólo con una significante inversión de tiempo, esfuerzo y dinero. Un final, el beneficio importante de ACV es que puede servir como una herramienta de monitoreo de rentabilidad de inversión con el</w:t>
      </w:r>
      <w:r>
        <w:rPr>
          <w:spacing w:val="-11"/>
        </w:rPr>
        <w:t> </w:t>
      </w:r>
      <w:r>
        <w:rPr/>
        <w:t>tiempo.</w:t>
      </w:r>
    </w:p>
    <w:p>
      <w:pPr>
        <w:pStyle w:val="BodyText"/>
      </w:pPr>
    </w:p>
    <w:p>
      <w:pPr>
        <w:pStyle w:val="BodyText"/>
        <w:spacing w:before="3"/>
        <w:rPr>
          <w:sz w:val="29"/>
        </w:rPr>
      </w:pPr>
    </w:p>
    <w:p>
      <w:pPr>
        <w:pStyle w:val="Heading2"/>
        <w:numPr>
          <w:ilvl w:val="1"/>
          <w:numId w:val="53"/>
        </w:numPr>
        <w:tabs>
          <w:tab w:pos="677" w:val="left" w:leader="none"/>
        </w:tabs>
        <w:spacing w:line="240" w:lineRule="auto" w:before="0" w:after="0"/>
        <w:ind w:left="676" w:right="0" w:hanging="576"/>
        <w:jc w:val="both"/>
      </w:pPr>
      <w:bookmarkStart w:name="4.3. ¿Qué es  ácido poliláctico (PLA)?" w:id="217"/>
      <w:bookmarkEnd w:id="217"/>
      <w:r>
        <w:rPr/>
      </w:r>
      <w:bookmarkStart w:name="_bookmark139" w:id="218"/>
      <w:bookmarkEnd w:id="218"/>
      <w:r>
        <w:rPr/>
      </w:r>
      <w:bookmarkStart w:name="_bookmark139" w:id="219"/>
      <w:bookmarkEnd w:id="219"/>
      <w:r>
        <w:rPr/>
        <w:t>¿</w:t>
      </w:r>
      <w:r>
        <w:rPr/>
        <w:t>Qué es  ácido poliláctico</w:t>
      </w:r>
      <w:r>
        <w:rPr>
          <w:spacing w:val="-12"/>
        </w:rPr>
        <w:t> </w:t>
      </w:r>
      <w:r>
        <w:rPr/>
        <w:t>(PLA)?</w:t>
      </w:r>
    </w:p>
    <w:p>
      <w:pPr>
        <w:pStyle w:val="BodyText"/>
        <w:rPr>
          <w:sz w:val="28"/>
        </w:rPr>
      </w:pPr>
    </w:p>
    <w:p>
      <w:pPr>
        <w:pStyle w:val="BodyText"/>
        <w:spacing w:before="8"/>
        <w:rPr>
          <w:sz w:val="22"/>
        </w:rPr>
      </w:pPr>
    </w:p>
    <w:p>
      <w:pPr>
        <w:pStyle w:val="BodyText"/>
        <w:spacing w:line="360" w:lineRule="auto"/>
        <w:ind w:left="100" w:right="104"/>
        <w:jc w:val="both"/>
      </w:pPr>
      <w:r>
        <w:rPr/>
        <w:t>En este apartado se comentará qué es el PLA, el proceso de obtención, cualidades, en qué países y empresas se produce, así como enunciar las aplicaciones que tiene; y se fundamentara en Herryman (2005), Henton (2005) y Wijk (2015).</w:t>
      </w:r>
    </w:p>
    <w:p>
      <w:pPr>
        <w:pStyle w:val="BodyText"/>
      </w:pPr>
    </w:p>
    <w:p>
      <w:pPr>
        <w:pStyle w:val="BodyText"/>
        <w:spacing w:line="360" w:lineRule="auto" w:before="142"/>
        <w:ind w:left="100" w:right="98"/>
        <w:jc w:val="both"/>
      </w:pPr>
      <w:r>
        <w:rPr/>
        <w:t>Es sabido que los recursos petroleros son limitados y que ahora se genera investigación para diseñar plásticos biodegradables, biopolímeros, uno de estos es el ácido poliláctico (PLA). Según Wijk (2015), el PLA se considera que es el más importante de todos los poliésteres de base biológica en el mercado, que es generalmente producido a partir de azúcar (remolacha azucarera, cañas de azúcar,</w:t>
      </w:r>
      <w:r>
        <w:rPr>
          <w:spacing w:val="-9"/>
        </w:rPr>
        <w:t> </w:t>
      </w:r>
      <w:r>
        <w:rPr/>
        <w:t>maíz).</w:t>
      </w:r>
    </w:p>
    <w:p>
      <w:pPr>
        <w:pStyle w:val="BodyText"/>
      </w:pPr>
    </w:p>
    <w:p>
      <w:pPr>
        <w:pStyle w:val="BodyText"/>
        <w:spacing w:line="357" w:lineRule="auto" w:before="142"/>
        <w:ind w:left="100" w:right="102"/>
        <w:jc w:val="both"/>
      </w:pPr>
      <w:r>
        <w:rPr/>
        <w:t>El ácido láctico (ácido 2-hidroxipropanoico o ácido hidroxipropiónico), es un líquido siruposo, incoloro, soluble en éter, miscible con agua y alcohol e insoluble en cloroformo, éter de petróleo y disulfuro de carbono o un sólido de punto de   fusión</w:t>
      </w:r>
    </w:p>
    <w:p>
      <w:pPr>
        <w:spacing w:after="0" w:line="357" w:lineRule="auto"/>
        <w:jc w:val="both"/>
        <w:sectPr>
          <w:pgSz w:w="12240" w:h="15840"/>
          <w:pgMar w:header="0" w:footer="1031" w:top="1360" w:bottom="1220" w:left="1600" w:right="1600"/>
        </w:sectPr>
      </w:pPr>
    </w:p>
    <w:p>
      <w:pPr>
        <w:pStyle w:val="BodyText"/>
        <w:spacing w:line="360" w:lineRule="auto" w:before="55"/>
        <w:ind w:left="100" w:right="121"/>
        <w:jc w:val="both"/>
      </w:pPr>
      <w:r>
        <w:rPr/>
        <w:t>bajo en estado puro. Es una biomolécula presente en gran parte de los seres vivos y un componente normal en la sangre y los músculos de los animales. Fue descubierto por Scheele en 1780; definición de Herryman (2005).</w:t>
      </w:r>
    </w:p>
    <w:p>
      <w:pPr>
        <w:pStyle w:val="BodyText"/>
      </w:pPr>
    </w:p>
    <w:p>
      <w:pPr>
        <w:pStyle w:val="BodyText"/>
        <w:spacing w:line="360" w:lineRule="auto" w:before="142"/>
        <w:ind w:left="100" w:right="123"/>
        <w:jc w:val="both"/>
      </w:pPr>
      <w:r>
        <w:rPr/>
        <w:t>Herryman afirma que los estudios se dirigen a la obtención de ácido láctico a partir de materias residuales y su posterior transformación en compuestos químicos intermedios, disolventes, plastificantes y resinas.</w:t>
      </w:r>
    </w:p>
    <w:p>
      <w:pPr>
        <w:pStyle w:val="BodyText"/>
      </w:pPr>
    </w:p>
    <w:p>
      <w:pPr>
        <w:pStyle w:val="BodyText"/>
        <w:spacing w:line="360" w:lineRule="auto" w:before="142"/>
        <w:ind w:left="100" w:right="127"/>
        <w:jc w:val="both"/>
      </w:pPr>
      <w:r>
        <w:rPr/>
        <w:t>Para Herryman en cuanto a las materias primas, comenta que existe una gran variedad y deben reunir las siguientes características: costo reducido, bajo nivel de contaminantes, alta velocidad de fermentación, gran rendimiento en ácido láctico, poca o ninguna formación de subproductos, posibilidad de ser fermentada con poco o ningún pre-tratamiento y disponibilidad durante todo el año.</w:t>
      </w:r>
    </w:p>
    <w:p>
      <w:pPr>
        <w:pStyle w:val="BodyText"/>
      </w:pPr>
    </w:p>
    <w:p>
      <w:pPr>
        <w:pStyle w:val="BodyText"/>
        <w:spacing w:line="360" w:lineRule="auto" w:before="142"/>
        <w:ind w:left="100" w:right="116"/>
        <w:jc w:val="both"/>
      </w:pPr>
      <w:r>
        <w:rPr/>
        <w:t>Herryman, 2005, los microorganismos que producen ácido láctico son diversos y dependen de cada industria y están protegidos bajo patente. En general, pertenecen al género Lactobacillus. Hay dos clases de bacterias, las homofermentativas, que producen ácido láctico casi exclusivamente y las heterofermentativas, que producen subproductos en cantidades apreciables. Las empleadas en la industria son las homofermentativas. También es posible emplear cepas de hongos como Rhizopus que producen ácido L (+) láctico.</w:t>
      </w:r>
    </w:p>
    <w:p>
      <w:pPr>
        <w:pStyle w:val="BodyText"/>
      </w:pPr>
    </w:p>
    <w:p>
      <w:pPr>
        <w:pStyle w:val="BodyText"/>
        <w:spacing w:before="142"/>
        <w:ind w:left="100"/>
        <w:jc w:val="both"/>
      </w:pPr>
      <w:r>
        <w:rPr/>
        <w:t>Para Henton, las principales etapas de la producción de ácido láctico consisten en:</w:t>
      </w:r>
    </w:p>
    <w:p>
      <w:pPr>
        <w:pStyle w:val="BodyText"/>
        <w:spacing w:line="357" w:lineRule="auto" w:before="140"/>
        <w:ind w:left="100" w:right="123"/>
        <w:jc w:val="both"/>
      </w:pPr>
      <w:r>
        <w:rPr/>
        <w:t>(1) fermentación, (2) remoción celular de la masa y de la proteína, (3)  recuperación y purificación de ácido láctico, (4) la concentración de ácido láctico,</w:t>
      </w:r>
      <w:r>
        <w:rPr>
          <w:spacing w:val="8"/>
        </w:rPr>
        <w:t> </w:t>
      </w:r>
      <w:r>
        <w:rPr/>
        <w:t>y</w:t>
      </w:r>
    </w:p>
    <w:p>
      <w:pPr>
        <w:pStyle w:val="BodyText"/>
        <w:spacing w:before="8"/>
        <w:ind w:left="100"/>
        <w:jc w:val="both"/>
      </w:pPr>
      <w:r>
        <w:rPr/>
        <w:t>(5) la eliminación del color.</w:t>
      </w:r>
    </w:p>
    <w:p>
      <w:pPr>
        <w:pStyle w:val="BodyText"/>
      </w:pPr>
    </w:p>
    <w:p>
      <w:pPr>
        <w:pStyle w:val="BodyText"/>
      </w:pPr>
    </w:p>
    <w:p>
      <w:pPr>
        <w:pStyle w:val="BodyText"/>
        <w:spacing w:line="360" w:lineRule="auto"/>
        <w:ind w:left="100" w:right="124"/>
        <w:jc w:val="both"/>
      </w:pPr>
      <w:r>
        <w:rPr/>
        <w:t>Henton describe el proceso que inicia con el ácido láctico producido por la fermentación de dextrosa, seguido por una reacción de condensación continua de ácido láctico acuoso para producir bajo peso molecular PLA prepolímero.  Después, los oligómeros de bajo peso molecular se convierten en una mezcla  </w:t>
      </w:r>
      <w:r>
        <w:rPr>
          <w:spacing w:val="30"/>
        </w:rPr>
        <w:t> </w:t>
      </w:r>
      <w:r>
        <w:rPr/>
        <w:t>de</w:t>
      </w:r>
    </w:p>
    <w:p>
      <w:pPr>
        <w:spacing w:after="0" w:line="360" w:lineRule="auto"/>
        <w:jc w:val="both"/>
        <w:sectPr>
          <w:pgSz w:w="12240" w:h="15840"/>
          <w:pgMar w:header="0" w:footer="1031" w:top="1360" w:bottom="1220" w:left="1600" w:right="1580"/>
        </w:sectPr>
      </w:pPr>
    </w:p>
    <w:p>
      <w:pPr>
        <w:pStyle w:val="BodyText"/>
        <w:spacing w:line="360" w:lineRule="auto" w:before="55" w:after="4"/>
        <w:ind w:left="100" w:right="117"/>
        <w:jc w:val="both"/>
      </w:pPr>
      <w:r>
        <w:rPr/>
        <w:t>estereoisómeros de lactida utilizando un catalizador para mejorar la velocidad y la selectividad de la reacción de ciclación intramolecular. La mezcla de lactida fundida se purifica luego por destilación al vacío. Por último, alto polímero PLA se produce utilizando un órgano estaño catalizado, de apertura de anillo de lactida de polimerización en la masa fundida, completamente elimina el uso de disolventes costosos y perjudiciales para el medio ambiente. Después de que la  polimerización es completada, se elimina cualquier monómero restante bajo vacío y se recicla al comienzo del proceso, ver </w:t>
      </w:r>
      <w:hyperlink w:history="true" w:anchor="_bookmark140">
        <w:r>
          <w:rPr/>
          <w:t>Figura</w:t>
        </w:r>
        <w:r>
          <w:rPr>
            <w:spacing w:val="-19"/>
          </w:rPr>
          <w:t> </w:t>
        </w:r>
        <w:r>
          <w:rPr/>
          <w:t>4.4</w:t>
        </w:r>
      </w:hyperlink>
    </w:p>
    <w:p>
      <w:pPr>
        <w:pStyle w:val="BodyText"/>
        <w:ind w:left="1535"/>
        <w:rPr>
          <w:sz w:val="20"/>
        </w:rPr>
      </w:pPr>
      <w:r>
        <w:rPr>
          <w:sz w:val="20"/>
        </w:rPr>
        <w:drawing>
          <wp:inline distT="0" distB="0" distL="0" distR="0">
            <wp:extent cx="3770802" cy="2264759"/>
            <wp:effectExtent l="0" t="0" r="0" b="0"/>
            <wp:docPr id="203" name="image106.jpeg" descr=""/>
            <wp:cNvGraphicFramePr>
              <a:graphicFrameLocks noChangeAspect="1"/>
            </wp:cNvGraphicFramePr>
            <a:graphic>
              <a:graphicData uri="http://schemas.openxmlformats.org/drawingml/2006/picture">
                <pic:pic>
                  <pic:nvPicPr>
                    <pic:cNvPr id="204" name="image106.jpeg"/>
                    <pic:cNvPicPr/>
                  </pic:nvPicPr>
                  <pic:blipFill>
                    <a:blip r:embed="rId169" cstate="print"/>
                    <a:stretch>
                      <a:fillRect/>
                    </a:stretch>
                  </pic:blipFill>
                  <pic:spPr>
                    <a:xfrm>
                      <a:off x="0" y="0"/>
                      <a:ext cx="3770802" cy="2264759"/>
                    </a:xfrm>
                    <a:prstGeom prst="rect">
                      <a:avLst/>
                    </a:prstGeom>
                  </pic:spPr>
                </pic:pic>
              </a:graphicData>
            </a:graphic>
          </wp:inline>
        </w:drawing>
      </w:r>
      <w:r>
        <w:rPr>
          <w:sz w:val="20"/>
        </w:rPr>
      </w:r>
    </w:p>
    <w:p>
      <w:pPr>
        <w:spacing w:line="244" w:lineRule="auto" w:before="108"/>
        <w:ind w:left="4110" w:right="1109" w:hanging="2773"/>
        <w:jc w:val="left"/>
        <w:rPr>
          <w:sz w:val="18"/>
        </w:rPr>
      </w:pPr>
      <w:bookmarkStart w:name="_bookmark140" w:id="220"/>
      <w:bookmarkEnd w:id="220"/>
      <w:r>
        <w:rPr/>
      </w:r>
      <w:r>
        <w:rPr>
          <w:sz w:val="18"/>
        </w:rPr>
        <w:t>Figura 4.4</w:t>
      </w:r>
      <w:r>
        <w:rPr>
          <w:b/>
          <w:sz w:val="18"/>
        </w:rPr>
        <w:t>. </w:t>
      </w:r>
      <w:r>
        <w:rPr>
          <w:sz w:val="18"/>
        </w:rPr>
        <w:t>Proceso no disolvente para preparar ácido poliláctico. (Fuente: Henton, et. al., 2005).</w:t>
      </w:r>
    </w:p>
    <w:p>
      <w:pPr>
        <w:pStyle w:val="BodyText"/>
        <w:rPr>
          <w:sz w:val="18"/>
        </w:rPr>
      </w:pPr>
    </w:p>
    <w:p>
      <w:pPr>
        <w:pStyle w:val="BodyText"/>
        <w:spacing w:before="10"/>
        <w:rPr>
          <w:sz w:val="17"/>
        </w:rPr>
      </w:pPr>
    </w:p>
    <w:p>
      <w:pPr>
        <w:pStyle w:val="BodyText"/>
        <w:spacing w:line="360" w:lineRule="auto" w:before="1"/>
        <w:ind w:left="100" w:right="120"/>
        <w:jc w:val="both"/>
      </w:pPr>
      <w:r>
        <w:rPr/>
        <w:t>Herryman, asegura que la polimerización del ácido láctico da lugar a polímeros de ácido poliláctico (PLA) que, con otras moléculas poliméricas naturales, permiten la obtención de productos reabsorbibles y biodegradables.</w:t>
      </w:r>
    </w:p>
    <w:p>
      <w:pPr>
        <w:pStyle w:val="BodyText"/>
      </w:pPr>
    </w:p>
    <w:p>
      <w:pPr>
        <w:pStyle w:val="BodyText"/>
        <w:spacing w:line="360" w:lineRule="auto" w:before="142"/>
        <w:ind w:left="100" w:right="120"/>
        <w:jc w:val="both"/>
      </w:pPr>
      <w:r>
        <w:rPr/>
        <w:t>Para Herryman, el PLA es uno de los de mayor potencial para sustituir a los plásticos convencionales por sus excelentes propiedades físicas y mecánicas y porque puede procesarse utilizando las maquinarias existentes con solo ajustes menores.</w:t>
      </w:r>
    </w:p>
    <w:p>
      <w:pPr>
        <w:pStyle w:val="BodyText"/>
      </w:pPr>
    </w:p>
    <w:p>
      <w:pPr>
        <w:pStyle w:val="BodyText"/>
        <w:spacing w:line="360" w:lineRule="auto" w:before="142"/>
        <w:ind w:left="100" w:right="125"/>
        <w:jc w:val="both"/>
      </w:pPr>
      <w:r>
        <w:rPr/>
        <w:t>El mismo autor asegura que los polímeros de PLA son totalmente composteables en las instalaciones existentes, y que con equipamiento apropiado, se puede convertir  de  nuevo  en  monómero,  que  puede  ser  convertido  nuevamente  en</w:t>
      </w:r>
    </w:p>
    <w:p>
      <w:pPr>
        <w:spacing w:after="0" w:line="360" w:lineRule="auto"/>
        <w:jc w:val="both"/>
        <w:sectPr>
          <w:pgSz w:w="12240" w:h="15840"/>
          <w:pgMar w:header="0" w:footer="1031" w:top="1360" w:bottom="1220" w:left="1600" w:right="1580"/>
        </w:sectPr>
      </w:pPr>
    </w:p>
    <w:p>
      <w:pPr>
        <w:pStyle w:val="BodyText"/>
        <w:spacing w:line="360" w:lineRule="auto" w:before="55"/>
        <w:ind w:left="100" w:right="116"/>
        <w:jc w:val="both"/>
      </w:pPr>
      <w:r>
        <w:rPr/>
        <w:t>polímero. Él propone como alternativa, puede biodegradarse en agua, dióxido de carbono y material orgánico. Al final del ACV de un producto basado en PLA, éste puede descomponerse en sus partes más simples de manera que no quede ninguna señal del producto original.</w:t>
      </w:r>
    </w:p>
    <w:p>
      <w:pPr>
        <w:pStyle w:val="BodyText"/>
      </w:pPr>
    </w:p>
    <w:p>
      <w:pPr>
        <w:pStyle w:val="BodyText"/>
        <w:spacing w:line="360" w:lineRule="auto" w:before="142"/>
        <w:ind w:left="100" w:right="120"/>
        <w:jc w:val="both"/>
      </w:pPr>
      <w:r>
        <w:rPr/>
        <w:t>Herryman (2005) dice que el PLA se puede formular para ser tanto rígido como flexible y copolimerizarse con otros materiales; también producirse con propiedades mecánicas apropiadas para procesos de fabricación específicos  como moldeo por inyección, extrusión de lámina, moldeo por soplado, termoformación, formación de películas e hilado, con la mayoría de las técnicas y equipos</w:t>
      </w:r>
      <w:r>
        <w:rPr>
          <w:spacing w:val="-17"/>
        </w:rPr>
        <w:t> </w:t>
      </w:r>
      <w:r>
        <w:rPr/>
        <w:t>convencionales.</w:t>
      </w:r>
    </w:p>
    <w:p>
      <w:pPr>
        <w:pStyle w:val="BodyText"/>
        <w:spacing w:before="11"/>
        <w:rPr>
          <w:sz w:val="35"/>
        </w:rPr>
      </w:pPr>
    </w:p>
    <w:p>
      <w:pPr>
        <w:pStyle w:val="BodyText"/>
        <w:spacing w:line="360" w:lineRule="auto"/>
        <w:ind w:left="100" w:right="117"/>
        <w:jc w:val="both"/>
      </w:pPr>
      <w:r>
        <w:rPr/>
        <w:t>Henton (2005) en su artículo </w:t>
      </w:r>
      <w:r>
        <w:rPr>
          <w:i/>
        </w:rPr>
        <w:t>Polylactic Acid Technology, </w:t>
      </w:r>
      <w:r>
        <w:rPr/>
        <w:t>comenta que PURAC® ha sido el mayor productor mundial de ácido láctico y que también Cargill Dow. Y Herryman (2005) comenta que los principales productores son Estados Unidos, Japón y Brasil con alrededor del 60 % del ácido que se produce en el mundo. En Europa, Holanda, Inglaterra y España tienen las mayores capacidades de fabricación y China también es un productor de</w:t>
      </w:r>
      <w:r>
        <w:rPr>
          <w:spacing w:val="-35"/>
        </w:rPr>
        <w:t> </w:t>
      </w:r>
      <w:r>
        <w:rPr/>
        <w:t>consideración.</w:t>
      </w:r>
    </w:p>
    <w:p>
      <w:pPr>
        <w:pStyle w:val="BodyText"/>
      </w:pPr>
    </w:p>
    <w:p>
      <w:pPr>
        <w:pStyle w:val="BodyText"/>
        <w:spacing w:line="360" w:lineRule="auto" w:before="142"/>
        <w:ind w:left="100" w:right="124"/>
        <w:jc w:val="both"/>
      </w:pPr>
      <w:r>
        <w:rPr/>
        <w:t>Hay diferentes grados de ácido láctico, cada uno que varía en pureza  dependiendo de su uso final de aplicación. Se emplea en la industria alimentaria como acidulante, distintas ramas de la industria como farmacéutica, química, textil, cuero y calzado, microbiológica, agroquímica y cosméticos; Herryman,</w:t>
      </w:r>
      <w:r>
        <w:rPr>
          <w:spacing w:val="-33"/>
        </w:rPr>
        <w:t> </w:t>
      </w:r>
      <w:r>
        <w:rPr/>
        <w:t>2005.</w:t>
      </w:r>
    </w:p>
    <w:p>
      <w:pPr>
        <w:pStyle w:val="BodyText"/>
      </w:pPr>
    </w:p>
    <w:p>
      <w:pPr>
        <w:pStyle w:val="BodyText"/>
        <w:spacing w:line="360" w:lineRule="auto" w:before="142"/>
        <w:ind w:left="100" w:right="122"/>
        <w:jc w:val="both"/>
      </w:pPr>
      <w:r>
        <w:rPr/>
        <w:t>Herryman (2005) concluye que el ácido láctico es un producto químico que puede obtenerse de materias primas renovables entre las que están las de la industria azucarera. En el mundo, su empleo para la fabricación de polímeros biodegradables (PLA) está teniendo mucho auge porque se degradan y contribuyen a la disminución de la contaminación y por su capacidad para ser reabsorbidos por el organismo, que los hace apropiados para múltiples usos. Y</w:t>
      </w:r>
    </w:p>
    <w:p>
      <w:pPr>
        <w:spacing w:after="0" w:line="360" w:lineRule="auto"/>
        <w:jc w:val="both"/>
        <w:sectPr>
          <w:pgSz w:w="12240" w:h="15840"/>
          <w:pgMar w:header="0" w:footer="1031" w:top="1360" w:bottom="1220" w:left="1600" w:right="1580"/>
        </w:sectPr>
      </w:pPr>
    </w:p>
    <w:p>
      <w:pPr>
        <w:pStyle w:val="BodyText"/>
        <w:spacing w:line="362" w:lineRule="auto" w:before="55"/>
        <w:ind w:left="100" w:right="100"/>
        <w:jc w:val="both"/>
      </w:pPr>
      <w:r>
        <w:rPr/>
        <w:t>otra muy importante que también señala es que puede sustituir a los plásticos de la petroquímica en muchos</w:t>
      </w:r>
      <w:r>
        <w:rPr>
          <w:spacing w:val="-18"/>
        </w:rPr>
        <w:t> </w:t>
      </w:r>
      <w:r>
        <w:rPr/>
        <w:t>campos.</w:t>
      </w:r>
    </w:p>
    <w:p>
      <w:pPr>
        <w:pStyle w:val="BodyText"/>
      </w:pPr>
    </w:p>
    <w:p>
      <w:pPr>
        <w:pStyle w:val="BodyText"/>
        <w:rPr>
          <w:sz w:val="29"/>
        </w:rPr>
      </w:pPr>
    </w:p>
    <w:p>
      <w:pPr>
        <w:pStyle w:val="Heading2"/>
        <w:numPr>
          <w:ilvl w:val="2"/>
          <w:numId w:val="54"/>
        </w:numPr>
        <w:tabs>
          <w:tab w:pos="821" w:val="left" w:leader="none"/>
        </w:tabs>
        <w:spacing w:line="240" w:lineRule="auto" w:before="0" w:after="0"/>
        <w:ind w:left="821" w:right="0" w:hanging="721"/>
        <w:jc w:val="both"/>
      </w:pPr>
      <w:bookmarkStart w:name="4.3.1. PLA para impresión 3D" w:id="221"/>
      <w:bookmarkEnd w:id="221"/>
      <w:r>
        <w:rPr/>
      </w:r>
      <w:bookmarkStart w:name="_bookmark141" w:id="222"/>
      <w:bookmarkEnd w:id="222"/>
      <w:r>
        <w:rPr/>
      </w:r>
      <w:bookmarkStart w:name="_bookmark141" w:id="223"/>
      <w:bookmarkEnd w:id="223"/>
      <w:r>
        <w:rPr/>
        <w:t>P</w:t>
      </w:r>
      <w:r>
        <w:rPr/>
        <w:t>LA para impresión</w:t>
      </w:r>
      <w:r>
        <w:rPr>
          <w:spacing w:val="-4"/>
        </w:rPr>
        <w:t> </w:t>
      </w:r>
      <w:r>
        <w:rPr/>
        <w:t>3D</w:t>
      </w:r>
    </w:p>
    <w:p>
      <w:pPr>
        <w:pStyle w:val="BodyText"/>
        <w:rPr>
          <w:sz w:val="28"/>
        </w:rPr>
      </w:pPr>
    </w:p>
    <w:p>
      <w:pPr>
        <w:pStyle w:val="BodyText"/>
        <w:spacing w:before="4"/>
        <w:rPr>
          <w:sz w:val="22"/>
        </w:rPr>
      </w:pPr>
    </w:p>
    <w:p>
      <w:pPr>
        <w:pStyle w:val="BodyText"/>
        <w:spacing w:line="360" w:lineRule="auto"/>
        <w:ind w:left="100" w:right="102"/>
        <w:jc w:val="both"/>
      </w:pPr>
      <w:r>
        <w:rPr/>
        <w:t>Weinhoffer (2012) define el PLA como un plástico a base de maíz biodegradable. Imprime a ~ 180 ° C, y no se deforma, por lo que puede imprimir cosas grandes sin una cama caliente, el autor enlista aspectos que se deben considerar para el filamento del</w:t>
      </w:r>
      <w:r>
        <w:rPr>
          <w:spacing w:val="-15"/>
        </w:rPr>
        <w:t> </w:t>
      </w:r>
      <w:r>
        <w:rPr/>
        <w:t>mismo:</w:t>
      </w:r>
    </w:p>
    <w:p>
      <w:pPr>
        <w:pStyle w:val="BodyText"/>
      </w:pPr>
    </w:p>
    <w:p>
      <w:pPr>
        <w:pStyle w:val="ListParagraph"/>
        <w:numPr>
          <w:ilvl w:val="0"/>
          <w:numId w:val="29"/>
        </w:numPr>
        <w:tabs>
          <w:tab w:pos="273" w:val="left" w:leader="none"/>
        </w:tabs>
        <w:spacing w:line="357" w:lineRule="auto" w:before="141" w:after="0"/>
        <w:ind w:left="100" w:right="110" w:firstLine="0"/>
        <w:jc w:val="both"/>
        <w:rPr>
          <w:sz w:val="24"/>
        </w:rPr>
      </w:pPr>
      <w:r>
        <w:rPr>
          <w:sz w:val="24"/>
        </w:rPr>
        <w:t>Para todas las impresoras, la boquilla debe ser de ~ 0,2 mm de distancia de la cama (aproximadamente el grosor de una hoja de</w:t>
      </w:r>
      <w:r>
        <w:rPr>
          <w:spacing w:val="-30"/>
          <w:sz w:val="24"/>
        </w:rPr>
        <w:t> </w:t>
      </w:r>
      <w:r>
        <w:rPr>
          <w:sz w:val="24"/>
        </w:rPr>
        <w:t>papel).</w:t>
      </w:r>
    </w:p>
    <w:p>
      <w:pPr>
        <w:pStyle w:val="ListParagraph"/>
        <w:numPr>
          <w:ilvl w:val="0"/>
          <w:numId w:val="29"/>
        </w:numPr>
        <w:tabs>
          <w:tab w:pos="261" w:val="left" w:leader="none"/>
        </w:tabs>
        <w:spacing w:line="360" w:lineRule="auto" w:before="9" w:after="0"/>
        <w:ind w:left="100" w:right="101" w:firstLine="0"/>
        <w:jc w:val="both"/>
        <w:rPr>
          <w:sz w:val="24"/>
        </w:rPr>
      </w:pPr>
      <w:r>
        <w:rPr>
          <w:sz w:val="24"/>
        </w:rPr>
        <w:t>Debido a su baja temperatura de fusión, probablemente no sería una buena idea dejar una parte PLA en su coche en un día caluroso de verano porque puede deformarse.</w:t>
      </w:r>
    </w:p>
    <w:p>
      <w:pPr>
        <w:pStyle w:val="ListParagraph"/>
        <w:numPr>
          <w:ilvl w:val="0"/>
          <w:numId w:val="29"/>
        </w:numPr>
        <w:tabs>
          <w:tab w:pos="253" w:val="left" w:leader="none"/>
        </w:tabs>
        <w:spacing w:line="240" w:lineRule="auto" w:before="2" w:after="0"/>
        <w:ind w:left="252" w:right="0" w:hanging="152"/>
        <w:jc w:val="both"/>
        <w:rPr>
          <w:sz w:val="24"/>
        </w:rPr>
      </w:pPr>
      <w:r>
        <w:rPr>
          <w:sz w:val="24"/>
        </w:rPr>
        <w:t>Disponible en 1.75mm y 3</w:t>
      </w:r>
      <w:r>
        <w:rPr>
          <w:spacing w:val="-19"/>
          <w:sz w:val="24"/>
        </w:rPr>
        <w:t> </w:t>
      </w:r>
      <w:r>
        <w:rPr>
          <w:sz w:val="24"/>
        </w:rPr>
        <w:t>mm.</w:t>
      </w:r>
    </w:p>
    <w:p>
      <w:pPr>
        <w:pStyle w:val="BodyText"/>
      </w:pPr>
    </w:p>
    <w:p>
      <w:pPr>
        <w:pStyle w:val="BodyText"/>
      </w:pPr>
    </w:p>
    <w:p>
      <w:pPr>
        <w:pStyle w:val="BodyText"/>
        <w:spacing w:line="360" w:lineRule="auto"/>
        <w:ind w:left="100" w:right="100"/>
        <w:jc w:val="both"/>
      </w:pPr>
      <w:r>
        <w:rPr/>
        <w:t>Para Wijk (2015) el PLA es preferido por su amplio rango de disponibilidad de colores y translúcidos y sensación brillante, que frecuentemente es usado para trabajos de arte y pequeños productos caseros, también que muchos aprecian su origen bio-base y prefieren su olor semi-dulce por encima del ABS; al igual que cuando está completamente frío muestra tener detalle, combinado con el bajo pandeo de piezas, esto lo hace un plástico popular para el hogar, impresores, aficionados y escuelas.</w:t>
      </w:r>
    </w:p>
    <w:p>
      <w:pPr>
        <w:pStyle w:val="BodyText"/>
        <w:spacing w:before="11"/>
        <w:rPr>
          <w:sz w:val="35"/>
        </w:rPr>
      </w:pPr>
    </w:p>
    <w:p>
      <w:pPr>
        <w:spacing w:line="362" w:lineRule="auto" w:before="0"/>
        <w:ind w:left="100" w:right="103" w:firstLine="0"/>
        <w:jc w:val="both"/>
        <w:rPr>
          <w:sz w:val="24"/>
        </w:rPr>
      </w:pPr>
      <w:r>
        <w:rPr>
          <w:sz w:val="24"/>
        </w:rPr>
        <w:t>Wijk (2015) en su libro </w:t>
      </w:r>
      <w:r>
        <w:rPr>
          <w:i/>
          <w:sz w:val="24"/>
        </w:rPr>
        <w:t>La impresión 3D con biomateriales, hacia una economía </w:t>
      </w:r>
      <w:r>
        <w:rPr>
          <w:i/>
          <w:sz w:val="24"/>
        </w:rPr>
        <w:t>sostenible y circular</w:t>
      </w:r>
      <w:r>
        <w:rPr>
          <w:sz w:val="24"/>
        </w:rPr>
        <w:t>, muestra el proceso de producción del PLA Ver siguiente </w:t>
      </w:r>
      <w:hyperlink w:history="true" w:anchor="_bookmark142">
        <w:r>
          <w:rPr>
            <w:sz w:val="24"/>
          </w:rPr>
          <w:t>Figura 4.5</w:t>
        </w:r>
      </w:hyperlink>
    </w:p>
    <w:p>
      <w:pPr>
        <w:spacing w:after="0" w:line="362" w:lineRule="auto"/>
        <w:jc w:val="both"/>
        <w:rPr>
          <w:sz w:val="24"/>
        </w:rPr>
        <w:sectPr>
          <w:pgSz w:w="12240" w:h="15840"/>
          <w:pgMar w:header="0" w:footer="1031" w:top="1360" w:bottom="1220" w:left="1600" w:right="1600"/>
        </w:sectPr>
      </w:pPr>
    </w:p>
    <w:p>
      <w:pPr>
        <w:pStyle w:val="BodyText"/>
        <w:ind w:left="3200"/>
        <w:rPr>
          <w:sz w:val="20"/>
        </w:rPr>
      </w:pPr>
      <w:r>
        <w:rPr>
          <w:sz w:val="20"/>
        </w:rPr>
        <w:drawing>
          <wp:inline distT="0" distB="0" distL="0" distR="0">
            <wp:extent cx="1805192" cy="3465004"/>
            <wp:effectExtent l="0" t="0" r="0" b="0"/>
            <wp:docPr id="205" name="image107.jpeg" descr=""/>
            <wp:cNvGraphicFramePr>
              <a:graphicFrameLocks noChangeAspect="1"/>
            </wp:cNvGraphicFramePr>
            <a:graphic>
              <a:graphicData uri="http://schemas.openxmlformats.org/drawingml/2006/picture">
                <pic:pic>
                  <pic:nvPicPr>
                    <pic:cNvPr id="206" name="image107.jpeg"/>
                    <pic:cNvPicPr/>
                  </pic:nvPicPr>
                  <pic:blipFill>
                    <a:blip r:embed="rId170" cstate="print"/>
                    <a:stretch>
                      <a:fillRect/>
                    </a:stretch>
                  </pic:blipFill>
                  <pic:spPr>
                    <a:xfrm>
                      <a:off x="0" y="0"/>
                      <a:ext cx="1805192" cy="3465004"/>
                    </a:xfrm>
                    <a:prstGeom prst="rect">
                      <a:avLst/>
                    </a:prstGeom>
                  </pic:spPr>
                </pic:pic>
              </a:graphicData>
            </a:graphic>
          </wp:inline>
        </w:drawing>
      </w:r>
      <w:r>
        <w:rPr>
          <w:sz w:val="20"/>
        </w:rPr>
      </w:r>
    </w:p>
    <w:p>
      <w:pPr>
        <w:pStyle w:val="BodyText"/>
        <w:spacing w:before="2"/>
        <w:rPr>
          <w:sz w:val="7"/>
        </w:rPr>
      </w:pPr>
    </w:p>
    <w:p>
      <w:pPr>
        <w:spacing w:before="77"/>
        <w:ind w:left="1512" w:right="1227" w:firstLine="0"/>
        <w:jc w:val="center"/>
        <w:rPr>
          <w:sz w:val="18"/>
        </w:rPr>
      </w:pPr>
      <w:bookmarkStart w:name="_bookmark142" w:id="224"/>
      <w:bookmarkEnd w:id="224"/>
      <w:r>
        <w:rPr/>
      </w:r>
      <w:r>
        <w:rPr>
          <w:sz w:val="18"/>
        </w:rPr>
        <w:t>Figura 4.5. Proceso de producción de PLA. (Fuente: Wijk, 2015: 53).</w:t>
      </w:r>
    </w:p>
    <w:p>
      <w:pPr>
        <w:pStyle w:val="BodyText"/>
        <w:rPr>
          <w:sz w:val="18"/>
        </w:rPr>
      </w:pPr>
    </w:p>
    <w:p>
      <w:pPr>
        <w:pStyle w:val="BodyText"/>
        <w:spacing w:before="6"/>
        <w:rPr>
          <w:sz w:val="18"/>
        </w:rPr>
      </w:pPr>
    </w:p>
    <w:p>
      <w:pPr>
        <w:pStyle w:val="BodyText"/>
        <w:spacing w:line="360" w:lineRule="auto"/>
        <w:ind w:left="220" w:right="157"/>
        <w:jc w:val="both"/>
      </w:pPr>
      <w:r>
        <w:rPr/>
        <w:t>Los plásticos bio-base pueden ser biodegradables o no biodegradables pero siempre están basados en recursos renovables. Materiales biodegradables como plásticos bio-base pueden ser desglosados por microorganismo en gases de origen natural como CO2 y CH4, agua y biomasa. Hay una diferencia entre composta de casa y composta industrial. Con el compostaje doméstico, la biodegradabilidad es total y es posible con un jardín, Wijk</w:t>
      </w:r>
      <w:r>
        <w:rPr>
          <w:spacing w:val="-40"/>
        </w:rPr>
        <w:t> </w:t>
      </w:r>
      <w:r>
        <w:rPr/>
        <w:t>(2015).</w:t>
      </w:r>
    </w:p>
    <w:p>
      <w:pPr>
        <w:pStyle w:val="BodyText"/>
      </w:pPr>
    </w:p>
    <w:p>
      <w:pPr>
        <w:pStyle w:val="BodyText"/>
        <w:spacing w:line="362" w:lineRule="auto" w:before="142"/>
        <w:ind w:left="220" w:right="159"/>
        <w:jc w:val="both"/>
      </w:pPr>
      <w:r>
        <w:rPr/>
        <w:t>En la siguiente </w:t>
      </w:r>
      <w:hyperlink w:history="true" w:anchor="_bookmark143">
        <w:r>
          <w:rPr/>
          <w:t>Tabla 4.2</w:t>
        </w:r>
      </w:hyperlink>
      <w:r>
        <w:rPr/>
        <w:t> se puede observar un comparativo de materiales de impresión, ABS y PLA según Wijk.</w:t>
      </w:r>
    </w:p>
    <w:p>
      <w:pPr>
        <w:pStyle w:val="BodyText"/>
        <w:spacing w:before="9"/>
        <w:rPr>
          <w:sz w:val="35"/>
        </w:rPr>
      </w:pPr>
    </w:p>
    <w:p>
      <w:pPr>
        <w:spacing w:before="0"/>
        <w:ind w:left="1516" w:right="1225" w:firstLine="0"/>
        <w:jc w:val="center"/>
        <w:rPr>
          <w:sz w:val="18"/>
        </w:rPr>
      </w:pPr>
      <w:bookmarkStart w:name="_bookmark143" w:id="225"/>
      <w:bookmarkEnd w:id="225"/>
      <w:r>
        <w:rPr/>
      </w:r>
      <w:r>
        <w:rPr>
          <w:sz w:val="18"/>
        </w:rPr>
        <w:t>Tabla 4.2. ABS fósil versus PLA bio.</w:t>
      </w: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092"/>
        <w:gridCol w:w="3689"/>
        <w:gridCol w:w="3201"/>
      </w:tblGrid>
      <w:tr>
        <w:trPr>
          <w:trHeight w:val="320" w:hRule="exact"/>
        </w:trPr>
        <w:tc>
          <w:tcPr>
            <w:tcW w:w="2092" w:type="dxa"/>
          </w:tcPr>
          <w:p>
            <w:pPr/>
          </w:p>
        </w:tc>
        <w:tc>
          <w:tcPr>
            <w:tcW w:w="3689" w:type="dxa"/>
          </w:tcPr>
          <w:p>
            <w:pPr>
              <w:pStyle w:val="TableParagraph"/>
              <w:spacing w:line="206" w:lineRule="exact"/>
              <w:ind w:left="489" w:right="495"/>
              <w:jc w:val="center"/>
              <w:rPr>
                <w:sz w:val="18"/>
              </w:rPr>
            </w:pPr>
            <w:r>
              <w:rPr>
                <w:sz w:val="18"/>
              </w:rPr>
              <w:t>ABS</w:t>
            </w:r>
          </w:p>
        </w:tc>
        <w:tc>
          <w:tcPr>
            <w:tcW w:w="3201" w:type="dxa"/>
          </w:tcPr>
          <w:p>
            <w:pPr>
              <w:pStyle w:val="TableParagraph"/>
              <w:spacing w:line="206" w:lineRule="exact"/>
              <w:ind w:left="316" w:right="319"/>
              <w:jc w:val="center"/>
              <w:rPr>
                <w:sz w:val="18"/>
              </w:rPr>
            </w:pPr>
            <w:r>
              <w:rPr>
                <w:sz w:val="18"/>
              </w:rPr>
              <w:t>PLA</w:t>
            </w:r>
          </w:p>
        </w:tc>
      </w:tr>
      <w:tr>
        <w:trPr>
          <w:trHeight w:val="324" w:hRule="exact"/>
        </w:trPr>
        <w:tc>
          <w:tcPr>
            <w:tcW w:w="2092" w:type="dxa"/>
          </w:tcPr>
          <w:p>
            <w:pPr>
              <w:pStyle w:val="TableParagraph"/>
              <w:spacing w:line="206" w:lineRule="exact"/>
              <w:ind w:left="117" w:right="115"/>
              <w:jc w:val="center"/>
              <w:rPr>
                <w:sz w:val="18"/>
              </w:rPr>
            </w:pPr>
            <w:r>
              <w:rPr>
                <w:sz w:val="18"/>
              </w:rPr>
              <w:t>Temperatura de fusión</w:t>
            </w:r>
          </w:p>
        </w:tc>
        <w:tc>
          <w:tcPr>
            <w:tcW w:w="3689" w:type="dxa"/>
          </w:tcPr>
          <w:p>
            <w:pPr>
              <w:pStyle w:val="TableParagraph"/>
              <w:spacing w:line="206" w:lineRule="exact"/>
              <w:ind w:left="495" w:right="495"/>
              <w:jc w:val="center"/>
              <w:rPr>
                <w:sz w:val="18"/>
              </w:rPr>
            </w:pPr>
            <w:r>
              <w:rPr>
                <w:sz w:val="18"/>
              </w:rPr>
              <w:t>225-250 grados Celsius</w:t>
            </w:r>
          </w:p>
        </w:tc>
        <w:tc>
          <w:tcPr>
            <w:tcW w:w="3201" w:type="dxa"/>
          </w:tcPr>
          <w:p>
            <w:pPr>
              <w:pStyle w:val="TableParagraph"/>
              <w:spacing w:line="206" w:lineRule="exact"/>
              <w:ind w:left="318" w:right="319"/>
              <w:jc w:val="center"/>
              <w:rPr>
                <w:sz w:val="18"/>
              </w:rPr>
            </w:pPr>
            <w:r>
              <w:rPr>
                <w:sz w:val="18"/>
              </w:rPr>
              <w:t>190-240 grados Celsius</w:t>
            </w:r>
          </w:p>
        </w:tc>
      </w:tr>
      <w:tr>
        <w:trPr>
          <w:trHeight w:val="1561" w:hRule="exact"/>
        </w:trPr>
        <w:tc>
          <w:tcPr>
            <w:tcW w:w="2092" w:type="dxa"/>
          </w:tcPr>
          <w:p>
            <w:pPr>
              <w:pStyle w:val="TableParagraph"/>
              <w:spacing w:line="202" w:lineRule="exact"/>
              <w:ind w:left="115" w:right="115"/>
              <w:jc w:val="center"/>
              <w:rPr>
                <w:sz w:val="18"/>
              </w:rPr>
            </w:pPr>
            <w:r>
              <w:rPr>
                <w:sz w:val="18"/>
              </w:rPr>
              <w:t>Humedad</w:t>
            </w:r>
          </w:p>
        </w:tc>
        <w:tc>
          <w:tcPr>
            <w:tcW w:w="3689" w:type="dxa"/>
          </w:tcPr>
          <w:p>
            <w:pPr>
              <w:pStyle w:val="TableParagraph"/>
              <w:spacing w:line="362" w:lineRule="auto"/>
              <w:ind w:left="540" w:right="96" w:hanging="437"/>
              <w:rPr>
                <w:sz w:val="18"/>
              </w:rPr>
            </w:pPr>
            <w:r>
              <w:rPr>
                <w:sz w:val="18"/>
              </w:rPr>
              <w:t>ABS con humedad se burbujea y se farfulla al imprimirse, pero fácil de secar</w:t>
            </w:r>
          </w:p>
        </w:tc>
        <w:tc>
          <w:tcPr>
            <w:tcW w:w="3201" w:type="dxa"/>
          </w:tcPr>
          <w:p>
            <w:pPr>
              <w:pStyle w:val="TableParagraph"/>
              <w:spacing w:line="360" w:lineRule="auto"/>
              <w:ind w:left="164" w:right="162" w:firstLine="3"/>
              <w:jc w:val="center"/>
              <w:rPr>
                <w:sz w:val="18"/>
              </w:rPr>
            </w:pPr>
            <w:r>
              <w:rPr>
                <w:sz w:val="18"/>
              </w:rPr>
              <w:t>PLA con humedad se burbujea y farfulla al imprimirse, no es fácil de secar, puede reaccionar con agua y a altas temperaturas se des- polimeriza</w:t>
            </w:r>
          </w:p>
        </w:tc>
      </w:tr>
    </w:tbl>
    <w:p>
      <w:pPr>
        <w:spacing w:after="0" w:line="360" w:lineRule="auto"/>
        <w:jc w:val="center"/>
        <w:rPr>
          <w:sz w:val="18"/>
        </w:rPr>
        <w:sectPr>
          <w:pgSz w:w="12240" w:h="15840"/>
          <w:pgMar w:header="0" w:footer="1031" w:top="1420" w:bottom="1220" w:left="1480" w:right="1540"/>
        </w:sectPr>
      </w:pP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092"/>
        <w:gridCol w:w="3689"/>
        <w:gridCol w:w="3201"/>
      </w:tblGrid>
      <w:tr>
        <w:trPr>
          <w:trHeight w:val="632" w:hRule="exact"/>
        </w:trPr>
        <w:tc>
          <w:tcPr>
            <w:tcW w:w="2092" w:type="dxa"/>
          </w:tcPr>
          <w:p>
            <w:pPr>
              <w:pStyle w:val="TableParagraph"/>
              <w:spacing w:line="203" w:lineRule="exact"/>
              <w:ind w:left="110" w:right="115"/>
              <w:jc w:val="center"/>
              <w:rPr>
                <w:sz w:val="18"/>
              </w:rPr>
            </w:pPr>
            <w:r>
              <w:rPr>
                <w:sz w:val="18"/>
              </w:rPr>
              <w:t>Calor</w:t>
            </w:r>
          </w:p>
        </w:tc>
        <w:tc>
          <w:tcPr>
            <w:tcW w:w="3689" w:type="dxa"/>
          </w:tcPr>
          <w:p>
            <w:pPr>
              <w:pStyle w:val="TableParagraph"/>
              <w:spacing w:line="362" w:lineRule="auto"/>
              <w:ind w:left="1276" w:right="643" w:hanging="620"/>
              <w:rPr>
                <w:sz w:val="18"/>
              </w:rPr>
            </w:pPr>
            <w:r>
              <w:rPr>
                <w:sz w:val="18"/>
              </w:rPr>
              <w:t>Menos deformación debido al calentamiento</w:t>
            </w:r>
          </w:p>
        </w:tc>
        <w:tc>
          <w:tcPr>
            <w:tcW w:w="3201" w:type="dxa"/>
          </w:tcPr>
          <w:p>
            <w:pPr>
              <w:pStyle w:val="TableParagraph"/>
              <w:spacing w:line="362" w:lineRule="auto"/>
              <w:ind w:left="1008" w:right="367" w:hanging="624"/>
              <w:rPr>
                <w:sz w:val="18"/>
              </w:rPr>
            </w:pPr>
            <w:r>
              <w:rPr>
                <w:sz w:val="18"/>
              </w:rPr>
              <w:t>El producto puede deformarse debido al calor</w:t>
            </w:r>
          </w:p>
        </w:tc>
      </w:tr>
      <w:tr>
        <w:trPr>
          <w:trHeight w:val="320" w:hRule="exact"/>
        </w:trPr>
        <w:tc>
          <w:tcPr>
            <w:tcW w:w="2092" w:type="dxa"/>
          </w:tcPr>
          <w:p>
            <w:pPr>
              <w:pStyle w:val="TableParagraph"/>
              <w:spacing w:line="202" w:lineRule="exact"/>
              <w:ind w:left="115" w:right="115"/>
              <w:jc w:val="center"/>
              <w:rPr>
                <w:sz w:val="18"/>
              </w:rPr>
            </w:pPr>
            <w:r>
              <w:rPr>
                <w:sz w:val="18"/>
              </w:rPr>
              <w:t>Olor</w:t>
            </w:r>
          </w:p>
        </w:tc>
        <w:tc>
          <w:tcPr>
            <w:tcW w:w="3689" w:type="dxa"/>
          </w:tcPr>
          <w:p>
            <w:pPr>
              <w:pStyle w:val="TableParagraph"/>
              <w:spacing w:line="202" w:lineRule="exact"/>
              <w:ind w:left="494" w:right="495"/>
              <w:jc w:val="center"/>
              <w:rPr>
                <w:sz w:val="18"/>
              </w:rPr>
            </w:pPr>
            <w:r>
              <w:rPr>
                <w:sz w:val="18"/>
              </w:rPr>
              <w:t>Olor a plástico de estireno</w:t>
            </w:r>
          </w:p>
        </w:tc>
        <w:tc>
          <w:tcPr>
            <w:tcW w:w="3201" w:type="dxa"/>
          </w:tcPr>
          <w:p>
            <w:pPr>
              <w:pStyle w:val="TableParagraph"/>
              <w:spacing w:line="202" w:lineRule="exact"/>
              <w:ind w:left="319" w:right="318"/>
              <w:jc w:val="center"/>
              <w:rPr>
                <w:sz w:val="18"/>
              </w:rPr>
            </w:pPr>
            <w:r>
              <w:rPr>
                <w:sz w:val="18"/>
              </w:rPr>
              <w:t>Maíz como olor dulce</w:t>
            </w:r>
          </w:p>
        </w:tc>
      </w:tr>
      <w:tr>
        <w:trPr>
          <w:trHeight w:val="632" w:hRule="exact"/>
        </w:trPr>
        <w:tc>
          <w:tcPr>
            <w:tcW w:w="2092" w:type="dxa"/>
          </w:tcPr>
          <w:p>
            <w:pPr>
              <w:pStyle w:val="TableParagraph"/>
              <w:spacing w:line="202" w:lineRule="exact"/>
              <w:ind w:left="110" w:right="115"/>
              <w:jc w:val="center"/>
              <w:rPr>
                <w:sz w:val="18"/>
              </w:rPr>
            </w:pPr>
            <w:r>
              <w:rPr>
                <w:sz w:val="18"/>
              </w:rPr>
              <w:t>Color</w:t>
            </w:r>
          </w:p>
        </w:tc>
        <w:tc>
          <w:tcPr>
            <w:tcW w:w="3689" w:type="dxa"/>
          </w:tcPr>
          <w:p>
            <w:pPr>
              <w:pStyle w:val="TableParagraph"/>
              <w:spacing w:line="202" w:lineRule="exact"/>
              <w:ind w:left="495" w:right="495"/>
              <w:jc w:val="center"/>
              <w:rPr>
                <w:sz w:val="18"/>
              </w:rPr>
            </w:pPr>
            <w:r>
              <w:rPr>
                <w:sz w:val="18"/>
              </w:rPr>
              <w:t>Menos brillo del color</w:t>
            </w:r>
          </w:p>
        </w:tc>
        <w:tc>
          <w:tcPr>
            <w:tcW w:w="3201" w:type="dxa"/>
          </w:tcPr>
          <w:p>
            <w:pPr>
              <w:pStyle w:val="TableParagraph"/>
              <w:spacing w:line="357" w:lineRule="auto"/>
              <w:ind w:left="1019" w:right="349" w:hanging="656"/>
              <w:rPr>
                <w:sz w:val="18"/>
              </w:rPr>
            </w:pPr>
            <w:r>
              <w:rPr>
                <w:sz w:val="18"/>
              </w:rPr>
              <w:t>Colores brillantes y radiantes y apariencia lisa</w:t>
            </w:r>
          </w:p>
        </w:tc>
      </w:tr>
      <w:tr>
        <w:trPr>
          <w:trHeight w:val="320" w:hRule="exact"/>
        </w:trPr>
        <w:tc>
          <w:tcPr>
            <w:tcW w:w="2092" w:type="dxa"/>
          </w:tcPr>
          <w:p>
            <w:pPr>
              <w:pStyle w:val="TableParagraph"/>
              <w:spacing w:line="203" w:lineRule="exact"/>
              <w:ind w:left="114" w:right="115"/>
              <w:jc w:val="center"/>
              <w:rPr>
                <w:sz w:val="18"/>
              </w:rPr>
            </w:pPr>
            <w:r>
              <w:rPr>
                <w:sz w:val="18"/>
              </w:rPr>
              <w:t>Dureza</w:t>
            </w:r>
          </w:p>
        </w:tc>
        <w:tc>
          <w:tcPr>
            <w:tcW w:w="3689" w:type="dxa"/>
          </w:tcPr>
          <w:p>
            <w:pPr>
              <w:pStyle w:val="TableParagraph"/>
              <w:spacing w:line="203" w:lineRule="exact"/>
              <w:ind w:left="488" w:right="495"/>
              <w:jc w:val="center"/>
              <w:rPr>
                <w:sz w:val="18"/>
              </w:rPr>
            </w:pPr>
            <w:r>
              <w:rPr>
                <w:sz w:val="18"/>
              </w:rPr>
              <w:t>Muy resistente y duro</w:t>
            </w:r>
          </w:p>
        </w:tc>
        <w:tc>
          <w:tcPr>
            <w:tcW w:w="3201" w:type="dxa"/>
          </w:tcPr>
          <w:p>
            <w:pPr>
              <w:pStyle w:val="TableParagraph"/>
              <w:spacing w:line="203" w:lineRule="exact"/>
              <w:ind w:left="318" w:right="319"/>
              <w:jc w:val="center"/>
              <w:rPr>
                <w:sz w:val="18"/>
              </w:rPr>
            </w:pPr>
            <w:r>
              <w:rPr>
                <w:sz w:val="18"/>
              </w:rPr>
              <w:t>Menos robusto que el ABS</w:t>
            </w:r>
          </w:p>
        </w:tc>
      </w:tr>
      <w:tr>
        <w:trPr>
          <w:trHeight w:val="320" w:hRule="exact"/>
        </w:trPr>
        <w:tc>
          <w:tcPr>
            <w:tcW w:w="2092" w:type="dxa"/>
          </w:tcPr>
          <w:p>
            <w:pPr>
              <w:pStyle w:val="TableParagraph"/>
              <w:spacing w:line="203" w:lineRule="exact"/>
              <w:ind w:left="114" w:right="115"/>
              <w:jc w:val="center"/>
              <w:rPr>
                <w:sz w:val="18"/>
              </w:rPr>
            </w:pPr>
            <w:r>
              <w:rPr>
                <w:sz w:val="18"/>
              </w:rPr>
              <w:t>Humos</w:t>
            </w:r>
          </w:p>
        </w:tc>
        <w:tc>
          <w:tcPr>
            <w:tcW w:w="3689" w:type="dxa"/>
          </w:tcPr>
          <w:p>
            <w:pPr>
              <w:pStyle w:val="TableParagraph"/>
              <w:spacing w:line="203" w:lineRule="exact"/>
              <w:ind w:left="490" w:right="495"/>
              <w:jc w:val="center"/>
              <w:rPr>
                <w:sz w:val="18"/>
              </w:rPr>
            </w:pPr>
            <w:r>
              <w:rPr>
                <w:sz w:val="18"/>
              </w:rPr>
              <w:t>Humos peligrosos</w:t>
            </w:r>
          </w:p>
        </w:tc>
        <w:tc>
          <w:tcPr>
            <w:tcW w:w="3201" w:type="dxa"/>
          </w:tcPr>
          <w:p>
            <w:pPr>
              <w:pStyle w:val="TableParagraph"/>
              <w:spacing w:line="203" w:lineRule="exact"/>
              <w:ind w:left="319" w:right="319"/>
              <w:jc w:val="center"/>
              <w:rPr>
                <w:sz w:val="18"/>
              </w:rPr>
            </w:pPr>
            <w:r>
              <w:rPr>
                <w:sz w:val="18"/>
              </w:rPr>
              <w:t>Humos no peligrosos</w:t>
            </w:r>
          </w:p>
        </w:tc>
      </w:tr>
      <w:tr>
        <w:trPr>
          <w:trHeight w:val="1565" w:hRule="exact"/>
        </w:trPr>
        <w:tc>
          <w:tcPr>
            <w:tcW w:w="2092" w:type="dxa"/>
          </w:tcPr>
          <w:p>
            <w:pPr>
              <w:pStyle w:val="TableParagraph"/>
              <w:spacing w:line="203" w:lineRule="exact"/>
              <w:ind w:left="114" w:right="115"/>
              <w:jc w:val="center"/>
              <w:rPr>
                <w:sz w:val="18"/>
              </w:rPr>
            </w:pPr>
            <w:r>
              <w:rPr>
                <w:sz w:val="18"/>
              </w:rPr>
              <w:t>Detalle</w:t>
            </w:r>
          </w:p>
        </w:tc>
        <w:tc>
          <w:tcPr>
            <w:tcW w:w="3689" w:type="dxa"/>
          </w:tcPr>
          <w:p>
            <w:pPr>
              <w:pStyle w:val="TableParagraph"/>
              <w:spacing w:line="360" w:lineRule="auto"/>
              <w:ind w:left="204" w:right="213" w:firstLine="6"/>
              <w:jc w:val="center"/>
              <w:rPr>
                <w:sz w:val="18"/>
              </w:rPr>
            </w:pPr>
            <w:r>
              <w:rPr>
                <w:sz w:val="18"/>
              </w:rPr>
              <w:t>Altura de capa superior, menos nítidez, necesita una cama de impresión caliente para menos deformación</w:t>
            </w:r>
          </w:p>
        </w:tc>
        <w:tc>
          <w:tcPr>
            <w:tcW w:w="3201" w:type="dxa"/>
          </w:tcPr>
          <w:p>
            <w:pPr>
              <w:pStyle w:val="TableParagraph"/>
              <w:spacing w:line="357" w:lineRule="auto"/>
              <w:ind w:left="319" w:right="316"/>
              <w:jc w:val="center"/>
              <w:rPr>
                <w:sz w:val="18"/>
              </w:rPr>
            </w:pPr>
            <w:r>
              <w:rPr>
                <w:sz w:val="18"/>
              </w:rPr>
              <w:t>Mayor velocidad de impresión máxima, baje</w:t>
            </w:r>
          </w:p>
          <w:p>
            <w:pPr>
              <w:pStyle w:val="TableParagraph"/>
              <w:spacing w:line="360" w:lineRule="auto" w:before="6"/>
              <w:ind w:left="319" w:right="319"/>
              <w:jc w:val="center"/>
              <w:rPr>
                <w:sz w:val="18"/>
              </w:rPr>
            </w:pPr>
            <w:r>
              <w:rPr>
                <w:sz w:val="18"/>
              </w:rPr>
              <w:t>altura de la capa, impresas más nítidas esquinas, menos deformaciones de piezas</w:t>
            </w:r>
          </w:p>
        </w:tc>
      </w:tr>
      <w:tr>
        <w:trPr>
          <w:trHeight w:val="320" w:hRule="exact"/>
        </w:trPr>
        <w:tc>
          <w:tcPr>
            <w:tcW w:w="2092" w:type="dxa"/>
          </w:tcPr>
          <w:p>
            <w:pPr>
              <w:pStyle w:val="TableParagraph"/>
              <w:spacing w:line="198" w:lineRule="exact"/>
              <w:ind w:left="115" w:right="115"/>
              <w:jc w:val="center"/>
              <w:rPr>
                <w:sz w:val="18"/>
              </w:rPr>
            </w:pPr>
            <w:r>
              <w:rPr>
                <w:sz w:val="18"/>
              </w:rPr>
              <w:t>Tiempo de vida</w:t>
            </w:r>
          </w:p>
        </w:tc>
        <w:tc>
          <w:tcPr>
            <w:tcW w:w="3689" w:type="dxa"/>
          </w:tcPr>
          <w:p>
            <w:pPr>
              <w:pStyle w:val="TableParagraph"/>
              <w:spacing w:line="198" w:lineRule="exact"/>
              <w:ind w:left="495" w:right="495"/>
              <w:jc w:val="center"/>
              <w:rPr>
                <w:sz w:val="18"/>
              </w:rPr>
            </w:pPr>
            <w:r>
              <w:rPr>
                <w:sz w:val="18"/>
              </w:rPr>
              <w:t>Productos con vida útil más larga</w:t>
            </w:r>
          </w:p>
        </w:tc>
        <w:tc>
          <w:tcPr>
            <w:tcW w:w="3201" w:type="dxa"/>
          </w:tcPr>
          <w:p>
            <w:pPr/>
          </w:p>
        </w:tc>
      </w:tr>
      <w:tr>
        <w:trPr>
          <w:trHeight w:val="628" w:hRule="exact"/>
        </w:trPr>
        <w:tc>
          <w:tcPr>
            <w:tcW w:w="2092" w:type="dxa"/>
          </w:tcPr>
          <w:p>
            <w:pPr>
              <w:pStyle w:val="TableParagraph"/>
              <w:spacing w:line="203" w:lineRule="exact"/>
              <w:ind w:left="115" w:right="115"/>
              <w:jc w:val="center"/>
              <w:rPr>
                <w:sz w:val="18"/>
              </w:rPr>
            </w:pPr>
            <w:r>
              <w:rPr>
                <w:sz w:val="18"/>
              </w:rPr>
              <w:t>Medio ambiente</w:t>
            </w:r>
          </w:p>
        </w:tc>
        <w:tc>
          <w:tcPr>
            <w:tcW w:w="3689" w:type="dxa"/>
          </w:tcPr>
          <w:p>
            <w:pPr>
              <w:pStyle w:val="TableParagraph"/>
              <w:spacing w:line="357" w:lineRule="auto"/>
              <w:ind w:left="1100" w:right="1070" w:hanging="20"/>
              <w:rPr>
                <w:sz w:val="18"/>
              </w:rPr>
            </w:pPr>
            <w:r>
              <w:rPr>
                <w:sz w:val="18"/>
              </w:rPr>
              <w:t>No biodegradables Hecho de petróleo</w:t>
            </w:r>
          </w:p>
        </w:tc>
        <w:tc>
          <w:tcPr>
            <w:tcW w:w="3201" w:type="dxa"/>
          </w:tcPr>
          <w:p>
            <w:pPr>
              <w:pStyle w:val="TableParagraph"/>
              <w:spacing w:line="357" w:lineRule="auto"/>
              <w:ind w:left="768" w:right="260" w:hanging="497"/>
              <w:rPr>
                <w:sz w:val="18"/>
              </w:rPr>
            </w:pPr>
            <w:r>
              <w:rPr>
                <w:sz w:val="18"/>
              </w:rPr>
              <w:t>Biodegradable, hecho de azúcar, maíz, soja o el maíz.</w:t>
            </w:r>
          </w:p>
        </w:tc>
      </w:tr>
    </w:tbl>
    <w:p>
      <w:pPr>
        <w:spacing w:line="203" w:lineRule="exact" w:before="0"/>
        <w:ind w:left="1287" w:right="1227" w:firstLine="0"/>
        <w:jc w:val="center"/>
        <w:rPr>
          <w:sz w:val="18"/>
        </w:rPr>
      </w:pPr>
      <w:r>
        <w:rPr>
          <w:sz w:val="18"/>
        </w:rPr>
        <w:t>(Fuente: Wijk, 2015: 52).</w:t>
      </w:r>
    </w:p>
    <w:p>
      <w:pPr>
        <w:pStyle w:val="BodyText"/>
        <w:rPr>
          <w:sz w:val="18"/>
        </w:rPr>
      </w:pPr>
    </w:p>
    <w:p>
      <w:pPr>
        <w:pStyle w:val="BodyText"/>
        <w:rPr>
          <w:sz w:val="18"/>
        </w:rPr>
      </w:pPr>
    </w:p>
    <w:p>
      <w:pPr>
        <w:pStyle w:val="BodyText"/>
        <w:spacing w:line="360" w:lineRule="auto" w:before="107"/>
        <w:ind w:left="220" w:right="166"/>
        <w:jc w:val="both"/>
      </w:pPr>
      <w:r>
        <w:rPr/>
        <w:t>Es notorio que el PLA es conveniente en el uso de impresión 3D por ser amigable con el medio ambiente, los humos no son nocivos, aunque se puede ver que en tiempo de vida no es tan larga como la del ABS.</w:t>
      </w:r>
    </w:p>
    <w:p>
      <w:pPr>
        <w:pStyle w:val="BodyText"/>
      </w:pPr>
    </w:p>
    <w:p>
      <w:pPr>
        <w:pStyle w:val="BodyText"/>
        <w:spacing w:before="3"/>
        <w:rPr>
          <w:sz w:val="29"/>
        </w:rPr>
      </w:pPr>
    </w:p>
    <w:p>
      <w:pPr>
        <w:pStyle w:val="Heading2"/>
        <w:numPr>
          <w:ilvl w:val="2"/>
          <w:numId w:val="54"/>
        </w:numPr>
        <w:tabs>
          <w:tab w:pos="1017" w:val="left" w:leader="none"/>
        </w:tabs>
        <w:spacing w:line="240" w:lineRule="auto" w:before="0" w:after="0"/>
        <w:ind w:left="1017" w:right="0" w:hanging="797"/>
        <w:jc w:val="both"/>
      </w:pPr>
      <w:bookmarkStart w:name="4.3.2.  ACV de PLA" w:id="226"/>
      <w:bookmarkEnd w:id="226"/>
      <w:r>
        <w:rPr/>
      </w:r>
      <w:bookmarkStart w:name="_bookmark144" w:id="227"/>
      <w:bookmarkEnd w:id="227"/>
      <w:r>
        <w:rPr/>
        <w:t>A</w:t>
      </w:r>
      <w:r>
        <w:rPr/>
        <w:t>CV de</w:t>
      </w:r>
      <w:r>
        <w:rPr>
          <w:spacing w:val="-2"/>
        </w:rPr>
        <w:t> </w:t>
      </w:r>
      <w:r>
        <w:rPr/>
        <w:t>PLA</w:t>
      </w:r>
    </w:p>
    <w:p>
      <w:pPr>
        <w:pStyle w:val="BodyText"/>
        <w:rPr>
          <w:sz w:val="28"/>
        </w:rPr>
      </w:pPr>
    </w:p>
    <w:p>
      <w:pPr>
        <w:pStyle w:val="BodyText"/>
        <w:spacing w:before="4"/>
        <w:rPr>
          <w:sz w:val="22"/>
        </w:rPr>
      </w:pPr>
    </w:p>
    <w:p>
      <w:pPr>
        <w:pStyle w:val="BodyText"/>
        <w:spacing w:line="360" w:lineRule="auto"/>
        <w:ind w:left="220" w:right="162"/>
        <w:jc w:val="both"/>
      </w:pPr>
      <w:r>
        <w:rPr/>
        <w:t>Henton (2005) en su libro </w:t>
      </w:r>
      <w:r>
        <w:rPr>
          <w:i/>
        </w:rPr>
        <w:t>Polylactic Acid Technology </w:t>
      </w:r>
      <w:r>
        <w:rPr/>
        <w:t>dedica un apartado para el ACV donde menciona los beneficios ecológicos de la fabricación y uso del PLA, incluyendo la comparación con otros plásticos, partiendo de la química verde, a la que le corresponde dicha tarea de obtención del PLA.</w:t>
      </w:r>
    </w:p>
    <w:p>
      <w:pPr>
        <w:pStyle w:val="BodyText"/>
      </w:pPr>
    </w:p>
    <w:p>
      <w:pPr>
        <w:pStyle w:val="BodyText"/>
        <w:spacing w:line="360" w:lineRule="auto" w:before="142"/>
        <w:ind w:left="220" w:right="157"/>
        <w:jc w:val="both"/>
      </w:pPr>
      <w:r>
        <w:rPr/>
        <w:t>Henton (2005), reflexiona acerca de la química verde y lo define como el uso de la química para la prevención de la contaminación o la producción de materiales que cumplan con la definición de sostenibilidad y que diseña los productos químicos y procesos que reducen o eliminan el uso y generación de sustancias peligrosas.</w:t>
      </w:r>
    </w:p>
    <w:p>
      <w:pPr>
        <w:spacing w:after="0" w:line="360" w:lineRule="auto"/>
        <w:jc w:val="both"/>
        <w:sectPr>
          <w:pgSz w:w="12240" w:h="15840"/>
          <w:pgMar w:header="0" w:footer="1031" w:top="1420" w:bottom="1220" w:left="1480" w:right="1540"/>
        </w:sectPr>
      </w:pPr>
    </w:p>
    <w:p>
      <w:pPr>
        <w:pStyle w:val="BodyText"/>
        <w:spacing w:line="360" w:lineRule="auto" w:before="55"/>
        <w:ind w:left="100" w:right="101"/>
        <w:jc w:val="both"/>
      </w:pPr>
      <w:r>
        <w:rPr/>
        <w:t>Al enunciar el ACV del PLA, Henton da referencia a la producida por Cargill Dow LLC, que utiliza de 20 a 50% menos combustible fósil que las resinas convencionales de plástico, lo que significa que hasta de 2 a 5 veces más PLA puede ser producido con una cantidad dada de plásticos petroquímicos derivados del combustible fósil. Ver </w:t>
      </w:r>
      <w:hyperlink w:history="true" w:anchor="_bookmark145">
        <w:r>
          <w:rPr/>
          <w:t>Figura 4.6</w:t>
        </w:r>
      </w:hyperlink>
    </w:p>
    <w:p>
      <w:pPr>
        <w:pStyle w:val="BodyText"/>
        <w:rPr>
          <w:sz w:val="20"/>
        </w:rPr>
      </w:pPr>
    </w:p>
    <w:p>
      <w:pPr>
        <w:pStyle w:val="BodyText"/>
        <w:spacing w:before="1"/>
        <w:rPr>
          <w:sz w:val="13"/>
        </w:rPr>
      </w:pPr>
      <w:r>
        <w:rPr/>
        <w:drawing>
          <wp:anchor distT="0" distB="0" distL="0" distR="0" allowOverlap="1" layoutInCell="1" locked="0" behindDoc="0" simplePos="0" relativeHeight="2152">
            <wp:simplePos x="0" y="0"/>
            <wp:positionH relativeFrom="page">
              <wp:posOffset>2244470</wp:posOffset>
            </wp:positionH>
            <wp:positionV relativeFrom="paragraph">
              <wp:posOffset>120585</wp:posOffset>
            </wp:positionV>
            <wp:extent cx="3257532" cy="2008822"/>
            <wp:effectExtent l="0" t="0" r="0" b="0"/>
            <wp:wrapTopAndBottom/>
            <wp:docPr id="207" name="image108.jpeg" descr=""/>
            <wp:cNvGraphicFramePr>
              <a:graphicFrameLocks noChangeAspect="1"/>
            </wp:cNvGraphicFramePr>
            <a:graphic>
              <a:graphicData uri="http://schemas.openxmlformats.org/drawingml/2006/picture">
                <pic:pic>
                  <pic:nvPicPr>
                    <pic:cNvPr id="208" name="image108.jpeg"/>
                    <pic:cNvPicPr/>
                  </pic:nvPicPr>
                  <pic:blipFill>
                    <a:blip r:embed="rId171" cstate="print"/>
                    <a:stretch>
                      <a:fillRect/>
                    </a:stretch>
                  </pic:blipFill>
                  <pic:spPr>
                    <a:xfrm>
                      <a:off x="0" y="0"/>
                      <a:ext cx="3257532" cy="2008822"/>
                    </a:xfrm>
                    <a:prstGeom prst="rect">
                      <a:avLst/>
                    </a:prstGeom>
                  </pic:spPr>
                </pic:pic>
              </a:graphicData>
            </a:graphic>
          </wp:anchor>
        </w:drawing>
      </w:r>
    </w:p>
    <w:p>
      <w:pPr>
        <w:spacing w:before="95"/>
        <w:ind w:left="3569" w:right="1062" w:hanging="2265"/>
        <w:jc w:val="left"/>
        <w:rPr>
          <w:sz w:val="18"/>
        </w:rPr>
      </w:pPr>
      <w:bookmarkStart w:name="_bookmark145" w:id="228"/>
      <w:bookmarkEnd w:id="228"/>
      <w:r>
        <w:rPr/>
      </w:r>
      <w:r>
        <w:rPr>
          <w:sz w:val="18"/>
        </w:rPr>
        <w:t>Figura 4.6</w:t>
      </w:r>
      <w:r>
        <w:rPr>
          <w:b/>
          <w:sz w:val="18"/>
        </w:rPr>
        <w:t>. </w:t>
      </w:r>
      <w:r>
        <w:rPr>
          <w:sz w:val="18"/>
        </w:rPr>
        <w:t>MJ / kg de energía requerida para producir diversos polímeros. (Fuente: Henton, et. al., 2005: 530).</w:t>
      </w:r>
    </w:p>
    <w:p>
      <w:pPr>
        <w:pStyle w:val="BodyText"/>
        <w:rPr>
          <w:sz w:val="18"/>
        </w:rPr>
      </w:pPr>
    </w:p>
    <w:p>
      <w:pPr>
        <w:pStyle w:val="BodyText"/>
        <w:spacing w:before="6"/>
        <w:rPr>
          <w:sz w:val="18"/>
        </w:rPr>
      </w:pPr>
    </w:p>
    <w:p>
      <w:pPr>
        <w:pStyle w:val="BodyText"/>
        <w:spacing w:line="360" w:lineRule="auto"/>
        <w:ind w:left="100" w:right="101"/>
        <w:jc w:val="both"/>
      </w:pPr>
      <w:r>
        <w:rPr/>
        <w:t>Henton menciona que se logró la capacidad de producir el polímero en una base de costo / desempeño favorable es fundamental para la realización de estos la salud humana y beneficios ambientales, agrega que esto se ha logrado a través del uso eficiente de las materias primas, la utilización de energía reducido, y la eliminación de</w:t>
      </w:r>
      <w:r>
        <w:rPr>
          <w:spacing w:val="-16"/>
        </w:rPr>
        <w:t> </w:t>
      </w:r>
      <w:r>
        <w:rPr/>
        <w:t>disolventes.</w:t>
      </w:r>
    </w:p>
    <w:p>
      <w:pPr>
        <w:pStyle w:val="BodyText"/>
        <w:spacing w:before="11"/>
        <w:rPr>
          <w:sz w:val="35"/>
        </w:rPr>
      </w:pPr>
    </w:p>
    <w:p>
      <w:pPr>
        <w:pStyle w:val="BodyText"/>
        <w:spacing w:line="360" w:lineRule="auto"/>
        <w:ind w:left="100" w:right="105"/>
        <w:jc w:val="both"/>
      </w:pPr>
      <w:r>
        <w:rPr/>
        <w:t>Él menciona que el PLA es también un polímero de gas de efecto invernadero de bajo impacto ya que el CO2 generado durante la biodegradación del PLA se equilibra con una cantidad igual tomada de la atmósfera durante el crecimiento de las materias primas vegetales.</w:t>
      </w:r>
    </w:p>
    <w:p>
      <w:pPr>
        <w:pStyle w:val="BodyText"/>
      </w:pPr>
    </w:p>
    <w:p>
      <w:pPr>
        <w:pStyle w:val="BodyText"/>
        <w:spacing w:line="360" w:lineRule="auto" w:before="142"/>
        <w:ind w:left="100" w:right="101"/>
        <w:jc w:val="both"/>
      </w:pPr>
      <w:r>
        <w:rPr/>
        <w:t>Henton (2005) menciona que los cálculos de ACV indican que PLA tiene una tasa de emisión de gases de efecto invernadero de unos 1.600 kg CO2 / tonelada, mientras  que  el  polipropileno,  poliestireno,  PET,  y nylon  tienen  valores  de los</w:t>
      </w:r>
    </w:p>
    <w:p>
      <w:pPr>
        <w:spacing w:after="0" w:line="360" w:lineRule="auto"/>
        <w:jc w:val="both"/>
        <w:sectPr>
          <w:pgSz w:w="12240" w:h="15840"/>
          <w:pgMar w:header="0" w:footer="1031" w:top="1360" w:bottom="1220" w:left="1600" w:right="1600"/>
        </w:sectPr>
      </w:pPr>
    </w:p>
    <w:p>
      <w:pPr>
        <w:pStyle w:val="BodyText"/>
        <w:spacing w:line="362" w:lineRule="auto" w:before="55"/>
        <w:ind w:left="100" w:right="98"/>
        <w:jc w:val="both"/>
      </w:pPr>
      <w:r>
        <w:rPr/>
        <w:t>gases de efecto invernadero de 1850, 2740, 4140 y 7150 kg de CO2 / tonelada métrica, respectivamente; lo que muestra menor impacto ambiental con el PLA.</w:t>
      </w:r>
    </w:p>
    <w:p>
      <w:pPr>
        <w:pStyle w:val="BodyText"/>
      </w:pPr>
    </w:p>
    <w:p>
      <w:pPr>
        <w:pStyle w:val="BodyText"/>
        <w:spacing w:line="360" w:lineRule="auto" w:before="139" w:after="4"/>
        <w:ind w:left="100" w:right="98"/>
        <w:jc w:val="both"/>
      </w:pPr>
      <w:r>
        <w:rPr/>
        <w:t>En dicha fuente se muestra la comparación relativa de la contribución de gases de efecto invernadero para el medio ambiente de los productos de plástico comunes. Ver </w:t>
      </w:r>
      <w:hyperlink w:history="true" w:anchor="_bookmark146">
        <w:r>
          <w:rPr/>
          <w:t>Figura 4.7</w:t>
        </w:r>
      </w:hyperlink>
      <w:r>
        <w:rPr/>
        <w:t> A largo plazo, como el PLA es producido a partir de desechos de campo u otros tipos de biomasa, el PLA puede convertirse en un sumidero de CO2 y en realidad contribuir a una reducción neta de gases de efecto invernadero.</w:t>
      </w:r>
    </w:p>
    <w:p>
      <w:pPr>
        <w:pStyle w:val="BodyText"/>
        <w:ind w:left="2172"/>
        <w:rPr>
          <w:sz w:val="20"/>
        </w:rPr>
      </w:pPr>
      <w:r>
        <w:rPr>
          <w:sz w:val="20"/>
        </w:rPr>
        <w:drawing>
          <wp:inline distT="0" distB="0" distL="0" distR="0">
            <wp:extent cx="2992787" cy="2449258"/>
            <wp:effectExtent l="0" t="0" r="0" b="0"/>
            <wp:docPr id="209" name="image109.jpeg" descr=""/>
            <wp:cNvGraphicFramePr>
              <a:graphicFrameLocks noChangeAspect="1"/>
            </wp:cNvGraphicFramePr>
            <a:graphic>
              <a:graphicData uri="http://schemas.openxmlformats.org/drawingml/2006/picture">
                <pic:pic>
                  <pic:nvPicPr>
                    <pic:cNvPr id="210" name="image109.jpeg"/>
                    <pic:cNvPicPr/>
                  </pic:nvPicPr>
                  <pic:blipFill>
                    <a:blip r:embed="rId172" cstate="print"/>
                    <a:stretch>
                      <a:fillRect/>
                    </a:stretch>
                  </pic:blipFill>
                  <pic:spPr>
                    <a:xfrm>
                      <a:off x="0" y="0"/>
                      <a:ext cx="2992787" cy="2449258"/>
                    </a:xfrm>
                    <a:prstGeom prst="rect">
                      <a:avLst/>
                    </a:prstGeom>
                  </pic:spPr>
                </pic:pic>
              </a:graphicData>
            </a:graphic>
          </wp:inline>
        </w:drawing>
      </w:r>
      <w:r>
        <w:rPr>
          <w:sz w:val="20"/>
        </w:rPr>
      </w:r>
    </w:p>
    <w:p>
      <w:pPr>
        <w:spacing w:line="242" w:lineRule="auto" w:before="81"/>
        <w:ind w:left="1297" w:right="1066" w:hanging="2"/>
        <w:jc w:val="center"/>
        <w:rPr>
          <w:sz w:val="18"/>
        </w:rPr>
      </w:pPr>
      <w:bookmarkStart w:name="_bookmark146" w:id="229"/>
      <w:bookmarkEnd w:id="229"/>
      <w:r>
        <w:rPr/>
      </w:r>
      <w:r>
        <w:rPr>
          <w:sz w:val="18"/>
        </w:rPr>
        <w:t>Figura 4.7</w:t>
      </w:r>
      <w:r>
        <w:rPr>
          <w:b/>
          <w:sz w:val="18"/>
        </w:rPr>
        <w:t>. </w:t>
      </w:r>
      <w:r>
        <w:rPr>
          <w:sz w:val="18"/>
        </w:rPr>
        <w:t>Las emisiones de gases de efecto invernadero (kg / tonelada) para la producción de diversos polímeros. Las emisiones a largo plazo para PLA se basan en la utilización de la biomasa para la producción de ácido láctico. (Fuente: Henton, et. al., 2005: 535).</w:t>
      </w:r>
    </w:p>
    <w:p>
      <w:pPr>
        <w:pStyle w:val="BodyText"/>
        <w:rPr>
          <w:sz w:val="18"/>
        </w:rPr>
      </w:pPr>
    </w:p>
    <w:p>
      <w:pPr>
        <w:pStyle w:val="BodyText"/>
        <w:rPr>
          <w:sz w:val="18"/>
        </w:rPr>
      </w:pPr>
    </w:p>
    <w:p>
      <w:pPr>
        <w:pStyle w:val="BodyText"/>
        <w:spacing w:line="360" w:lineRule="auto"/>
        <w:ind w:left="100" w:right="98"/>
        <w:jc w:val="both"/>
      </w:pPr>
      <w:r>
        <w:rPr/>
        <w:t>En el reciclaje los plásticos de PLA pueden ser fácilmente hidrolizados con agua para formar ácido láctico, que es luego purificado y polimerizado para rehacer polímero de primera, según Henton.</w:t>
      </w:r>
    </w:p>
    <w:p>
      <w:pPr>
        <w:pStyle w:val="BodyText"/>
      </w:pPr>
    </w:p>
    <w:p>
      <w:pPr>
        <w:pStyle w:val="BodyText"/>
        <w:spacing w:line="360" w:lineRule="auto" w:before="142"/>
        <w:ind w:left="100" w:right="98"/>
        <w:jc w:val="both"/>
      </w:pPr>
      <w:r>
        <w:rPr/>
        <w:t>Henton (2005) afirma que el PLA también se puede compostar de forma natural en humus, dióxido de carbono, y agua, con la degradación completa ocurre dentro de sólo unas pocas semanas bajo condiciones típicas de </w:t>
      </w:r>
      <w:r>
        <w:rPr>
          <w:i/>
        </w:rPr>
        <w:t>compost</w:t>
      </w:r>
      <w:r>
        <w:rPr/>
        <w:t>, como a continuación menciona el autor:</w:t>
      </w:r>
    </w:p>
    <w:p>
      <w:pPr>
        <w:pStyle w:val="BodyText"/>
      </w:pPr>
    </w:p>
    <w:p>
      <w:pPr>
        <w:spacing w:line="360" w:lineRule="auto" w:before="139"/>
        <w:ind w:left="809" w:right="0" w:firstLine="0"/>
        <w:jc w:val="left"/>
        <w:rPr>
          <w:i/>
          <w:sz w:val="20"/>
        </w:rPr>
      </w:pPr>
      <w:r>
        <w:rPr>
          <w:i/>
          <w:sz w:val="20"/>
        </w:rPr>
        <w:t>Los polímeros de ácido poliláctico, finalmente, se han convertido en una realidad comercial </w:t>
      </w:r>
      <w:r>
        <w:rPr>
          <w:i/>
          <w:sz w:val="20"/>
        </w:rPr>
        <w:t>con la construcción de una planta de escala mundial. El equilibrio coste-rendimiento de</w:t>
      </w:r>
    </w:p>
    <w:p>
      <w:pPr>
        <w:spacing w:after="0" w:line="360" w:lineRule="auto"/>
        <w:jc w:val="left"/>
        <w:rPr>
          <w:sz w:val="20"/>
        </w:rPr>
        <w:sectPr>
          <w:pgSz w:w="12240" w:h="15840"/>
          <w:pgMar w:header="0" w:footer="1031" w:top="1360" w:bottom="1220" w:left="1600" w:right="1600"/>
        </w:sectPr>
      </w:pPr>
    </w:p>
    <w:p>
      <w:pPr>
        <w:spacing w:line="360" w:lineRule="auto" w:before="53"/>
        <w:ind w:left="809" w:right="100" w:firstLine="0"/>
        <w:jc w:val="both"/>
        <w:rPr>
          <w:sz w:val="24"/>
        </w:rPr>
      </w:pPr>
      <w:r>
        <w:rPr>
          <w:i/>
          <w:sz w:val="20"/>
        </w:rPr>
        <w:t>PLA se ha traducido en su uso en muchas aplicaciones, incluido el  envasado, </w:t>
      </w:r>
      <w:r>
        <w:rPr>
          <w:i/>
          <w:sz w:val="20"/>
        </w:rPr>
        <w:t>revestimiento de papel, fibras, películas y una serie de artículos moldeados. El PLA no está siendo utilizado en estas aplicaciones únicamente a causa de su degradabilidad, ni porque se hace de recursos renovables. El PLA esta en aplicaciones durables y de corto plazo. El uso de PLA como una alternativa rentable para los productos básicos de la petroquímica basada en plásticos aumentará la demanda de productos agrícolas como el maíz y remolacha azucarera, y es un ejemplo de la tecnología avanzada sostenible</w:t>
      </w:r>
      <w:r>
        <w:rPr>
          <w:sz w:val="24"/>
        </w:rPr>
        <w:t>. (Henton, 2005).</w:t>
      </w:r>
    </w:p>
    <w:p>
      <w:pPr>
        <w:pStyle w:val="BodyText"/>
      </w:pPr>
    </w:p>
    <w:p>
      <w:pPr>
        <w:pStyle w:val="BodyText"/>
        <w:spacing w:line="360" w:lineRule="auto" w:before="142"/>
        <w:ind w:left="100" w:right="105"/>
        <w:jc w:val="both"/>
      </w:pPr>
      <w:r>
        <w:rPr/>
        <w:t>En conclusión el PLA es un material considerado biodegradable, además de que es un plástico que en comparativa con el proceso de fabricación de otros es menos</w:t>
      </w:r>
      <w:r>
        <w:rPr>
          <w:spacing w:val="-13"/>
        </w:rPr>
        <w:t> </w:t>
      </w:r>
      <w:r>
        <w:rPr/>
        <w:t>contaminante.</w:t>
      </w:r>
    </w:p>
    <w:p>
      <w:pPr>
        <w:pStyle w:val="BodyText"/>
      </w:pPr>
    </w:p>
    <w:p>
      <w:pPr>
        <w:pStyle w:val="BodyText"/>
        <w:spacing w:before="3"/>
        <w:rPr>
          <w:sz w:val="29"/>
        </w:rPr>
      </w:pPr>
    </w:p>
    <w:p>
      <w:pPr>
        <w:pStyle w:val="Heading2"/>
        <w:numPr>
          <w:ilvl w:val="1"/>
          <w:numId w:val="55"/>
        </w:numPr>
        <w:tabs>
          <w:tab w:pos="677" w:val="left" w:leader="none"/>
        </w:tabs>
        <w:spacing w:line="240" w:lineRule="auto" w:before="0" w:after="0"/>
        <w:ind w:left="676" w:right="0" w:hanging="576"/>
        <w:jc w:val="both"/>
      </w:pPr>
      <w:bookmarkStart w:name="4.4. Conclusiones de ACV en impresión 3D" w:id="230"/>
      <w:bookmarkEnd w:id="230"/>
      <w:r>
        <w:rPr/>
      </w:r>
      <w:bookmarkStart w:name="_bookmark147" w:id="231"/>
      <w:bookmarkEnd w:id="231"/>
      <w:r>
        <w:rPr/>
      </w:r>
      <w:bookmarkStart w:name="_bookmark147" w:id="232"/>
      <w:bookmarkEnd w:id="232"/>
      <w:r>
        <w:rPr/>
        <w:t>C</w:t>
      </w:r>
      <w:r>
        <w:rPr/>
        <w:t>onclusiones de ACV en impresión</w:t>
      </w:r>
      <w:r>
        <w:rPr>
          <w:spacing w:val="-10"/>
        </w:rPr>
        <w:t> </w:t>
      </w:r>
      <w:r>
        <w:rPr/>
        <w:t>3D</w:t>
      </w:r>
    </w:p>
    <w:p>
      <w:pPr>
        <w:pStyle w:val="BodyText"/>
        <w:rPr>
          <w:sz w:val="28"/>
        </w:rPr>
      </w:pPr>
    </w:p>
    <w:p>
      <w:pPr>
        <w:pStyle w:val="BodyText"/>
        <w:spacing w:before="9"/>
        <w:rPr>
          <w:sz w:val="22"/>
        </w:rPr>
      </w:pPr>
    </w:p>
    <w:p>
      <w:pPr>
        <w:pStyle w:val="BodyText"/>
        <w:spacing w:line="357" w:lineRule="auto"/>
        <w:ind w:left="100" w:right="104"/>
        <w:jc w:val="both"/>
      </w:pPr>
      <w:r>
        <w:rPr/>
        <w:t>Como conclusión capitular de conceptos básicos de sustentabilidad en impresión 3D y PLA  enunciamos las ideas importantes:</w:t>
      </w:r>
    </w:p>
    <w:p>
      <w:pPr>
        <w:pStyle w:val="BodyText"/>
      </w:pPr>
    </w:p>
    <w:p>
      <w:pPr>
        <w:pStyle w:val="ListParagraph"/>
        <w:numPr>
          <w:ilvl w:val="2"/>
          <w:numId w:val="55"/>
        </w:numPr>
        <w:tabs>
          <w:tab w:pos="821" w:val="left" w:leader="none"/>
        </w:tabs>
        <w:spacing w:line="360" w:lineRule="auto" w:before="144" w:after="0"/>
        <w:ind w:left="821" w:right="100" w:hanging="361"/>
        <w:jc w:val="both"/>
        <w:rPr>
          <w:sz w:val="24"/>
        </w:rPr>
      </w:pPr>
      <w:r>
        <w:rPr>
          <w:sz w:val="24"/>
        </w:rPr>
        <w:t>Con respecto al ACV en la impresión 3D, la tecnología de RP deben ser evaluada, tanto como el potencial de salud toxicológico como impacto ambiental; buscar que dichos procesos sean</w:t>
      </w:r>
      <w:r>
        <w:rPr>
          <w:spacing w:val="-28"/>
          <w:sz w:val="24"/>
        </w:rPr>
        <w:t> </w:t>
      </w:r>
      <w:r>
        <w:rPr>
          <w:sz w:val="24"/>
        </w:rPr>
        <w:t>normados.</w:t>
      </w:r>
    </w:p>
    <w:p>
      <w:pPr>
        <w:pStyle w:val="BodyText"/>
      </w:pPr>
    </w:p>
    <w:p>
      <w:pPr>
        <w:pStyle w:val="ListParagraph"/>
        <w:numPr>
          <w:ilvl w:val="2"/>
          <w:numId w:val="55"/>
        </w:numPr>
        <w:tabs>
          <w:tab w:pos="821" w:val="left" w:leader="none"/>
        </w:tabs>
        <w:spacing w:line="360" w:lineRule="auto" w:before="142" w:after="0"/>
        <w:ind w:left="821" w:right="104" w:hanging="361"/>
        <w:jc w:val="both"/>
        <w:rPr>
          <w:sz w:val="24"/>
        </w:rPr>
      </w:pPr>
      <w:r>
        <w:rPr>
          <w:sz w:val="24"/>
        </w:rPr>
        <w:t>El PLA es un material poliésteres de base biológica, conocido como ácido poliláctico, producido a partir de azúcar (remolacha azucarera, cañas de azúcar, maíz). Y es totalmente</w:t>
      </w:r>
      <w:r>
        <w:rPr>
          <w:spacing w:val="-23"/>
          <w:sz w:val="24"/>
        </w:rPr>
        <w:t> </w:t>
      </w:r>
      <w:r>
        <w:rPr>
          <w:sz w:val="24"/>
        </w:rPr>
        <w:t>composteable.</w:t>
      </w:r>
    </w:p>
    <w:p>
      <w:pPr>
        <w:pStyle w:val="BodyText"/>
      </w:pPr>
    </w:p>
    <w:p>
      <w:pPr>
        <w:pStyle w:val="ListParagraph"/>
        <w:numPr>
          <w:ilvl w:val="2"/>
          <w:numId w:val="55"/>
        </w:numPr>
        <w:tabs>
          <w:tab w:pos="821" w:val="left" w:leader="none"/>
        </w:tabs>
        <w:spacing w:line="362" w:lineRule="auto" w:before="142" w:after="0"/>
        <w:ind w:left="821" w:right="99" w:hanging="361"/>
        <w:jc w:val="both"/>
        <w:rPr>
          <w:sz w:val="24"/>
        </w:rPr>
      </w:pPr>
      <w:r>
        <w:rPr>
          <w:sz w:val="24"/>
        </w:rPr>
        <w:t>EL PLA para impresión 3D, es un plástico a base de maíz biodegradable. Imprime a ~ 180 ° C, y no se</w:t>
      </w:r>
      <w:r>
        <w:rPr>
          <w:spacing w:val="-19"/>
          <w:sz w:val="24"/>
        </w:rPr>
        <w:t> </w:t>
      </w:r>
      <w:r>
        <w:rPr>
          <w:sz w:val="24"/>
        </w:rPr>
        <w:t>deforma.</w:t>
      </w:r>
    </w:p>
    <w:p>
      <w:pPr>
        <w:pStyle w:val="BodyText"/>
      </w:pPr>
    </w:p>
    <w:p>
      <w:pPr>
        <w:pStyle w:val="ListParagraph"/>
        <w:numPr>
          <w:ilvl w:val="2"/>
          <w:numId w:val="55"/>
        </w:numPr>
        <w:tabs>
          <w:tab w:pos="821" w:val="left" w:leader="none"/>
        </w:tabs>
        <w:spacing w:line="357" w:lineRule="auto" w:before="140" w:after="0"/>
        <w:ind w:left="821" w:right="98" w:hanging="361"/>
        <w:jc w:val="both"/>
        <w:rPr>
          <w:sz w:val="24"/>
        </w:rPr>
      </w:pPr>
      <w:r>
        <w:rPr>
          <w:sz w:val="24"/>
        </w:rPr>
        <w:t>El ACV del PLA es que dicho material es también un polímero de gas de efecto invernadero de bajo impacto </w:t>
      </w:r>
      <w:r>
        <w:rPr>
          <w:spacing w:val="-3"/>
          <w:sz w:val="24"/>
        </w:rPr>
        <w:t>ya </w:t>
      </w:r>
      <w:r>
        <w:rPr>
          <w:sz w:val="24"/>
        </w:rPr>
        <w:t>que el CO2 generado durante la biodegradación</w:t>
      </w:r>
      <w:r>
        <w:rPr>
          <w:spacing w:val="29"/>
          <w:sz w:val="24"/>
        </w:rPr>
        <w:t> </w:t>
      </w:r>
      <w:r>
        <w:rPr>
          <w:sz w:val="24"/>
        </w:rPr>
        <w:t>del</w:t>
      </w:r>
      <w:r>
        <w:rPr>
          <w:spacing w:val="29"/>
          <w:sz w:val="24"/>
        </w:rPr>
        <w:t> </w:t>
      </w:r>
      <w:r>
        <w:rPr>
          <w:sz w:val="24"/>
        </w:rPr>
        <w:t>PLA</w:t>
      </w:r>
      <w:r>
        <w:rPr>
          <w:spacing w:val="29"/>
          <w:sz w:val="24"/>
        </w:rPr>
        <w:t> </w:t>
      </w:r>
      <w:r>
        <w:rPr>
          <w:sz w:val="24"/>
        </w:rPr>
        <w:t>se</w:t>
      </w:r>
      <w:r>
        <w:rPr>
          <w:spacing w:val="28"/>
          <w:sz w:val="24"/>
        </w:rPr>
        <w:t> </w:t>
      </w:r>
      <w:r>
        <w:rPr>
          <w:sz w:val="24"/>
        </w:rPr>
        <w:t>equilibra</w:t>
      </w:r>
      <w:r>
        <w:rPr>
          <w:spacing w:val="28"/>
          <w:sz w:val="24"/>
        </w:rPr>
        <w:t> </w:t>
      </w:r>
      <w:r>
        <w:rPr>
          <w:sz w:val="24"/>
        </w:rPr>
        <w:t>con</w:t>
      </w:r>
      <w:r>
        <w:rPr>
          <w:spacing w:val="28"/>
          <w:sz w:val="24"/>
        </w:rPr>
        <w:t> </w:t>
      </w:r>
      <w:r>
        <w:rPr>
          <w:sz w:val="24"/>
        </w:rPr>
        <w:t>una</w:t>
      </w:r>
      <w:r>
        <w:rPr>
          <w:spacing w:val="28"/>
          <w:sz w:val="24"/>
        </w:rPr>
        <w:t> </w:t>
      </w:r>
      <w:r>
        <w:rPr>
          <w:sz w:val="24"/>
        </w:rPr>
        <w:t>cantidad</w:t>
      </w:r>
      <w:r>
        <w:rPr>
          <w:spacing w:val="28"/>
          <w:sz w:val="24"/>
        </w:rPr>
        <w:t> </w:t>
      </w:r>
      <w:r>
        <w:rPr>
          <w:sz w:val="24"/>
        </w:rPr>
        <w:t>igual</w:t>
      </w:r>
      <w:r>
        <w:rPr>
          <w:spacing w:val="28"/>
          <w:sz w:val="24"/>
        </w:rPr>
        <w:t> </w:t>
      </w:r>
      <w:r>
        <w:rPr>
          <w:sz w:val="24"/>
        </w:rPr>
        <w:t>tomada</w:t>
      </w:r>
      <w:r>
        <w:rPr>
          <w:spacing w:val="28"/>
          <w:sz w:val="24"/>
        </w:rPr>
        <w:t> </w:t>
      </w:r>
      <w:r>
        <w:rPr>
          <w:sz w:val="24"/>
        </w:rPr>
        <w:t>de</w:t>
      </w:r>
      <w:r>
        <w:rPr>
          <w:spacing w:val="28"/>
          <w:sz w:val="24"/>
        </w:rPr>
        <w:t> </w:t>
      </w:r>
      <w:r>
        <w:rPr>
          <w:sz w:val="24"/>
        </w:rPr>
        <w:t>la</w:t>
      </w:r>
    </w:p>
    <w:p>
      <w:pPr>
        <w:spacing w:after="0" w:line="357" w:lineRule="auto"/>
        <w:jc w:val="both"/>
        <w:rPr>
          <w:sz w:val="24"/>
        </w:rPr>
        <w:sectPr>
          <w:pgSz w:w="12240" w:h="15840"/>
          <w:pgMar w:header="0" w:footer="1031" w:top="1360" w:bottom="1220" w:left="1600" w:right="1600"/>
        </w:sectPr>
      </w:pPr>
    </w:p>
    <w:p>
      <w:pPr>
        <w:pStyle w:val="BodyText"/>
        <w:spacing w:line="360" w:lineRule="auto" w:before="55"/>
        <w:ind w:left="821" w:right="117"/>
        <w:jc w:val="both"/>
      </w:pPr>
      <w:r>
        <w:rPr/>
        <w:t>atmósfera durante el crecimiento de las materias primas vegetales. Es un plástico que en comparativa con la fabricación de otros es menos contaminante.</w:t>
      </w:r>
    </w:p>
    <w:p>
      <w:pPr>
        <w:pStyle w:val="BodyText"/>
      </w:pPr>
    </w:p>
    <w:p>
      <w:pPr>
        <w:pStyle w:val="BodyText"/>
        <w:spacing w:before="142"/>
        <w:ind w:left="100" w:right="235"/>
      </w:pPr>
      <w:r>
        <w:rPr/>
        <w:t>Respecto a las máquinas impresoras podemos concluir que:</w:t>
      </w:r>
    </w:p>
    <w:p>
      <w:pPr>
        <w:pStyle w:val="ListParagraph"/>
        <w:numPr>
          <w:ilvl w:val="2"/>
          <w:numId w:val="55"/>
        </w:numPr>
        <w:tabs>
          <w:tab w:pos="821" w:val="left" w:leader="none"/>
        </w:tabs>
        <w:spacing w:line="360" w:lineRule="auto" w:before="140" w:after="0"/>
        <w:ind w:left="821" w:right="119" w:hanging="361"/>
        <w:jc w:val="both"/>
        <w:rPr>
          <w:sz w:val="24"/>
        </w:rPr>
      </w:pPr>
      <w:r>
        <w:rPr>
          <w:sz w:val="24"/>
        </w:rPr>
        <w:t>En salud, se debe tener cuidado porque tanto los gases de PLA como de ABS son altamente tóxicos (UFP) cuando se operan algunas impresoras que no cuentan con sistema de extracción de vapores al exterior o filtros inadecuados. Los efectos adversos directos son asma, ictus y paro cario- respiratorio.</w:t>
      </w:r>
    </w:p>
    <w:p>
      <w:pPr>
        <w:pStyle w:val="BodyText"/>
      </w:pPr>
    </w:p>
    <w:p>
      <w:pPr>
        <w:pStyle w:val="BodyText"/>
        <w:spacing w:before="142"/>
        <w:ind w:left="100" w:right="235"/>
      </w:pPr>
      <w:r>
        <w:rPr/>
        <w:t>Eficiencia de las impresoras:</w:t>
      </w:r>
    </w:p>
    <w:p>
      <w:pPr>
        <w:pStyle w:val="BodyText"/>
      </w:pPr>
    </w:p>
    <w:p>
      <w:pPr>
        <w:pStyle w:val="BodyText"/>
      </w:pPr>
    </w:p>
    <w:p>
      <w:pPr>
        <w:pStyle w:val="ListParagraph"/>
        <w:numPr>
          <w:ilvl w:val="2"/>
          <w:numId w:val="55"/>
        </w:numPr>
        <w:tabs>
          <w:tab w:pos="888" w:val="left" w:leader="none"/>
          <w:tab w:pos="889" w:val="left" w:leader="none"/>
        </w:tabs>
        <w:spacing w:line="240" w:lineRule="auto" w:before="0" w:after="0"/>
        <w:ind w:left="889" w:right="0" w:hanging="429"/>
        <w:jc w:val="left"/>
        <w:rPr>
          <w:sz w:val="24"/>
        </w:rPr>
      </w:pPr>
      <w:r>
        <w:rPr>
          <w:sz w:val="24"/>
        </w:rPr>
        <w:t>Depende de cómo se utilicen las</w:t>
      </w:r>
      <w:r>
        <w:rPr>
          <w:spacing w:val="-26"/>
          <w:sz w:val="24"/>
        </w:rPr>
        <w:t> </w:t>
      </w:r>
      <w:r>
        <w:rPr>
          <w:sz w:val="24"/>
        </w:rPr>
        <w:t>impresoras</w:t>
      </w:r>
    </w:p>
    <w:p>
      <w:pPr>
        <w:pStyle w:val="ListParagraph"/>
        <w:numPr>
          <w:ilvl w:val="2"/>
          <w:numId w:val="55"/>
        </w:numPr>
        <w:tabs>
          <w:tab w:pos="821" w:val="left" w:leader="none"/>
        </w:tabs>
        <w:spacing w:line="362" w:lineRule="auto" w:before="136" w:after="0"/>
        <w:ind w:left="821" w:right="130" w:hanging="361"/>
        <w:jc w:val="both"/>
        <w:rPr>
          <w:sz w:val="24"/>
        </w:rPr>
      </w:pPr>
      <w:r>
        <w:rPr>
          <w:sz w:val="24"/>
        </w:rPr>
        <w:t>El uso de corte de chorro es el equipo de mayor riesgo de salud directo  para el</w:t>
      </w:r>
      <w:r>
        <w:rPr>
          <w:spacing w:val="-15"/>
          <w:sz w:val="24"/>
        </w:rPr>
        <w:t> </w:t>
      </w:r>
      <w:r>
        <w:rPr>
          <w:sz w:val="24"/>
        </w:rPr>
        <w:t>trabajador</w:t>
      </w:r>
    </w:p>
    <w:p>
      <w:pPr>
        <w:pStyle w:val="ListParagraph"/>
        <w:numPr>
          <w:ilvl w:val="2"/>
          <w:numId w:val="55"/>
        </w:numPr>
        <w:tabs>
          <w:tab w:pos="821" w:val="left" w:leader="none"/>
        </w:tabs>
        <w:spacing w:line="362" w:lineRule="auto" w:before="0" w:after="0"/>
        <w:ind w:left="821" w:right="125" w:hanging="361"/>
        <w:jc w:val="both"/>
        <w:rPr>
          <w:sz w:val="24"/>
        </w:rPr>
      </w:pPr>
      <w:r>
        <w:rPr>
          <w:sz w:val="24"/>
        </w:rPr>
        <w:t>Es necesario un método científico creíble que compare estos diferentes tipos de impacto ambiental y de</w:t>
      </w:r>
      <w:r>
        <w:rPr>
          <w:spacing w:val="-22"/>
          <w:sz w:val="24"/>
        </w:rPr>
        <w:t> </w:t>
      </w:r>
      <w:r>
        <w:rPr>
          <w:sz w:val="24"/>
        </w:rPr>
        <w:t>salud</w:t>
      </w:r>
    </w:p>
    <w:p>
      <w:pPr>
        <w:pStyle w:val="ListParagraph"/>
        <w:numPr>
          <w:ilvl w:val="2"/>
          <w:numId w:val="55"/>
        </w:numPr>
        <w:tabs>
          <w:tab w:pos="821" w:val="left" w:leader="none"/>
        </w:tabs>
        <w:spacing w:line="362" w:lineRule="auto" w:before="0" w:after="0"/>
        <w:ind w:left="821" w:right="122" w:hanging="361"/>
        <w:jc w:val="both"/>
        <w:rPr>
          <w:sz w:val="24"/>
        </w:rPr>
      </w:pPr>
      <w:r>
        <w:rPr>
          <w:sz w:val="24"/>
        </w:rPr>
        <w:t>El bioplástico PLA imprime con bajo consumo de energía además de tener menor impacto que el plástico</w:t>
      </w:r>
      <w:r>
        <w:rPr>
          <w:spacing w:val="-18"/>
          <w:sz w:val="24"/>
        </w:rPr>
        <w:t> </w:t>
      </w:r>
      <w:r>
        <w:rPr>
          <w:sz w:val="24"/>
        </w:rPr>
        <w:t>ABS.</w:t>
      </w:r>
    </w:p>
    <w:p>
      <w:pPr>
        <w:pStyle w:val="ListParagraph"/>
        <w:numPr>
          <w:ilvl w:val="2"/>
          <w:numId w:val="55"/>
        </w:numPr>
        <w:tabs>
          <w:tab w:pos="821" w:val="left" w:leader="none"/>
        </w:tabs>
        <w:spacing w:line="360" w:lineRule="auto" w:before="0" w:after="0"/>
        <w:ind w:left="821" w:right="119" w:hanging="361"/>
        <w:jc w:val="both"/>
        <w:rPr>
          <w:sz w:val="24"/>
        </w:rPr>
      </w:pPr>
      <w:r>
        <w:rPr>
          <w:sz w:val="24"/>
        </w:rPr>
        <w:t>La eficiencia de las impresoras 3D depende de cómo se le utilice respecto al tiempo de trabajo continuo, y que las impresoras FDM de escritorio son </w:t>
      </w:r>
      <w:r>
        <w:rPr>
          <w:spacing w:val="-2"/>
          <w:sz w:val="24"/>
        </w:rPr>
        <w:t>más </w:t>
      </w:r>
      <w:r>
        <w:rPr>
          <w:sz w:val="24"/>
        </w:rPr>
        <w:t>sustentables en comparación con las</w:t>
      </w:r>
      <w:r>
        <w:rPr>
          <w:spacing w:val="-17"/>
          <w:sz w:val="24"/>
        </w:rPr>
        <w:t> </w:t>
      </w:r>
      <w:r>
        <w:rPr>
          <w:sz w:val="24"/>
        </w:rPr>
        <w:t>CNC.</w:t>
      </w:r>
    </w:p>
    <w:p>
      <w:pPr>
        <w:spacing w:after="0" w:line="360" w:lineRule="auto"/>
        <w:jc w:val="both"/>
        <w:rPr>
          <w:sz w:val="24"/>
        </w:rPr>
        <w:sectPr>
          <w:pgSz w:w="12240" w:h="15840"/>
          <w:pgMar w:header="0" w:footer="1031" w:top="1360" w:bottom="122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193"/>
      </w:pPr>
      <w:r>
        <w:rPr/>
        <w:t>Capítulo</w:t>
      </w:r>
    </w:p>
    <w:p>
      <w:pPr>
        <w:pStyle w:val="Heading2"/>
        <w:numPr>
          <w:ilvl w:val="1"/>
          <w:numId w:val="52"/>
        </w:numPr>
        <w:tabs>
          <w:tab w:pos="1241" w:val="left" w:leader="none"/>
        </w:tabs>
        <w:spacing w:line="242" w:lineRule="auto" w:before="240" w:after="0"/>
        <w:ind w:left="781" w:right="228" w:firstLine="28"/>
        <w:jc w:val="left"/>
      </w:pPr>
      <w:bookmarkStart w:name="5. Caso de estudio: Análisis comparativo" w:id="233"/>
      <w:bookmarkEnd w:id="233"/>
      <w:r>
        <w:rPr/>
      </w:r>
      <w:bookmarkStart w:name="_bookmark148" w:id="234"/>
      <w:bookmarkEnd w:id="234"/>
      <w:r>
        <w:rPr/>
      </w:r>
      <w:bookmarkStart w:name="_bookmark148" w:id="235"/>
      <w:bookmarkEnd w:id="235"/>
      <w:r>
        <w:rPr/>
        <w:t>C</w:t>
      </w:r>
      <w:r>
        <w:rPr/>
        <w:t>aso de estudio: Análisis comparativo de dos formas de fabricación de una Banda de Moebius, con enfoque</w:t>
      </w:r>
      <w:r>
        <w:rPr>
          <w:spacing w:val="-15"/>
        </w:rPr>
        <w:t> </w:t>
      </w:r>
      <w:r>
        <w:rPr/>
        <w:t>sustentable</w:t>
      </w:r>
    </w:p>
    <w:p>
      <w:pPr>
        <w:spacing w:after="0" w:line="242" w:lineRule="auto"/>
        <w:jc w:val="left"/>
        <w:sectPr>
          <w:pgSz w:w="12240" w:h="15840"/>
          <w:pgMar w:header="0" w:footer="1031" w:top="1500" w:bottom="1220" w:left="1600" w:right="1720"/>
        </w:sectPr>
      </w:pPr>
    </w:p>
    <w:p>
      <w:pPr>
        <w:pStyle w:val="Heading2"/>
        <w:numPr>
          <w:ilvl w:val="1"/>
          <w:numId w:val="56"/>
        </w:numPr>
        <w:tabs>
          <w:tab w:pos="677" w:val="left" w:leader="none"/>
        </w:tabs>
        <w:spacing w:line="240" w:lineRule="auto" w:before="49" w:after="0"/>
        <w:ind w:left="676" w:right="0" w:hanging="576"/>
        <w:jc w:val="both"/>
      </w:pPr>
      <w:bookmarkStart w:name="5.1. Introducción de capítulo" w:id="236"/>
      <w:bookmarkEnd w:id="236"/>
      <w:r>
        <w:rPr/>
      </w:r>
      <w:bookmarkStart w:name="_bookmark149" w:id="237"/>
      <w:bookmarkEnd w:id="237"/>
      <w:r>
        <w:rPr/>
      </w:r>
      <w:bookmarkStart w:name="_bookmark149" w:id="238"/>
      <w:bookmarkEnd w:id="238"/>
      <w:r>
        <w:rPr/>
        <w:t>I</w:t>
      </w:r>
      <w:r>
        <w:rPr/>
        <w:t>ntroducción de</w:t>
      </w:r>
      <w:r>
        <w:rPr>
          <w:spacing w:val="-7"/>
        </w:rPr>
        <w:t> </w:t>
      </w:r>
      <w:r>
        <w:rPr/>
        <w:t>capítulo</w:t>
      </w:r>
    </w:p>
    <w:p>
      <w:pPr>
        <w:pStyle w:val="BodyText"/>
        <w:rPr>
          <w:sz w:val="28"/>
        </w:rPr>
      </w:pPr>
    </w:p>
    <w:p>
      <w:pPr>
        <w:pStyle w:val="BodyText"/>
        <w:spacing w:before="8"/>
        <w:rPr>
          <w:sz w:val="22"/>
        </w:rPr>
      </w:pPr>
    </w:p>
    <w:p>
      <w:pPr>
        <w:pStyle w:val="BodyText"/>
        <w:spacing w:line="357" w:lineRule="auto"/>
        <w:ind w:left="100" w:right="120"/>
        <w:jc w:val="both"/>
      </w:pPr>
      <w:r>
        <w:rPr/>
        <w:t>La interrogante ¿La tecnología de modelado 3D realmente alcanzan a cubrir las necesidades  en  el  proceso   de  fabricación  de  una  escultura?      ¿Funcionan?</w:t>
      </w:r>
    </w:p>
    <w:p>
      <w:pPr>
        <w:pStyle w:val="BodyText"/>
        <w:spacing w:line="357" w:lineRule="auto" w:before="9"/>
        <w:ind w:left="100" w:right="118"/>
        <w:jc w:val="both"/>
      </w:pPr>
      <w:r>
        <w:rPr/>
        <w:t>¿Consideran el gasto en recursos energéticos, costos, impacto ambiental y la salud de la persona que las</w:t>
      </w:r>
      <w:r>
        <w:rPr>
          <w:spacing w:val="-17"/>
        </w:rPr>
        <w:t> </w:t>
      </w:r>
      <w:r>
        <w:rPr/>
        <w:t>utiliza?</w:t>
      </w:r>
    </w:p>
    <w:p>
      <w:pPr>
        <w:pStyle w:val="BodyText"/>
      </w:pPr>
    </w:p>
    <w:p>
      <w:pPr>
        <w:pStyle w:val="BodyText"/>
        <w:spacing w:line="360" w:lineRule="auto" w:before="144"/>
        <w:ind w:left="100" w:right="122"/>
        <w:jc w:val="both"/>
      </w:pPr>
      <w:r>
        <w:rPr/>
        <w:t>En resolución a los problemas de tipo económico, ambiental y social se pueden englobar en el Modelo de Sustentabilidad para evaluar el uso de la tecnología de modelado 3D en posible sustitución de las técnicas tradicionales.</w:t>
      </w:r>
    </w:p>
    <w:p>
      <w:pPr>
        <w:pStyle w:val="BodyText"/>
      </w:pPr>
    </w:p>
    <w:p>
      <w:pPr>
        <w:pStyle w:val="BodyText"/>
        <w:spacing w:line="360" w:lineRule="auto" w:before="142"/>
        <w:ind w:left="100" w:right="124"/>
        <w:jc w:val="both"/>
      </w:pPr>
      <w:r>
        <w:rPr/>
        <w:t>El objetivo general de este proyecto de investigación es: Analizar la viabilidad del uso de tecnología de modelado 3D para hacer escultura con un menor impacto ambiental, sustentable.</w:t>
      </w:r>
    </w:p>
    <w:p>
      <w:pPr>
        <w:pStyle w:val="BodyText"/>
      </w:pPr>
    </w:p>
    <w:p>
      <w:pPr>
        <w:pStyle w:val="BodyText"/>
        <w:spacing w:line="360" w:lineRule="auto" w:before="142"/>
        <w:ind w:left="100" w:right="118"/>
        <w:jc w:val="both"/>
      </w:pPr>
      <w:r>
        <w:rPr/>
        <w:t>La hipótesis que se deriva de dicha propuesta es: Si se utiliza tecnología de modelado 3D para la escultura de pequeño formato</w:t>
      </w:r>
      <w:r>
        <w:rPr>
          <w:b/>
        </w:rPr>
        <w:t>, </w:t>
      </w:r>
      <w:r>
        <w:rPr/>
        <w:t>entonces se obtendrá mayor exactitud en las medidas, se reduciría el impacto ambiental en comparación con el método de aplicación de fibra de vidrio, así como la disminución de costos en el proceso y menor daño a la salud.</w:t>
      </w:r>
    </w:p>
    <w:p>
      <w:pPr>
        <w:pStyle w:val="BodyText"/>
      </w:pPr>
    </w:p>
    <w:p>
      <w:pPr>
        <w:pStyle w:val="BodyText"/>
        <w:spacing w:line="360" w:lineRule="auto" w:before="142"/>
        <w:ind w:left="100" w:right="119"/>
        <w:jc w:val="both"/>
      </w:pPr>
      <w:r>
        <w:rPr/>
        <w:t>Para responder dicha hipótesis en este capítulo se realizará el ACV de dos métodos de fabricación de la escultura BM, una fabricada con FV y la segunda pieza una impresión 3D en PLA; con el objetivo de determinar si las nuevas tecnologías pueden llegar a ser más sustentables que las técnicas tradicionales.</w:t>
      </w:r>
    </w:p>
    <w:p>
      <w:pPr>
        <w:pStyle w:val="BodyText"/>
      </w:pPr>
    </w:p>
    <w:p>
      <w:pPr>
        <w:pStyle w:val="BodyText"/>
        <w:spacing w:line="360" w:lineRule="auto" w:before="142"/>
        <w:ind w:left="100" w:right="117"/>
        <w:jc w:val="both"/>
      </w:pPr>
      <w:r>
        <w:rPr/>
        <w:t>En este caso de estudio se estructura iniciando con los fundamentos del ACV, la metodología, objetivos y alcance de estudio, datos del inventario (de la forma artesanal y de la impresa en 3D), evaluación del impacto ambiental, interpretación de resultados y análisis individual de etapas.</w:t>
      </w:r>
    </w:p>
    <w:p>
      <w:pPr>
        <w:spacing w:after="0" w:line="360" w:lineRule="auto"/>
        <w:jc w:val="both"/>
        <w:sectPr>
          <w:pgSz w:w="12240" w:h="15840"/>
          <w:pgMar w:header="0" w:footer="1031" w:top="1360" w:bottom="1220" w:left="1600" w:right="1580"/>
        </w:sectPr>
      </w:pPr>
    </w:p>
    <w:p>
      <w:pPr>
        <w:pStyle w:val="BodyText"/>
        <w:spacing w:before="55"/>
        <w:ind w:left="100"/>
        <w:jc w:val="both"/>
      </w:pPr>
      <w:r>
        <w:rPr/>
        <w:t>Dicho análisis comparativo se realizará con la herramienta de simulación Sima Pro</w:t>
      </w:r>
    </w:p>
    <w:p>
      <w:pPr>
        <w:pStyle w:val="BodyText"/>
        <w:spacing w:line="357" w:lineRule="auto" w:before="140"/>
        <w:ind w:left="100" w:right="119"/>
        <w:jc w:val="both"/>
      </w:pPr>
      <w:r>
        <w:rPr/>
        <w:t>8.0 para poder discutir las unidades contaminantes, esto como parte de la metodología.</w:t>
      </w:r>
    </w:p>
    <w:p>
      <w:pPr>
        <w:pStyle w:val="BodyText"/>
      </w:pPr>
    </w:p>
    <w:p>
      <w:pPr>
        <w:pStyle w:val="BodyText"/>
        <w:spacing w:before="6"/>
        <w:rPr>
          <w:sz w:val="29"/>
        </w:rPr>
      </w:pPr>
    </w:p>
    <w:p>
      <w:pPr>
        <w:pStyle w:val="Heading2"/>
        <w:numPr>
          <w:ilvl w:val="1"/>
          <w:numId w:val="56"/>
        </w:numPr>
        <w:tabs>
          <w:tab w:pos="677" w:val="left" w:leader="none"/>
        </w:tabs>
        <w:spacing w:line="240" w:lineRule="auto" w:before="0" w:after="0"/>
        <w:ind w:left="676" w:right="0" w:hanging="576"/>
        <w:jc w:val="both"/>
      </w:pPr>
      <w:bookmarkStart w:name="5.2. Caso: Banda de Moebius" w:id="239"/>
      <w:bookmarkEnd w:id="239"/>
      <w:r>
        <w:rPr/>
      </w:r>
      <w:bookmarkStart w:name="_bookmark150" w:id="240"/>
      <w:bookmarkEnd w:id="240"/>
      <w:r>
        <w:rPr/>
      </w:r>
      <w:bookmarkStart w:name="_bookmark150" w:id="241"/>
      <w:bookmarkEnd w:id="241"/>
      <w:r>
        <w:rPr/>
        <w:t>C</w:t>
      </w:r>
      <w:r>
        <w:rPr/>
        <w:t>aso: Banda de</w:t>
      </w:r>
      <w:r>
        <w:rPr>
          <w:spacing w:val="-9"/>
        </w:rPr>
        <w:t> </w:t>
      </w:r>
      <w:r>
        <w:rPr/>
        <w:t>Moebius</w:t>
      </w:r>
    </w:p>
    <w:p>
      <w:pPr>
        <w:pStyle w:val="BodyText"/>
        <w:rPr>
          <w:sz w:val="28"/>
        </w:rPr>
      </w:pPr>
    </w:p>
    <w:p>
      <w:pPr>
        <w:pStyle w:val="BodyText"/>
        <w:spacing w:before="8"/>
        <w:rPr>
          <w:sz w:val="22"/>
        </w:rPr>
      </w:pPr>
    </w:p>
    <w:p>
      <w:pPr>
        <w:pStyle w:val="BodyText"/>
        <w:spacing w:line="360" w:lineRule="auto"/>
        <w:ind w:left="100" w:right="118"/>
        <w:jc w:val="both"/>
      </w:pPr>
      <w:r>
        <w:rPr/>
        <w:t>Para poder realizar el objetivo “Analizar la viabilidad del uso de tecnología de modelado 3D para hacer escultura híbrida con un menor impacto ambiental en comparación con el método de aplicación de FV, sustentable”, es necesario aplicarlo a una escultura en particular, en este caso la Banda de Moebius en resina poliéster con FV y la misma pieza impresa en</w:t>
      </w:r>
      <w:r>
        <w:rPr>
          <w:spacing w:val="-27"/>
        </w:rPr>
        <w:t> </w:t>
      </w:r>
      <w:r>
        <w:rPr/>
        <w:t>PLA.</w:t>
      </w:r>
    </w:p>
    <w:p>
      <w:pPr>
        <w:pStyle w:val="BodyText"/>
      </w:pPr>
    </w:p>
    <w:p>
      <w:pPr>
        <w:pStyle w:val="BodyText"/>
        <w:spacing w:line="360" w:lineRule="auto" w:before="142"/>
        <w:ind w:left="100" w:right="117"/>
        <w:jc w:val="both"/>
      </w:pPr>
      <w:r>
        <w:rPr/>
        <w:t>Se eligió el material de FV porque de todos los materiales que maneja el escultor, éste no se puede reciclar ni degradar; además de ser un material económico en comparación con el bronce y muy frecuente en su uso.</w:t>
      </w:r>
    </w:p>
    <w:p>
      <w:pPr>
        <w:pStyle w:val="BodyText"/>
      </w:pPr>
    </w:p>
    <w:p>
      <w:pPr>
        <w:pStyle w:val="BodyText"/>
        <w:spacing w:line="360" w:lineRule="auto" w:before="142"/>
        <w:ind w:left="100" w:right="119"/>
        <w:jc w:val="both"/>
      </w:pPr>
      <w:r>
        <w:rPr/>
        <w:t>El desglose de apartados planea la escultura, con ambas formas de fabricación, comparación en costos, se comparan los posibles daños a la salud y evaluación  de impacto</w:t>
      </w:r>
      <w:r>
        <w:rPr>
          <w:spacing w:val="-17"/>
        </w:rPr>
        <w:t> </w:t>
      </w:r>
      <w:r>
        <w:rPr/>
        <w:t>ambiental.</w:t>
      </w:r>
    </w:p>
    <w:p>
      <w:pPr>
        <w:pStyle w:val="BodyText"/>
      </w:pPr>
    </w:p>
    <w:p>
      <w:pPr>
        <w:pStyle w:val="BodyText"/>
        <w:spacing w:before="3"/>
        <w:rPr>
          <w:sz w:val="29"/>
        </w:rPr>
      </w:pPr>
    </w:p>
    <w:p>
      <w:pPr>
        <w:pStyle w:val="Heading2"/>
        <w:numPr>
          <w:ilvl w:val="2"/>
          <w:numId w:val="56"/>
        </w:numPr>
        <w:tabs>
          <w:tab w:pos="897" w:val="left" w:leader="none"/>
        </w:tabs>
        <w:spacing w:line="240" w:lineRule="auto" w:before="0" w:after="0"/>
        <w:ind w:left="897" w:right="0" w:hanging="797"/>
        <w:jc w:val="both"/>
      </w:pPr>
      <w:bookmarkStart w:name="5.2.1.  La escultura Banda de Moebius" w:id="242"/>
      <w:bookmarkEnd w:id="242"/>
      <w:r>
        <w:rPr/>
      </w:r>
      <w:bookmarkStart w:name="_bookmark151" w:id="243"/>
      <w:bookmarkEnd w:id="243"/>
      <w:r>
        <w:rPr/>
        <w:t>La</w:t>
      </w:r>
      <w:r>
        <w:rPr/>
        <w:t> escultura Banda de</w:t>
      </w:r>
      <w:r>
        <w:rPr>
          <w:spacing w:val="-6"/>
        </w:rPr>
        <w:t> </w:t>
      </w:r>
      <w:r>
        <w:rPr/>
        <w:t>Moebius</w:t>
      </w:r>
    </w:p>
    <w:p>
      <w:pPr>
        <w:pStyle w:val="BodyText"/>
        <w:rPr>
          <w:sz w:val="28"/>
        </w:rPr>
      </w:pPr>
    </w:p>
    <w:p>
      <w:pPr>
        <w:pStyle w:val="BodyText"/>
        <w:spacing w:before="5"/>
        <w:rPr>
          <w:sz w:val="22"/>
        </w:rPr>
      </w:pPr>
    </w:p>
    <w:p>
      <w:pPr>
        <w:pStyle w:val="BodyText"/>
        <w:spacing w:line="360" w:lineRule="auto"/>
        <w:ind w:left="100" w:right="119"/>
        <w:jc w:val="both"/>
      </w:pPr>
      <w:r>
        <w:rPr/>
        <w:t>Para este proyecto nos interesa aplicar el experimento en una BM, para diseñar una, es indispensable explorar otras propuestas de escultores que se indican en la </w:t>
      </w:r>
      <w:hyperlink w:history="true" w:anchor="_bookmark152">
        <w:r>
          <w:rPr/>
          <w:t>Tabla 5.1</w:t>
        </w:r>
      </w:hyperlink>
      <w:r>
        <w:rPr/>
        <w:t>.</w:t>
      </w:r>
    </w:p>
    <w:p>
      <w:pPr>
        <w:spacing w:after="0" w:line="360" w:lineRule="auto"/>
        <w:jc w:val="both"/>
        <w:sectPr>
          <w:pgSz w:w="12240" w:h="15840"/>
          <w:pgMar w:header="0" w:footer="1031" w:top="1360" w:bottom="1220" w:left="1600" w:right="1580"/>
        </w:sectPr>
      </w:pPr>
    </w:p>
    <w:p>
      <w:pPr>
        <w:spacing w:before="51" w:after="6"/>
        <w:ind w:left="1421" w:right="0" w:firstLine="0"/>
        <w:jc w:val="left"/>
        <w:rPr>
          <w:sz w:val="18"/>
        </w:rPr>
      </w:pPr>
      <w:bookmarkStart w:name="_bookmark152" w:id="244"/>
      <w:bookmarkEnd w:id="244"/>
      <w:r>
        <w:rPr/>
      </w:r>
      <w:r>
        <w:rPr>
          <w:sz w:val="18"/>
        </w:rPr>
        <w:t>Tabla 5.1. Ejemplos de Bandas de Moebius en diversos materiales y escalas.</w:t>
      </w:r>
    </w:p>
    <w:tbl>
      <w:tblPr>
        <w:tblW w:w="0" w:type="auto"/>
        <w:jc w:val="left"/>
        <w:tblInd w:w="969"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261"/>
        <w:gridCol w:w="3829"/>
      </w:tblGrid>
      <w:tr>
        <w:trPr>
          <w:trHeight w:val="320" w:hRule="exact"/>
        </w:trPr>
        <w:tc>
          <w:tcPr>
            <w:tcW w:w="3261" w:type="dxa"/>
          </w:tcPr>
          <w:p>
            <w:pPr>
              <w:pStyle w:val="TableParagraph"/>
              <w:spacing w:line="206" w:lineRule="exact"/>
              <w:ind w:left="3" w:right="1"/>
              <w:jc w:val="center"/>
              <w:rPr>
                <w:sz w:val="18"/>
              </w:rPr>
            </w:pPr>
            <w:r>
              <w:rPr>
                <w:sz w:val="18"/>
              </w:rPr>
              <w:t>Datos de Obra</w:t>
            </w:r>
          </w:p>
        </w:tc>
        <w:tc>
          <w:tcPr>
            <w:tcW w:w="3829" w:type="dxa"/>
          </w:tcPr>
          <w:p>
            <w:pPr>
              <w:pStyle w:val="TableParagraph"/>
              <w:spacing w:line="206" w:lineRule="exact"/>
              <w:ind w:left="1515" w:right="1515"/>
              <w:jc w:val="center"/>
              <w:rPr>
                <w:sz w:val="18"/>
              </w:rPr>
            </w:pPr>
            <w:r>
              <w:rPr>
                <w:sz w:val="18"/>
              </w:rPr>
              <w:t>Escultura</w:t>
            </w:r>
          </w:p>
        </w:tc>
      </w:tr>
      <w:tr>
        <w:trPr>
          <w:trHeight w:val="2717" w:hRule="exact"/>
        </w:trPr>
        <w:tc>
          <w:tcPr>
            <w:tcW w:w="3261" w:type="dxa"/>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10"/>
              <w:rPr>
                <w:sz w:val="27"/>
              </w:rPr>
            </w:pPr>
          </w:p>
          <w:p>
            <w:pPr>
              <w:pStyle w:val="TableParagraph"/>
              <w:tabs>
                <w:tab w:pos="1203" w:val="left" w:leader="none"/>
              </w:tabs>
              <w:ind w:right="1"/>
              <w:jc w:val="center"/>
              <w:rPr>
                <w:sz w:val="20"/>
              </w:rPr>
            </w:pPr>
            <w:hyperlink r:id="rId173">
              <w:r>
                <w:rPr>
                  <w:sz w:val="20"/>
                </w:rPr>
                <w:t>Pán</w:t>
              </w:r>
              <w:r>
                <w:rPr>
                  <w:spacing w:val="-1"/>
                  <w:sz w:val="20"/>
                </w:rPr>
                <w:t> </w:t>
              </w:r>
              <w:r>
                <w:rPr>
                  <w:sz w:val="20"/>
                </w:rPr>
                <w:t>Márta,</w:t>
              </w:r>
            </w:hyperlink>
            <w:r>
              <w:rPr>
                <w:sz w:val="20"/>
              </w:rPr>
              <w:tab/>
              <w:t>Moebius 4,</w:t>
            </w:r>
            <w:r>
              <w:rPr>
                <w:spacing w:val="-6"/>
                <w:sz w:val="20"/>
              </w:rPr>
              <w:t> </w:t>
            </w:r>
            <w:r>
              <w:rPr>
                <w:sz w:val="20"/>
              </w:rPr>
              <w:t>2006,</w:t>
            </w:r>
          </w:p>
          <w:p>
            <w:pPr>
              <w:pStyle w:val="TableParagraph"/>
              <w:spacing w:before="118"/>
              <w:ind w:left="85" w:right="92"/>
              <w:jc w:val="center"/>
              <w:rPr>
                <w:sz w:val="20"/>
              </w:rPr>
            </w:pPr>
            <w:r>
              <w:rPr>
                <w:sz w:val="20"/>
              </w:rPr>
              <w:t>acero inoxidable, 48 x 36 x 78 cm.</w:t>
            </w:r>
          </w:p>
        </w:tc>
        <w:tc>
          <w:tcPr>
            <w:tcW w:w="3829" w:type="dxa"/>
          </w:tcPr>
          <w:p>
            <w:pPr>
              <w:pStyle w:val="TableParagraph"/>
              <w:spacing w:before="3"/>
              <w:rPr>
                <w:sz w:val="27"/>
              </w:rPr>
            </w:pPr>
          </w:p>
          <w:p>
            <w:pPr>
              <w:pStyle w:val="TableParagraph"/>
              <w:ind w:left="424"/>
              <w:rPr>
                <w:sz w:val="20"/>
              </w:rPr>
            </w:pPr>
            <w:r>
              <w:rPr>
                <w:sz w:val="20"/>
              </w:rPr>
              <w:drawing>
                <wp:inline distT="0" distB="0" distL="0" distR="0">
                  <wp:extent cx="1873331" cy="1252727"/>
                  <wp:effectExtent l="0" t="0" r="0" b="0"/>
                  <wp:docPr id="211" name="image110.jpeg" descr=""/>
                  <wp:cNvGraphicFramePr>
                    <a:graphicFrameLocks noChangeAspect="1"/>
                  </wp:cNvGraphicFramePr>
                  <a:graphic>
                    <a:graphicData uri="http://schemas.openxmlformats.org/drawingml/2006/picture">
                      <pic:pic>
                        <pic:nvPicPr>
                          <pic:cNvPr id="212" name="image110.jpeg"/>
                          <pic:cNvPicPr/>
                        </pic:nvPicPr>
                        <pic:blipFill>
                          <a:blip r:embed="rId174" cstate="print"/>
                          <a:stretch>
                            <a:fillRect/>
                          </a:stretch>
                        </pic:blipFill>
                        <pic:spPr>
                          <a:xfrm>
                            <a:off x="0" y="0"/>
                            <a:ext cx="1873331" cy="1252727"/>
                          </a:xfrm>
                          <a:prstGeom prst="rect">
                            <a:avLst/>
                          </a:prstGeom>
                        </pic:spPr>
                      </pic:pic>
                    </a:graphicData>
                  </a:graphic>
                </wp:inline>
              </w:drawing>
            </w:r>
            <w:r>
              <w:rPr>
                <w:sz w:val="20"/>
              </w:rPr>
            </w:r>
          </w:p>
          <w:p>
            <w:pPr>
              <w:pStyle w:val="TableParagraph"/>
              <w:rPr>
                <w:sz w:val="20"/>
              </w:rPr>
            </w:pPr>
          </w:p>
          <w:p>
            <w:pPr>
              <w:pStyle w:val="TableParagraph"/>
              <w:spacing w:before="8"/>
              <w:rPr>
                <w:sz w:val="16"/>
              </w:rPr>
            </w:pPr>
          </w:p>
        </w:tc>
      </w:tr>
      <w:tr>
        <w:trPr>
          <w:trHeight w:val="3625" w:hRule="exact"/>
        </w:trPr>
        <w:tc>
          <w:tcPr>
            <w:tcW w:w="3261" w:type="dxa"/>
          </w:tcPr>
          <w:p>
            <w:pPr>
              <w:pStyle w:val="TableParagraph"/>
              <w:rPr>
                <w:sz w:val="18"/>
              </w:rPr>
            </w:pPr>
          </w:p>
          <w:p>
            <w:pPr>
              <w:pStyle w:val="TableParagraph"/>
              <w:rPr>
                <w:sz w:val="18"/>
              </w:rPr>
            </w:pPr>
          </w:p>
          <w:p>
            <w:pPr>
              <w:pStyle w:val="TableParagraph"/>
              <w:rPr>
                <w:sz w:val="18"/>
              </w:rPr>
            </w:pPr>
          </w:p>
          <w:p>
            <w:pPr>
              <w:pStyle w:val="TableParagraph"/>
              <w:spacing w:before="7"/>
              <w:rPr>
                <w:sz w:val="26"/>
              </w:rPr>
            </w:pPr>
          </w:p>
          <w:p>
            <w:pPr>
              <w:pStyle w:val="TableParagraph"/>
              <w:spacing w:line="362" w:lineRule="auto"/>
              <w:ind w:left="85" w:right="84"/>
              <w:jc w:val="center"/>
              <w:rPr>
                <w:sz w:val="18"/>
              </w:rPr>
            </w:pPr>
            <w:r>
              <w:rPr>
                <w:sz w:val="18"/>
                <w:shd w:fill="FDFDFD" w:color="auto" w:val="clear"/>
              </w:rPr>
              <w:t>Richard Fox, Moebius, Roble, Exposición en el botánico de Edinburgh.</w:t>
            </w:r>
          </w:p>
        </w:tc>
        <w:tc>
          <w:tcPr>
            <w:tcW w:w="3829" w:type="dxa"/>
          </w:tcPr>
          <w:p>
            <w:pPr>
              <w:pStyle w:val="TableParagraph"/>
              <w:spacing w:after="1"/>
              <w:rPr>
                <w:sz w:val="27"/>
              </w:rPr>
            </w:pPr>
          </w:p>
          <w:p>
            <w:pPr>
              <w:pStyle w:val="TableParagraph"/>
              <w:ind w:left="747"/>
              <w:rPr>
                <w:sz w:val="20"/>
              </w:rPr>
            </w:pPr>
            <w:r>
              <w:rPr>
                <w:sz w:val="20"/>
              </w:rPr>
              <w:drawing>
                <wp:inline distT="0" distB="0" distL="0" distR="0">
                  <wp:extent cx="1474209" cy="1833562"/>
                  <wp:effectExtent l="0" t="0" r="0" b="0"/>
                  <wp:docPr id="213" name="image111.jpeg" descr=""/>
                  <wp:cNvGraphicFramePr>
                    <a:graphicFrameLocks noChangeAspect="1"/>
                  </wp:cNvGraphicFramePr>
                  <a:graphic>
                    <a:graphicData uri="http://schemas.openxmlformats.org/drawingml/2006/picture">
                      <pic:pic>
                        <pic:nvPicPr>
                          <pic:cNvPr id="214" name="image111.jpeg"/>
                          <pic:cNvPicPr/>
                        </pic:nvPicPr>
                        <pic:blipFill>
                          <a:blip r:embed="rId175" cstate="print"/>
                          <a:stretch>
                            <a:fillRect/>
                          </a:stretch>
                        </pic:blipFill>
                        <pic:spPr>
                          <a:xfrm>
                            <a:off x="0" y="0"/>
                            <a:ext cx="1474209" cy="1833562"/>
                          </a:xfrm>
                          <a:prstGeom prst="rect">
                            <a:avLst/>
                          </a:prstGeom>
                        </pic:spPr>
                      </pic:pic>
                    </a:graphicData>
                  </a:graphic>
                </wp:inline>
              </w:drawing>
            </w:r>
            <w:r>
              <w:rPr>
                <w:sz w:val="20"/>
              </w:rPr>
            </w:r>
          </w:p>
          <w:p>
            <w:pPr>
              <w:pStyle w:val="TableParagraph"/>
              <w:rPr>
                <w:sz w:val="20"/>
              </w:rPr>
            </w:pPr>
          </w:p>
          <w:p>
            <w:pPr>
              <w:pStyle w:val="TableParagraph"/>
              <w:spacing w:before="3"/>
              <w:rPr>
                <w:sz w:val="16"/>
              </w:rPr>
            </w:pPr>
          </w:p>
        </w:tc>
      </w:tr>
      <w:tr>
        <w:trPr>
          <w:trHeight w:val="2929" w:hRule="exact"/>
        </w:trPr>
        <w:tc>
          <w:tcPr>
            <w:tcW w:w="3261" w:type="dxa"/>
          </w:tcPr>
          <w:p>
            <w:pPr>
              <w:pStyle w:val="TableParagraph"/>
              <w:rPr>
                <w:sz w:val="18"/>
              </w:rPr>
            </w:pPr>
          </w:p>
          <w:p>
            <w:pPr>
              <w:pStyle w:val="TableParagraph"/>
              <w:rPr>
                <w:sz w:val="18"/>
              </w:rPr>
            </w:pPr>
          </w:p>
          <w:p>
            <w:pPr>
              <w:pStyle w:val="TableParagraph"/>
              <w:rPr>
                <w:sz w:val="18"/>
              </w:rPr>
            </w:pPr>
          </w:p>
          <w:p>
            <w:pPr>
              <w:pStyle w:val="TableParagraph"/>
              <w:spacing w:before="3"/>
              <w:rPr>
                <w:sz w:val="26"/>
              </w:rPr>
            </w:pPr>
          </w:p>
          <w:p>
            <w:pPr>
              <w:pStyle w:val="TableParagraph"/>
              <w:spacing w:before="1"/>
              <w:ind w:left="2" w:right="1"/>
              <w:jc w:val="center"/>
              <w:rPr>
                <w:sz w:val="18"/>
              </w:rPr>
            </w:pPr>
            <w:r>
              <w:rPr>
                <w:sz w:val="18"/>
              </w:rPr>
              <w:t>Charles O. Perry</w:t>
            </w:r>
            <w:r>
              <w:rPr>
                <w:b/>
                <w:sz w:val="18"/>
              </w:rPr>
              <w:t>, </w:t>
            </w:r>
            <w:r>
              <w:rPr>
                <w:sz w:val="18"/>
              </w:rPr>
              <w:t>Caligrafía Moebius</w:t>
            </w:r>
          </w:p>
        </w:tc>
        <w:tc>
          <w:tcPr>
            <w:tcW w:w="3829" w:type="dxa"/>
          </w:tcPr>
          <w:p>
            <w:pPr>
              <w:pStyle w:val="TableParagraph"/>
              <w:rPr>
                <w:sz w:val="27"/>
              </w:rPr>
            </w:pPr>
          </w:p>
          <w:p>
            <w:pPr>
              <w:pStyle w:val="TableParagraph"/>
              <w:ind w:left="259"/>
              <w:rPr>
                <w:sz w:val="20"/>
              </w:rPr>
            </w:pPr>
            <w:r>
              <w:rPr>
                <w:sz w:val="20"/>
              </w:rPr>
              <w:drawing>
                <wp:inline distT="0" distB="0" distL="0" distR="0">
                  <wp:extent cx="2092644" cy="1393698"/>
                  <wp:effectExtent l="0" t="0" r="0" b="0"/>
                  <wp:docPr id="215" name="image112.jpeg" descr=""/>
                  <wp:cNvGraphicFramePr>
                    <a:graphicFrameLocks noChangeAspect="1"/>
                  </wp:cNvGraphicFramePr>
                  <a:graphic>
                    <a:graphicData uri="http://schemas.openxmlformats.org/drawingml/2006/picture">
                      <pic:pic>
                        <pic:nvPicPr>
                          <pic:cNvPr id="216" name="image112.jpeg"/>
                          <pic:cNvPicPr/>
                        </pic:nvPicPr>
                        <pic:blipFill>
                          <a:blip r:embed="rId176" cstate="print"/>
                          <a:stretch>
                            <a:fillRect/>
                          </a:stretch>
                        </pic:blipFill>
                        <pic:spPr>
                          <a:xfrm>
                            <a:off x="0" y="0"/>
                            <a:ext cx="2092644" cy="1393698"/>
                          </a:xfrm>
                          <a:prstGeom prst="rect">
                            <a:avLst/>
                          </a:prstGeom>
                        </pic:spPr>
                      </pic:pic>
                    </a:graphicData>
                  </a:graphic>
                </wp:inline>
              </w:drawing>
            </w:r>
            <w:r>
              <w:rPr>
                <w:sz w:val="20"/>
              </w:rPr>
            </w:r>
          </w:p>
          <w:p>
            <w:pPr>
              <w:pStyle w:val="TableParagraph"/>
              <w:rPr>
                <w:sz w:val="20"/>
              </w:rPr>
            </w:pPr>
          </w:p>
          <w:p>
            <w:pPr>
              <w:pStyle w:val="TableParagraph"/>
              <w:spacing w:before="1"/>
              <w:rPr>
                <w:sz w:val="16"/>
              </w:rPr>
            </w:pPr>
          </w:p>
        </w:tc>
      </w:tr>
      <w:tr>
        <w:trPr>
          <w:trHeight w:val="2993" w:hRule="exact"/>
        </w:trPr>
        <w:tc>
          <w:tcPr>
            <w:tcW w:w="3261" w:type="dxa"/>
          </w:tcPr>
          <w:p>
            <w:pPr>
              <w:pStyle w:val="TableParagraph"/>
              <w:spacing w:before="8"/>
              <w:rPr>
                <w:sz w:val="26"/>
              </w:rPr>
            </w:pPr>
          </w:p>
          <w:p>
            <w:pPr>
              <w:pStyle w:val="TableParagraph"/>
              <w:spacing w:line="360" w:lineRule="auto"/>
              <w:ind w:left="327" w:right="328"/>
              <w:jc w:val="center"/>
              <w:rPr>
                <w:sz w:val="18"/>
              </w:rPr>
            </w:pPr>
            <w:r>
              <w:rPr>
                <w:sz w:val="18"/>
              </w:rPr>
              <w:t>Robert R. Wilson, Mobius, 1974, acero inoxidable, 2m diámetro, Fermilab laboratorio de física en EE.UU.</w:t>
            </w:r>
          </w:p>
        </w:tc>
        <w:tc>
          <w:tcPr>
            <w:tcW w:w="3829" w:type="dxa"/>
          </w:tcPr>
          <w:p>
            <w:pPr>
              <w:pStyle w:val="TableParagraph"/>
              <w:spacing w:before="10"/>
              <w:rPr>
                <w:sz w:val="26"/>
              </w:rPr>
            </w:pPr>
          </w:p>
          <w:p>
            <w:pPr>
              <w:pStyle w:val="TableParagraph"/>
              <w:ind w:left="628"/>
              <w:rPr>
                <w:sz w:val="20"/>
              </w:rPr>
            </w:pPr>
            <w:r>
              <w:rPr>
                <w:sz w:val="20"/>
              </w:rPr>
              <w:drawing>
                <wp:inline distT="0" distB="0" distL="0" distR="0">
                  <wp:extent cx="1622211" cy="1430178"/>
                  <wp:effectExtent l="0" t="0" r="0" b="0"/>
                  <wp:docPr id="217" name="image113.jpeg" descr=""/>
                  <wp:cNvGraphicFramePr>
                    <a:graphicFrameLocks noChangeAspect="1"/>
                  </wp:cNvGraphicFramePr>
                  <a:graphic>
                    <a:graphicData uri="http://schemas.openxmlformats.org/drawingml/2006/picture">
                      <pic:pic>
                        <pic:nvPicPr>
                          <pic:cNvPr id="218" name="image113.jpeg"/>
                          <pic:cNvPicPr/>
                        </pic:nvPicPr>
                        <pic:blipFill>
                          <a:blip r:embed="rId177" cstate="print"/>
                          <a:stretch>
                            <a:fillRect/>
                          </a:stretch>
                        </pic:blipFill>
                        <pic:spPr>
                          <a:xfrm>
                            <a:off x="0" y="0"/>
                            <a:ext cx="1622211" cy="1430178"/>
                          </a:xfrm>
                          <a:prstGeom prst="rect">
                            <a:avLst/>
                          </a:prstGeom>
                        </pic:spPr>
                      </pic:pic>
                    </a:graphicData>
                  </a:graphic>
                </wp:inline>
              </w:drawing>
            </w:r>
            <w:r>
              <w:rPr>
                <w:sz w:val="20"/>
              </w:rPr>
            </w:r>
          </w:p>
          <w:p>
            <w:pPr>
              <w:pStyle w:val="TableParagraph"/>
              <w:rPr>
                <w:sz w:val="20"/>
              </w:rPr>
            </w:pPr>
          </w:p>
          <w:p>
            <w:pPr>
              <w:pStyle w:val="TableParagraph"/>
              <w:spacing w:before="8"/>
              <w:rPr>
                <w:sz w:val="16"/>
              </w:rPr>
            </w:pPr>
          </w:p>
        </w:tc>
      </w:tr>
    </w:tbl>
    <w:p>
      <w:pPr>
        <w:spacing w:after="0"/>
        <w:rPr>
          <w:sz w:val="16"/>
        </w:rPr>
        <w:sectPr>
          <w:pgSz w:w="12240" w:h="15840"/>
          <w:pgMar w:header="0" w:footer="1031" w:top="1360" w:bottom="1220" w:left="1720" w:right="1600"/>
        </w:sectPr>
      </w:pPr>
    </w:p>
    <w:tbl>
      <w:tblPr>
        <w:tblW w:w="0" w:type="auto"/>
        <w:jc w:val="left"/>
        <w:tblInd w:w="1089"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261"/>
        <w:gridCol w:w="3829"/>
      </w:tblGrid>
      <w:tr>
        <w:trPr>
          <w:trHeight w:val="2477" w:hRule="exact"/>
        </w:trPr>
        <w:tc>
          <w:tcPr>
            <w:tcW w:w="3261" w:type="dxa"/>
          </w:tcPr>
          <w:p>
            <w:pPr>
              <w:pStyle w:val="TableParagraph"/>
              <w:rPr>
                <w:sz w:val="18"/>
              </w:rPr>
            </w:pPr>
          </w:p>
          <w:p>
            <w:pPr>
              <w:pStyle w:val="TableParagraph"/>
              <w:rPr>
                <w:sz w:val="18"/>
              </w:rPr>
            </w:pPr>
          </w:p>
          <w:p>
            <w:pPr>
              <w:pStyle w:val="TableParagraph"/>
              <w:spacing w:before="6"/>
              <w:rPr>
                <w:sz w:val="17"/>
              </w:rPr>
            </w:pPr>
          </w:p>
          <w:p>
            <w:pPr>
              <w:pStyle w:val="TableParagraph"/>
              <w:spacing w:line="362" w:lineRule="auto"/>
              <w:ind w:left="515" w:right="108" w:hanging="412"/>
              <w:rPr>
                <w:sz w:val="18"/>
              </w:rPr>
            </w:pPr>
            <w:r>
              <w:rPr>
                <w:sz w:val="18"/>
              </w:rPr>
              <w:t>Max Bill, aluminum, 1986, ubicada en Banco alemán de Frankfurt.</w:t>
            </w:r>
          </w:p>
        </w:tc>
        <w:tc>
          <w:tcPr>
            <w:tcW w:w="3829" w:type="dxa"/>
          </w:tcPr>
          <w:p>
            <w:pPr>
              <w:pStyle w:val="TableParagraph"/>
              <w:spacing w:before="11"/>
              <w:rPr>
                <w:sz w:val="26"/>
              </w:rPr>
            </w:pPr>
          </w:p>
          <w:p>
            <w:pPr>
              <w:pStyle w:val="TableParagraph"/>
              <w:ind w:left="752"/>
              <w:rPr>
                <w:sz w:val="20"/>
              </w:rPr>
            </w:pPr>
            <w:r>
              <w:rPr>
                <w:sz w:val="20"/>
              </w:rPr>
              <w:drawing>
                <wp:inline distT="0" distB="0" distL="0" distR="0">
                  <wp:extent cx="1486236" cy="1114805"/>
                  <wp:effectExtent l="0" t="0" r="0" b="0"/>
                  <wp:docPr id="219" name="image114.jpeg" descr=""/>
                  <wp:cNvGraphicFramePr>
                    <a:graphicFrameLocks noChangeAspect="1"/>
                  </wp:cNvGraphicFramePr>
                  <a:graphic>
                    <a:graphicData uri="http://schemas.openxmlformats.org/drawingml/2006/picture">
                      <pic:pic>
                        <pic:nvPicPr>
                          <pic:cNvPr id="220" name="image114.jpeg"/>
                          <pic:cNvPicPr/>
                        </pic:nvPicPr>
                        <pic:blipFill>
                          <a:blip r:embed="rId178" cstate="print"/>
                          <a:stretch>
                            <a:fillRect/>
                          </a:stretch>
                        </pic:blipFill>
                        <pic:spPr>
                          <a:xfrm>
                            <a:off x="0" y="0"/>
                            <a:ext cx="1486236" cy="1114805"/>
                          </a:xfrm>
                          <a:prstGeom prst="rect">
                            <a:avLst/>
                          </a:prstGeom>
                        </pic:spPr>
                      </pic:pic>
                    </a:graphicData>
                  </a:graphic>
                </wp:inline>
              </w:drawing>
            </w:r>
            <w:r>
              <w:rPr>
                <w:sz w:val="20"/>
              </w:rPr>
            </w:r>
          </w:p>
          <w:p>
            <w:pPr>
              <w:pStyle w:val="TableParagraph"/>
              <w:rPr>
                <w:sz w:val="20"/>
              </w:rPr>
            </w:pPr>
          </w:p>
        </w:tc>
      </w:tr>
      <w:tr>
        <w:trPr>
          <w:trHeight w:val="2496" w:hRule="exact"/>
        </w:trPr>
        <w:tc>
          <w:tcPr>
            <w:tcW w:w="3261" w:type="dxa"/>
          </w:tcPr>
          <w:p>
            <w:pPr>
              <w:pStyle w:val="TableParagraph"/>
              <w:rPr>
                <w:sz w:val="18"/>
              </w:rPr>
            </w:pPr>
          </w:p>
          <w:p>
            <w:pPr>
              <w:pStyle w:val="TableParagraph"/>
              <w:rPr>
                <w:sz w:val="18"/>
              </w:rPr>
            </w:pPr>
          </w:p>
          <w:p>
            <w:pPr>
              <w:pStyle w:val="TableParagraph"/>
              <w:spacing w:before="6"/>
              <w:rPr>
                <w:sz w:val="17"/>
              </w:rPr>
            </w:pPr>
          </w:p>
          <w:p>
            <w:pPr>
              <w:pStyle w:val="TableParagraph"/>
              <w:spacing w:line="357" w:lineRule="auto"/>
              <w:ind w:left="85" w:right="91"/>
              <w:jc w:val="center"/>
              <w:rPr>
                <w:sz w:val="18"/>
              </w:rPr>
            </w:pPr>
            <w:r>
              <w:rPr>
                <w:sz w:val="18"/>
              </w:rPr>
              <w:t>Giro sin sin, Museo escultórico en Amberes.</w:t>
            </w:r>
          </w:p>
          <w:p>
            <w:pPr>
              <w:pStyle w:val="TableParagraph"/>
              <w:spacing w:before="6"/>
              <w:ind w:left="85" w:right="87"/>
              <w:jc w:val="center"/>
              <w:rPr>
                <w:sz w:val="18"/>
              </w:rPr>
            </w:pPr>
            <w:r>
              <w:rPr>
                <w:sz w:val="18"/>
              </w:rPr>
              <w:t>No datos específicos.</w:t>
            </w:r>
          </w:p>
        </w:tc>
        <w:tc>
          <w:tcPr>
            <w:tcW w:w="3829" w:type="dxa"/>
          </w:tcPr>
          <w:p>
            <w:pPr>
              <w:pStyle w:val="TableParagraph"/>
              <w:spacing w:before="9"/>
              <w:rPr>
                <w:sz w:val="26"/>
              </w:rPr>
            </w:pPr>
          </w:p>
          <w:p>
            <w:pPr>
              <w:pStyle w:val="TableParagraph"/>
              <w:ind w:left="752"/>
              <w:rPr>
                <w:sz w:val="20"/>
              </w:rPr>
            </w:pPr>
            <w:r>
              <w:rPr>
                <w:sz w:val="20"/>
              </w:rPr>
              <w:drawing>
                <wp:inline distT="0" distB="0" distL="0" distR="0">
                  <wp:extent cx="1457560" cy="1015746"/>
                  <wp:effectExtent l="0" t="0" r="0" b="0"/>
                  <wp:docPr id="221" name="image115.jpeg" descr=""/>
                  <wp:cNvGraphicFramePr>
                    <a:graphicFrameLocks noChangeAspect="1"/>
                  </wp:cNvGraphicFramePr>
                  <a:graphic>
                    <a:graphicData uri="http://schemas.openxmlformats.org/drawingml/2006/picture">
                      <pic:pic>
                        <pic:nvPicPr>
                          <pic:cNvPr id="222" name="image115.jpeg"/>
                          <pic:cNvPicPr/>
                        </pic:nvPicPr>
                        <pic:blipFill>
                          <a:blip r:embed="rId179" cstate="print"/>
                          <a:stretch>
                            <a:fillRect/>
                          </a:stretch>
                        </pic:blipFill>
                        <pic:spPr>
                          <a:xfrm>
                            <a:off x="0" y="0"/>
                            <a:ext cx="1457560" cy="1015746"/>
                          </a:xfrm>
                          <a:prstGeom prst="rect">
                            <a:avLst/>
                          </a:prstGeom>
                        </pic:spPr>
                      </pic:pic>
                    </a:graphicData>
                  </a:graphic>
                </wp:inline>
              </w:drawing>
            </w:r>
            <w:r>
              <w:rPr>
                <w:sz w:val="20"/>
              </w:rPr>
            </w:r>
          </w:p>
          <w:p>
            <w:pPr>
              <w:pStyle w:val="TableParagraph"/>
              <w:rPr>
                <w:sz w:val="20"/>
              </w:rPr>
            </w:pPr>
          </w:p>
          <w:p>
            <w:pPr>
              <w:pStyle w:val="TableParagraph"/>
              <w:rPr>
                <w:sz w:val="20"/>
              </w:rPr>
            </w:pPr>
          </w:p>
        </w:tc>
      </w:tr>
      <w:tr>
        <w:trPr>
          <w:trHeight w:val="2665" w:hRule="exact"/>
        </w:trPr>
        <w:tc>
          <w:tcPr>
            <w:tcW w:w="3261"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5"/>
              <w:rPr>
                <w:sz w:val="17"/>
              </w:rPr>
            </w:pPr>
          </w:p>
          <w:p>
            <w:pPr>
              <w:pStyle w:val="TableParagraph"/>
              <w:spacing w:line="357" w:lineRule="auto"/>
              <w:ind w:left="1284" w:right="108" w:hanging="1161"/>
              <w:rPr>
                <w:sz w:val="18"/>
              </w:rPr>
            </w:pPr>
            <w:r>
              <w:rPr>
                <w:sz w:val="18"/>
              </w:rPr>
              <w:t>Richard Ferguson, Mobius, Cobre, 28 x 15 cm.</w:t>
            </w:r>
          </w:p>
        </w:tc>
        <w:tc>
          <w:tcPr>
            <w:tcW w:w="3829" w:type="dxa"/>
          </w:tcPr>
          <w:p>
            <w:pPr>
              <w:pStyle w:val="TableParagraph"/>
              <w:spacing w:before="6"/>
              <w:rPr>
                <w:sz w:val="26"/>
              </w:rPr>
            </w:pPr>
          </w:p>
          <w:p>
            <w:pPr>
              <w:pStyle w:val="TableParagraph"/>
              <w:ind w:left="1249"/>
              <w:rPr>
                <w:sz w:val="20"/>
              </w:rPr>
            </w:pPr>
            <w:r>
              <w:rPr>
                <w:sz w:val="20"/>
              </w:rPr>
              <w:drawing>
                <wp:inline distT="0" distB="0" distL="0" distR="0">
                  <wp:extent cx="838196" cy="1232153"/>
                  <wp:effectExtent l="0" t="0" r="0" b="0"/>
                  <wp:docPr id="223" name="image116.jpeg" descr=""/>
                  <wp:cNvGraphicFramePr>
                    <a:graphicFrameLocks noChangeAspect="1"/>
                  </wp:cNvGraphicFramePr>
                  <a:graphic>
                    <a:graphicData uri="http://schemas.openxmlformats.org/drawingml/2006/picture">
                      <pic:pic>
                        <pic:nvPicPr>
                          <pic:cNvPr id="224" name="image116.jpeg"/>
                          <pic:cNvPicPr/>
                        </pic:nvPicPr>
                        <pic:blipFill>
                          <a:blip r:embed="rId180" cstate="print"/>
                          <a:stretch>
                            <a:fillRect/>
                          </a:stretch>
                        </pic:blipFill>
                        <pic:spPr>
                          <a:xfrm>
                            <a:off x="0" y="0"/>
                            <a:ext cx="838196" cy="1232153"/>
                          </a:xfrm>
                          <a:prstGeom prst="rect">
                            <a:avLst/>
                          </a:prstGeom>
                        </pic:spPr>
                      </pic:pic>
                    </a:graphicData>
                  </a:graphic>
                </wp:inline>
              </w:drawing>
            </w:r>
            <w:r>
              <w:rPr>
                <w:sz w:val="20"/>
              </w:rPr>
            </w:r>
          </w:p>
          <w:p>
            <w:pPr>
              <w:pStyle w:val="TableParagraph"/>
              <w:rPr>
                <w:sz w:val="20"/>
              </w:rPr>
            </w:pPr>
          </w:p>
          <w:p>
            <w:pPr>
              <w:pStyle w:val="TableParagraph"/>
              <w:spacing w:before="7"/>
              <w:rPr>
                <w:sz w:val="15"/>
              </w:rPr>
            </w:pPr>
          </w:p>
        </w:tc>
      </w:tr>
      <w:tr>
        <w:trPr>
          <w:trHeight w:val="2517" w:hRule="exact"/>
        </w:trPr>
        <w:tc>
          <w:tcPr>
            <w:tcW w:w="3261" w:type="dxa"/>
          </w:tcPr>
          <w:p>
            <w:pPr>
              <w:pStyle w:val="TableParagraph"/>
              <w:rPr>
                <w:sz w:val="18"/>
              </w:rPr>
            </w:pPr>
          </w:p>
          <w:p>
            <w:pPr>
              <w:pStyle w:val="TableParagraph"/>
              <w:rPr>
                <w:sz w:val="18"/>
              </w:rPr>
            </w:pPr>
          </w:p>
          <w:p>
            <w:pPr>
              <w:pStyle w:val="TableParagraph"/>
              <w:rPr>
                <w:sz w:val="18"/>
              </w:rPr>
            </w:pPr>
          </w:p>
          <w:p>
            <w:pPr>
              <w:pStyle w:val="TableParagraph"/>
              <w:spacing w:before="3"/>
              <w:rPr>
                <w:sz w:val="26"/>
              </w:rPr>
            </w:pPr>
          </w:p>
          <w:p>
            <w:pPr>
              <w:pStyle w:val="TableParagraph"/>
              <w:spacing w:line="362" w:lineRule="auto"/>
              <w:ind w:left="251" w:right="240" w:firstLine="80"/>
              <w:rPr>
                <w:sz w:val="18"/>
              </w:rPr>
            </w:pPr>
            <w:r>
              <w:rPr>
                <w:sz w:val="18"/>
              </w:rPr>
              <w:t>Artesanía, escultura de Moebius tallada en jade en Nueva Zelanda.</w:t>
            </w:r>
          </w:p>
        </w:tc>
        <w:tc>
          <w:tcPr>
            <w:tcW w:w="3829" w:type="dxa"/>
          </w:tcPr>
          <w:p>
            <w:pPr>
              <w:pStyle w:val="TableParagraph"/>
              <w:spacing w:before="6"/>
              <w:rPr>
                <w:sz w:val="26"/>
              </w:rPr>
            </w:pPr>
          </w:p>
          <w:p>
            <w:pPr>
              <w:pStyle w:val="TableParagraph"/>
              <w:ind w:left="688"/>
              <w:rPr>
                <w:sz w:val="20"/>
              </w:rPr>
            </w:pPr>
            <w:r>
              <w:rPr>
                <w:sz w:val="20"/>
              </w:rPr>
              <w:drawing>
                <wp:inline distT="0" distB="0" distL="0" distR="0">
                  <wp:extent cx="1567257" cy="1144143"/>
                  <wp:effectExtent l="0" t="0" r="0" b="0"/>
                  <wp:docPr id="225" name="image117.jpeg" descr=""/>
                  <wp:cNvGraphicFramePr>
                    <a:graphicFrameLocks noChangeAspect="1"/>
                  </wp:cNvGraphicFramePr>
                  <a:graphic>
                    <a:graphicData uri="http://schemas.openxmlformats.org/drawingml/2006/picture">
                      <pic:pic>
                        <pic:nvPicPr>
                          <pic:cNvPr id="226" name="image117.jpeg"/>
                          <pic:cNvPicPr/>
                        </pic:nvPicPr>
                        <pic:blipFill>
                          <a:blip r:embed="rId181" cstate="print"/>
                          <a:stretch>
                            <a:fillRect/>
                          </a:stretch>
                        </pic:blipFill>
                        <pic:spPr>
                          <a:xfrm>
                            <a:off x="0" y="0"/>
                            <a:ext cx="1567257" cy="1144143"/>
                          </a:xfrm>
                          <a:prstGeom prst="rect">
                            <a:avLst/>
                          </a:prstGeom>
                        </pic:spPr>
                      </pic:pic>
                    </a:graphicData>
                  </a:graphic>
                </wp:inline>
              </w:drawing>
            </w:r>
            <w:r>
              <w:rPr>
                <w:sz w:val="20"/>
              </w:rPr>
            </w:r>
          </w:p>
          <w:p>
            <w:pPr>
              <w:pStyle w:val="TableParagraph"/>
              <w:rPr>
                <w:sz w:val="20"/>
              </w:rPr>
            </w:pPr>
          </w:p>
        </w:tc>
      </w:tr>
      <w:tr>
        <w:trPr>
          <w:trHeight w:val="2681" w:hRule="exact"/>
        </w:trPr>
        <w:tc>
          <w:tcPr>
            <w:tcW w:w="3261"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5"/>
              <w:rPr>
                <w:sz w:val="17"/>
              </w:rPr>
            </w:pPr>
          </w:p>
          <w:p>
            <w:pPr>
              <w:pStyle w:val="TableParagraph"/>
              <w:spacing w:line="357" w:lineRule="auto"/>
              <w:ind w:left="247" w:right="234" w:firstLine="372"/>
              <w:rPr>
                <w:sz w:val="18"/>
              </w:rPr>
            </w:pPr>
            <w:r>
              <w:rPr>
                <w:sz w:val="18"/>
              </w:rPr>
              <w:t>Dick Onians,un giro en el tiempo,alabastro, 45 x 26 x 23 cm.</w:t>
            </w:r>
          </w:p>
        </w:tc>
        <w:tc>
          <w:tcPr>
            <w:tcW w:w="3829" w:type="dxa"/>
          </w:tcPr>
          <w:p>
            <w:pPr>
              <w:pStyle w:val="TableParagraph"/>
              <w:spacing w:before="6"/>
              <w:rPr>
                <w:sz w:val="26"/>
              </w:rPr>
            </w:pPr>
          </w:p>
          <w:p>
            <w:pPr>
              <w:pStyle w:val="TableParagraph"/>
              <w:ind w:left="1054"/>
              <w:rPr>
                <w:sz w:val="20"/>
              </w:rPr>
            </w:pPr>
            <w:r>
              <w:rPr>
                <w:sz w:val="20"/>
              </w:rPr>
              <w:drawing>
                <wp:inline distT="0" distB="0" distL="0" distR="0">
                  <wp:extent cx="1071562" cy="1428750"/>
                  <wp:effectExtent l="0" t="0" r="0" b="0"/>
                  <wp:docPr id="227" name="image118.jpeg" descr=""/>
                  <wp:cNvGraphicFramePr>
                    <a:graphicFrameLocks noChangeAspect="1"/>
                  </wp:cNvGraphicFramePr>
                  <a:graphic>
                    <a:graphicData uri="http://schemas.openxmlformats.org/drawingml/2006/picture">
                      <pic:pic>
                        <pic:nvPicPr>
                          <pic:cNvPr id="228" name="image118.jpeg"/>
                          <pic:cNvPicPr/>
                        </pic:nvPicPr>
                        <pic:blipFill>
                          <a:blip r:embed="rId182" cstate="print"/>
                          <a:stretch>
                            <a:fillRect/>
                          </a:stretch>
                        </pic:blipFill>
                        <pic:spPr>
                          <a:xfrm>
                            <a:off x="0" y="0"/>
                            <a:ext cx="1071562" cy="1428750"/>
                          </a:xfrm>
                          <a:prstGeom prst="rect">
                            <a:avLst/>
                          </a:prstGeom>
                        </pic:spPr>
                      </pic:pic>
                    </a:graphicData>
                  </a:graphic>
                </wp:inline>
              </w:drawing>
            </w:r>
            <w:r>
              <w:rPr>
                <w:sz w:val="20"/>
              </w:rPr>
            </w:r>
          </w:p>
        </w:tc>
      </w:tr>
    </w:tbl>
    <w:p>
      <w:pPr>
        <w:rPr>
          <w:sz w:val="2"/>
          <w:szCs w:val="2"/>
        </w:rPr>
      </w:pPr>
      <w:r>
        <w:rPr/>
        <w:pict>
          <v:line style="position:absolute;mso-position-horizontal-relative:page;mso-position-vertical-relative:page;z-index:-284704" from="177.949997pt,102.419998pt" to="177.949997pt,112.619998pt" stroked="true" strokeweight="2.6pt" strokecolor="#fdfdfd">
            <w10:wrap type="none"/>
          </v:line>
        </w:pict>
      </w:r>
    </w:p>
    <w:p>
      <w:pPr>
        <w:spacing w:after="0"/>
        <w:rPr>
          <w:sz w:val="2"/>
          <w:szCs w:val="2"/>
        </w:rPr>
        <w:sectPr>
          <w:pgSz w:w="12240" w:h="15840"/>
          <w:pgMar w:header="0" w:footer="1031" w:top="1420" w:bottom="1160" w:left="1600" w:right="1720"/>
        </w:sectPr>
      </w:pPr>
    </w:p>
    <w:tbl>
      <w:tblPr>
        <w:tblW w:w="0" w:type="auto"/>
        <w:jc w:val="left"/>
        <w:tblInd w:w="969"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261"/>
        <w:gridCol w:w="3829"/>
      </w:tblGrid>
      <w:tr>
        <w:trPr>
          <w:trHeight w:val="2453" w:hRule="exact"/>
        </w:trPr>
        <w:tc>
          <w:tcPr>
            <w:tcW w:w="3261" w:type="dxa"/>
          </w:tcPr>
          <w:p>
            <w:pPr>
              <w:pStyle w:val="TableParagraph"/>
              <w:rPr>
                <w:sz w:val="18"/>
              </w:rPr>
            </w:pPr>
          </w:p>
          <w:p>
            <w:pPr>
              <w:pStyle w:val="TableParagraph"/>
              <w:rPr>
                <w:sz w:val="18"/>
              </w:rPr>
            </w:pPr>
          </w:p>
          <w:p>
            <w:pPr>
              <w:pStyle w:val="TableParagraph"/>
              <w:rPr>
                <w:sz w:val="18"/>
              </w:rPr>
            </w:pPr>
          </w:p>
          <w:p>
            <w:pPr>
              <w:pStyle w:val="TableParagraph"/>
              <w:spacing w:before="7"/>
              <w:rPr>
                <w:sz w:val="26"/>
              </w:rPr>
            </w:pPr>
          </w:p>
          <w:p>
            <w:pPr>
              <w:pStyle w:val="TableParagraph"/>
              <w:spacing w:line="357" w:lineRule="auto"/>
              <w:ind w:left="623" w:right="160" w:hanging="452"/>
              <w:rPr>
                <w:sz w:val="18"/>
              </w:rPr>
            </w:pPr>
            <w:r>
              <w:rPr>
                <w:sz w:val="18"/>
              </w:rPr>
              <w:t>Nat Friedman, espiral Möbius, 2006, cerámica, 12 "x 8" x 12 ".</w:t>
            </w:r>
          </w:p>
        </w:tc>
        <w:tc>
          <w:tcPr>
            <w:tcW w:w="3829" w:type="dxa"/>
          </w:tcPr>
          <w:p>
            <w:pPr>
              <w:pStyle w:val="TableParagraph"/>
              <w:spacing w:before="11"/>
              <w:rPr>
                <w:sz w:val="26"/>
              </w:rPr>
            </w:pPr>
          </w:p>
          <w:p>
            <w:pPr>
              <w:pStyle w:val="TableParagraph"/>
              <w:ind w:left="589"/>
              <w:rPr>
                <w:sz w:val="20"/>
              </w:rPr>
            </w:pPr>
            <w:r>
              <w:rPr>
                <w:sz w:val="20"/>
              </w:rPr>
              <w:drawing>
                <wp:inline distT="0" distB="0" distL="0" distR="0">
                  <wp:extent cx="1681512" cy="1098042"/>
                  <wp:effectExtent l="0" t="0" r="0" b="0"/>
                  <wp:docPr id="229" name="image119.jpeg" descr=""/>
                  <wp:cNvGraphicFramePr>
                    <a:graphicFrameLocks noChangeAspect="1"/>
                  </wp:cNvGraphicFramePr>
                  <a:graphic>
                    <a:graphicData uri="http://schemas.openxmlformats.org/drawingml/2006/picture">
                      <pic:pic>
                        <pic:nvPicPr>
                          <pic:cNvPr id="230" name="image119.jpeg"/>
                          <pic:cNvPicPr/>
                        </pic:nvPicPr>
                        <pic:blipFill>
                          <a:blip r:embed="rId183" cstate="print"/>
                          <a:stretch>
                            <a:fillRect/>
                          </a:stretch>
                        </pic:blipFill>
                        <pic:spPr>
                          <a:xfrm>
                            <a:off x="0" y="0"/>
                            <a:ext cx="1681512" cy="1098042"/>
                          </a:xfrm>
                          <a:prstGeom prst="rect">
                            <a:avLst/>
                          </a:prstGeom>
                        </pic:spPr>
                      </pic:pic>
                    </a:graphicData>
                  </a:graphic>
                </wp:inline>
              </w:drawing>
            </w:r>
            <w:r>
              <w:rPr>
                <w:sz w:val="20"/>
              </w:rPr>
            </w:r>
          </w:p>
          <w:p>
            <w:pPr>
              <w:pStyle w:val="TableParagraph"/>
              <w:rPr>
                <w:sz w:val="20"/>
              </w:rPr>
            </w:pPr>
          </w:p>
        </w:tc>
      </w:tr>
      <w:tr>
        <w:trPr>
          <w:trHeight w:val="3253" w:hRule="exact"/>
        </w:trPr>
        <w:tc>
          <w:tcPr>
            <w:tcW w:w="3261"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5"/>
              <w:rPr>
                <w:sz w:val="17"/>
              </w:rPr>
            </w:pPr>
          </w:p>
          <w:p>
            <w:pPr>
              <w:pStyle w:val="TableParagraph"/>
              <w:spacing w:line="360" w:lineRule="auto"/>
              <w:ind w:left="103" w:right="104" w:hanging="4"/>
              <w:jc w:val="center"/>
              <w:rPr>
                <w:sz w:val="18"/>
              </w:rPr>
            </w:pPr>
            <w:r>
              <w:rPr>
                <w:sz w:val="18"/>
              </w:rPr>
              <w:t>Nat Friedman, nudo de trébol mínima superficie, 2006, piedra caliza, 10 “ de diámetro x 6” de profundidad.</w:t>
            </w:r>
          </w:p>
        </w:tc>
        <w:tc>
          <w:tcPr>
            <w:tcW w:w="3829" w:type="dxa"/>
          </w:tcPr>
          <w:p>
            <w:pPr>
              <w:pStyle w:val="TableParagraph"/>
              <w:spacing w:before="8"/>
              <w:rPr>
                <w:sz w:val="26"/>
              </w:rPr>
            </w:pPr>
          </w:p>
          <w:p>
            <w:pPr>
              <w:pStyle w:val="TableParagraph"/>
              <w:ind w:left="496"/>
              <w:rPr>
                <w:sz w:val="20"/>
              </w:rPr>
            </w:pPr>
            <w:r>
              <w:rPr>
                <w:sz w:val="20"/>
              </w:rPr>
              <w:drawing>
                <wp:inline distT="0" distB="0" distL="0" distR="0">
                  <wp:extent cx="1790428" cy="1591055"/>
                  <wp:effectExtent l="0" t="0" r="0" b="0"/>
                  <wp:docPr id="231" name="image120.jpeg" descr=""/>
                  <wp:cNvGraphicFramePr>
                    <a:graphicFrameLocks noChangeAspect="1"/>
                  </wp:cNvGraphicFramePr>
                  <a:graphic>
                    <a:graphicData uri="http://schemas.openxmlformats.org/drawingml/2006/picture">
                      <pic:pic>
                        <pic:nvPicPr>
                          <pic:cNvPr id="232" name="image120.jpeg"/>
                          <pic:cNvPicPr/>
                        </pic:nvPicPr>
                        <pic:blipFill>
                          <a:blip r:embed="rId184" cstate="print"/>
                          <a:stretch>
                            <a:fillRect/>
                          </a:stretch>
                        </pic:blipFill>
                        <pic:spPr>
                          <a:xfrm>
                            <a:off x="0" y="0"/>
                            <a:ext cx="1790428" cy="1591055"/>
                          </a:xfrm>
                          <a:prstGeom prst="rect">
                            <a:avLst/>
                          </a:prstGeom>
                        </pic:spPr>
                      </pic:pic>
                    </a:graphicData>
                  </a:graphic>
                </wp:inline>
              </w:drawing>
            </w:r>
            <w:r>
              <w:rPr>
                <w:sz w:val="20"/>
              </w:rPr>
            </w:r>
          </w:p>
          <w:p>
            <w:pPr>
              <w:pStyle w:val="TableParagraph"/>
              <w:rPr>
                <w:sz w:val="20"/>
              </w:rPr>
            </w:pPr>
          </w:p>
          <w:p>
            <w:pPr>
              <w:pStyle w:val="TableParagraph"/>
              <w:spacing w:before="6"/>
              <w:rPr>
                <w:sz w:val="17"/>
              </w:rPr>
            </w:pPr>
          </w:p>
        </w:tc>
      </w:tr>
      <w:tr>
        <w:trPr>
          <w:trHeight w:val="2965" w:hRule="exact"/>
        </w:trPr>
        <w:tc>
          <w:tcPr>
            <w:tcW w:w="3261"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5"/>
              <w:rPr>
                <w:sz w:val="17"/>
              </w:rPr>
            </w:pPr>
          </w:p>
          <w:p>
            <w:pPr>
              <w:pStyle w:val="TableParagraph"/>
              <w:spacing w:line="362" w:lineRule="auto"/>
              <w:ind w:left="167" w:right="170" w:hanging="5"/>
              <w:jc w:val="center"/>
              <w:rPr>
                <w:sz w:val="18"/>
              </w:rPr>
            </w:pPr>
            <w:r>
              <w:rPr>
                <w:sz w:val="18"/>
              </w:rPr>
              <w:t>Michael Bincley, Moebius, 2011, piedra caliza de Indiana, 9” x 4” x 6”.</w:t>
            </w:r>
          </w:p>
          <w:p>
            <w:pPr>
              <w:pStyle w:val="TableParagraph"/>
              <w:spacing w:before="3"/>
              <w:ind w:left="85" w:right="86"/>
              <w:jc w:val="center"/>
              <w:rPr>
                <w:sz w:val="18"/>
              </w:rPr>
            </w:pPr>
            <w:r>
              <w:rPr>
                <w:sz w:val="18"/>
              </w:rPr>
              <w:t>Colección privada.</w:t>
            </w:r>
          </w:p>
        </w:tc>
        <w:tc>
          <w:tcPr>
            <w:tcW w:w="3829" w:type="dxa"/>
          </w:tcPr>
          <w:p>
            <w:pPr>
              <w:pStyle w:val="TableParagraph"/>
              <w:spacing w:before="9" w:after="1"/>
              <w:rPr>
                <w:sz w:val="26"/>
              </w:rPr>
            </w:pPr>
          </w:p>
          <w:p>
            <w:pPr>
              <w:pStyle w:val="TableParagraph"/>
              <w:ind w:left="423"/>
              <w:rPr>
                <w:sz w:val="20"/>
              </w:rPr>
            </w:pPr>
            <w:r>
              <w:rPr>
                <w:sz w:val="20"/>
              </w:rPr>
              <w:drawing>
                <wp:inline distT="0" distB="0" distL="0" distR="0">
                  <wp:extent cx="1885948" cy="1412748"/>
                  <wp:effectExtent l="0" t="0" r="0" b="0"/>
                  <wp:docPr id="233" name="image121.jpeg" descr=""/>
                  <wp:cNvGraphicFramePr>
                    <a:graphicFrameLocks noChangeAspect="1"/>
                  </wp:cNvGraphicFramePr>
                  <a:graphic>
                    <a:graphicData uri="http://schemas.openxmlformats.org/drawingml/2006/picture">
                      <pic:pic>
                        <pic:nvPicPr>
                          <pic:cNvPr id="234" name="image121.jpeg"/>
                          <pic:cNvPicPr/>
                        </pic:nvPicPr>
                        <pic:blipFill>
                          <a:blip r:embed="rId185" cstate="print"/>
                          <a:stretch>
                            <a:fillRect/>
                          </a:stretch>
                        </pic:blipFill>
                        <pic:spPr>
                          <a:xfrm>
                            <a:off x="0" y="0"/>
                            <a:ext cx="1885948" cy="1412748"/>
                          </a:xfrm>
                          <a:prstGeom prst="rect">
                            <a:avLst/>
                          </a:prstGeom>
                        </pic:spPr>
                      </pic:pic>
                    </a:graphicData>
                  </a:graphic>
                </wp:inline>
              </w:drawing>
            </w:r>
            <w:r>
              <w:rPr>
                <w:sz w:val="20"/>
              </w:rPr>
            </w:r>
          </w:p>
          <w:p>
            <w:pPr>
              <w:pStyle w:val="TableParagraph"/>
              <w:rPr>
                <w:sz w:val="20"/>
              </w:rPr>
            </w:pPr>
          </w:p>
          <w:p>
            <w:pPr>
              <w:pStyle w:val="TableParagraph"/>
              <w:spacing w:before="8"/>
              <w:rPr>
                <w:sz w:val="16"/>
              </w:rPr>
            </w:pPr>
          </w:p>
        </w:tc>
      </w:tr>
      <w:tr>
        <w:trPr>
          <w:trHeight w:val="3041" w:hRule="exact"/>
        </w:trPr>
        <w:tc>
          <w:tcPr>
            <w:tcW w:w="3261" w:type="dxa"/>
          </w:tcPr>
          <w:p>
            <w:pPr>
              <w:pStyle w:val="TableParagraph"/>
              <w:rPr>
                <w:sz w:val="18"/>
              </w:rPr>
            </w:pPr>
          </w:p>
          <w:p>
            <w:pPr>
              <w:pStyle w:val="TableParagraph"/>
              <w:rPr>
                <w:sz w:val="18"/>
              </w:rPr>
            </w:pPr>
          </w:p>
          <w:p>
            <w:pPr>
              <w:pStyle w:val="TableParagraph"/>
              <w:rPr>
                <w:sz w:val="18"/>
              </w:rPr>
            </w:pPr>
          </w:p>
          <w:p>
            <w:pPr>
              <w:pStyle w:val="TableParagraph"/>
              <w:spacing w:before="4"/>
              <w:rPr>
                <w:sz w:val="26"/>
              </w:rPr>
            </w:pPr>
          </w:p>
          <w:p>
            <w:pPr>
              <w:pStyle w:val="TableParagraph"/>
              <w:spacing w:line="360" w:lineRule="auto"/>
              <w:ind w:left="91" w:right="92"/>
              <w:jc w:val="center"/>
              <w:rPr>
                <w:sz w:val="18"/>
              </w:rPr>
            </w:pPr>
            <w:r>
              <w:rPr>
                <w:sz w:val="18"/>
              </w:rPr>
              <w:t>Jim Milner, Möbius III, 2012, arenisca de grano fino de Glossop en Derbyshire, 31 “x 6”. Colección privada.</w:t>
            </w:r>
          </w:p>
        </w:tc>
        <w:tc>
          <w:tcPr>
            <w:tcW w:w="3829" w:type="dxa"/>
          </w:tcPr>
          <w:p>
            <w:pPr>
              <w:pStyle w:val="TableParagraph"/>
              <w:spacing w:before="5"/>
              <w:rPr>
                <w:sz w:val="26"/>
              </w:rPr>
            </w:pPr>
          </w:p>
          <w:p>
            <w:pPr>
              <w:pStyle w:val="TableParagraph"/>
              <w:ind w:left="481"/>
              <w:rPr>
                <w:sz w:val="20"/>
              </w:rPr>
            </w:pPr>
            <w:r>
              <w:rPr>
                <w:sz w:val="20"/>
              </w:rPr>
              <w:drawing>
                <wp:inline distT="0" distB="0" distL="0" distR="0">
                  <wp:extent cx="1795306" cy="1445799"/>
                  <wp:effectExtent l="0" t="0" r="0" b="0"/>
                  <wp:docPr id="235" name="image122.jpeg" descr=""/>
                  <wp:cNvGraphicFramePr>
                    <a:graphicFrameLocks noChangeAspect="1"/>
                  </wp:cNvGraphicFramePr>
                  <a:graphic>
                    <a:graphicData uri="http://schemas.openxmlformats.org/drawingml/2006/picture">
                      <pic:pic>
                        <pic:nvPicPr>
                          <pic:cNvPr id="236" name="image122.jpeg"/>
                          <pic:cNvPicPr/>
                        </pic:nvPicPr>
                        <pic:blipFill>
                          <a:blip r:embed="rId186" cstate="print"/>
                          <a:stretch>
                            <a:fillRect/>
                          </a:stretch>
                        </pic:blipFill>
                        <pic:spPr>
                          <a:xfrm>
                            <a:off x="0" y="0"/>
                            <a:ext cx="1795306" cy="1445799"/>
                          </a:xfrm>
                          <a:prstGeom prst="rect">
                            <a:avLst/>
                          </a:prstGeom>
                        </pic:spPr>
                      </pic:pic>
                    </a:graphicData>
                  </a:graphic>
                </wp:inline>
              </w:drawing>
            </w:r>
            <w:r>
              <w:rPr>
                <w:sz w:val="20"/>
              </w:rPr>
            </w:r>
          </w:p>
          <w:p>
            <w:pPr>
              <w:pStyle w:val="TableParagraph"/>
              <w:rPr>
                <w:sz w:val="20"/>
              </w:rPr>
            </w:pPr>
          </w:p>
          <w:p>
            <w:pPr>
              <w:pStyle w:val="TableParagraph"/>
              <w:spacing w:before="2"/>
              <w:rPr>
                <w:sz w:val="19"/>
              </w:rPr>
            </w:pPr>
          </w:p>
        </w:tc>
      </w:tr>
    </w:tbl>
    <w:p>
      <w:pPr>
        <w:spacing w:line="202" w:lineRule="exact" w:before="0"/>
        <w:ind w:left="2964" w:right="3083" w:firstLine="0"/>
        <w:jc w:val="center"/>
        <w:rPr>
          <w:sz w:val="18"/>
        </w:rPr>
      </w:pPr>
      <w:r>
        <w:rPr>
          <w:sz w:val="18"/>
        </w:rPr>
        <w:t>(Fuente: Elaboración propia, 2014).</w:t>
      </w:r>
    </w:p>
    <w:p>
      <w:pPr>
        <w:spacing w:after="0" w:line="202" w:lineRule="exact"/>
        <w:jc w:val="center"/>
        <w:rPr>
          <w:sz w:val="18"/>
        </w:rPr>
        <w:sectPr>
          <w:pgSz w:w="12240" w:h="15840"/>
          <w:pgMar w:header="0" w:footer="1031" w:top="1420" w:bottom="1220" w:left="1720" w:right="1600"/>
        </w:sectPr>
      </w:pPr>
    </w:p>
    <w:p>
      <w:pPr>
        <w:pStyle w:val="BodyText"/>
        <w:spacing w:line="360" w:lineRule="auto" w:before="55"/>
        <w:ind w:left="100" w:right="118"/>
        <w:jc w:val="both"/>
      </w:pPr>
      <w:r>
        <w:rPr/>
        <w:t>La BM es una superficie que solo posee una cara, tiene solo un borde, tiene la propiedad matemática de ser un objeto </w:t>
      </w:r>
      <w:hyperlink r:id="rId187">
        <w:r>
          <w:rPr/>
          <w:t>no orientable</w:t>
        </w:r>
      </w:hyperlink>
      <w:r>
        <w:rPr/>
        <w:t>. También es una </w:t>
      </w:r>
      <w:hyperlink r:id="rId188">
        <w:r>
          <w:rPr/>
          <w:t>superficie</w:t>
        </w:r>
      </w:hyperlink>
      <w:r>
        <w:rPr/>
        <w:t> </w:t>
      </w:r>
      <w:hyperlink r:id="rId188">
        <w:r>
          <w:rPr/>
          <w:t>reglada</w:t>
        </w:r>
      </w:hyperlink>
      <w:r>
        <w:rPr/>
        <w:t>.       Fue       descubierta        en        forma        independiente        por    los </w:t>
      </w:r>
      <w:hyperlink r:id="rId189">
        <w:r>
          <w:rPr/>
          <w:t>matemáticos</w:t>
        </w:r>
      </w:hyperlink>
      <w:r>
        <w:rPr/>
        <w:t> </w:t>
      </w:r>
      <w:hyperlink r:id="rId190">
        <w:r>
          <w:rPr/>
          <w:t>alemanes</w:t>
        </w:r>
      </w:hyperlink>
      <w:r>
        <w:rPr/>
        <w:t> </w:t>
      </w:r>
      <w:hyperlink r:id="rId191">
        <w:r>
          <w:rPr/>
          <w:t>August  Ferdinand   Möbius</w:t>
        </w:r>
      </w:hyperlink>
      <w:r>
        <w:rPr/>
        <w:t> y   </w:t>
      </w:r>
      <w:hyperlink r:id="rId192">
        <w:r>
          <w:rPr/>
          <w:t>Johann   Benedict</w:t>
        </w:r>
      </w:hyperlink>
      <w:r>
        <w:rPr/>
        <w:t> </w:t>
      </w:r>
      <w:hyperlink r:id="rId192">
        <w:r>
          <w:rPr/>
          <w:t>Listing</w:t>
        </w:r>
      </w:hyperlink>
      <w:r>
        <w:rPr/>
        <w:t> en</w:t>
      </w:r>
      <w:r>
        <w:rPr>
          <w:spacing w:val="-12"/>
        </w:rPr>
        <w:t> </w:t>
      </w:r>
      <w:hyperlink r:id="rId193">
        <w:r>
          <w:rPr/>
          <w:t>1858</w:t>
        </w:r>
      </w:hyperlink>
      <w:r>
        <w:rPr/>
        <w:t>.</w:t>
      </w:r>
    </w:p>
    <w:p>
      <w:pPr>
        <w:pStyle w:val="BodyText"/>
      </w:pPr>
    </w:p>
    <w:p>
      <w:pPr>
        <w:pStyle w:val="BodyText"/>
        <w:spacing w:line="362" w:lineRule="auto" w:before="142"/>
        <w:ind w:left="100" w:right="118"/>
        <w:jc w:val="both"/>
      </w:pPr>
      <w:r>
        <w:rPr/>
        <w:t>Los primeros bocetos tuvieron el objetivo de decidir qué piezas se dibujarían en Rhinoceros® como muestra la siguiente </w:t>
      </w:r>
      <w:hyperlink w:history="true" w:anchor="_bookmark153">
        <w:r>
          <w:rPr/>
          <w:t>Figura 5.1</w:t>
        </w:r>
      </w:hyperlink>
      <w:r>
        <w:rPr/>
        <w:t>.</w:t>
      </w:r>
    </w:p>
    <w:p>
      <w:pPr>
        <w:pStyle w:val="BodyText"/>
        <w:rPr>
          <w:sz w:val="20"/>
        </w:rPr>
      </w:pPr>
    </w:p>
    <w:p>
      <w:pPr>
        <w:pStyle w:val="BodyText"/>
        <w:spacing w:before="8"/>
        <w:rPr>
          <w:sz w:val="12"/>
        </w:rPr>
      </w:pPr>
      <w:r>
        <w:rPr/>
        <w:drawing>
          <wp:anchor distT="0" distB="0" distL="0" distR="0" allowOverlap="1" layoutInCell="1" locked="0" behindDoc="0" simplePos="0" relativeHeight="2200">
            <wp:simplePos x="0" y="0"/>
            <wp:positionH relativeFrom="page">
              <wp:posOffset>2357501</wp:posOffset>
            </wp:positionH>
            <wp:positionV relativeFrom="paragraph">
              <wp:posOffset>117739</wp:posOffset>
            </wp:positionV>
            <wp:extent cx="3241940" cy="2748915"/>
            <wp:effectExtent l="0" t="0" r="0" b="0"/>
            <wp:wrapTopAndBottom/>
            <wp:docPr id="237" name="image123.jpeg" descr=""/>
            <wp:cNvGraphicFramePr>
              <a:graphicFrameLocks noChangeAspect="1"/>
            </wp:cNvGraphicFramePr>
            <a:graphic>
              <a:graphicData uri="http://schemas.openxmlformats.org/drawingml/2006/picture">
                <pic:pic>
                  <pic:nvPicPr>
                    <pic:cNvPr id="238" name="image123.jpeg"/>
                    <pic:cNvPicPr/>
                  </pic:nvPicPr>
                  <pic:blipFill>
                    <a:blip r:embed="rId194" cstate="print"/>
                    <a:stretch>
                      <a:fillRect/>
                    </a:stretch>
                  </pic:blipFill>
                  <pic:spPr>
                    <a:xfrm>
                      <a:off x="0" y="0"/>
                      <a:ext cx="3241940" cy="2748915"/>
                    </a:xfrm>
                    <a:prstGeom prst="rect">
                      <a:avLst/>
                    </a:prstGeom>
                  </pic:spPr>
                </pic:pic>
              </a:graphicData>
            </a:graphic>
          </wp:anchor>
        </w:drawing>
      </w:r>
    </w:p>
    <w:p>
      <w:pPr>
        <w:spacing w:before="27"/>
        <w:ind w:left="1234" w:right="1029" w:firstLine="0"/>
        <w:jc w:val="center"/>
        <w:rPr>
          <w:sz w:val="18"/>
        </w:rPr>
      </w:pPr>
      <w:bookmarkStart w:name="_bookmark153" w:id="245"/>
      <w:bookmarkEnd w:id="245"/>
      <w:r>
        <w:rPr/>
      </w:r>
      <w:r>
        <w:rPr>
          <w:sz w:val="18"/>
        </w:rPr>
        <w:t>Figura 5.1. Bocetos de banda en aluminio y papel. (Fuente: Elaboración propia.</w:t>
      </w:r>
    </w:p>
    <w:p>
      <w:pPr>
        <w:spacing w:before="1"/>
        <w:ind w:left="1234" w:right="1029" w:firstLine="0"/>
        <w:jc w:val="center"/>
        <w:rPr>
          <w:sz w:val="18"/>
        </w:rPr>
      </w:pPr>
      <w:r>
        <w:rPr>
          <w:sz w:val="18"/>
        </w:rPr>
        <w:t>2016).</w:t>
      </w:r>
    </w:p>
    <w:p>
      <w:pPr>
        <w:pStyle w:val="BodyText"/>
        <w:spacing w:before="5"/>
        <w:rPr>
          <w:sz w:val="18"/>
        </w:rPr>
      </w:pPr>
    </w:p>
    <w:p>
      <w:pPr>
        <w:pStyle w:val="BodyText"/>
        <w:spacing w:line="360" w:lineRule="auto"/>
        <w:ind w:left="100" w:right="122"/>
        <w:jc w:val="both"/>
      </w:pPr>
      <w:r>
        <w:rPr/>
        <w:t>Dichas figuras cumplen la forma de cinta de Mobius donde el interior está conectado con el exterior logrando el infinito. Se realizaron de aluminio y papel con su respectiva base en calidad de boceto para solucionar las formas y equilibrio del volumen. Se eligió el boceto 3 para digitalización, que veremos impresa en la siguiente Tabla 5.2.</w:t>
      </w:r>
    </w:p>
    <w:p>
      <w:pPr>
        <w:pStyle w:val="BodyText"/>
      </w:pPr>
    </w:p>
    <w:p>
      <w:pPr>
        <w:pStyle w:val="BodyText"/>
        <w:spacing w:line="357" w:lineRule="auto" w:before="142"/>
        <w:ind w:left="100" w:right="115"/>
        <w:jc w:val="both"/>
      </w:pPr>
      <w:r>
        <w:rPr/>
        <w:t>Para definir la pieza definitiva se realizaron pruebas de impresión de diversas formas en PLA, como lo muestra la siguiente </w:t>
      </w:r>
      <w:hyperlink w:history="true" w:anchor="_bookmark154">
        <w:r>
          <w:rPr/>
          <w:t>Tabla 5.2</w:t>
        </w:r>
      </w:hyperlink>
    </w:p>
    <w:p>
      <w:pPr>
        <w:spacing w:after="0" w:line="357" w:lineRule="auto"/>
        <w:jc w:val="both"/>
        <w:sectPr>
          <w:pgSz w:w="12240" w:h="15840"/>
          <w:pgMar w:header="0" w:footer="1031" w:top="1360" w:bottom="1160" w:left="1600" w:right="1580"/>
        </w:sectPr>
      </w:pPr>
    </w:p>
    <w:p>
      <w:pPr>
        <w:pStyle w:val="BodyText"/>
        <w:rPr>
          <w:sz w:val="20"/>
        </w:rPr>
      </w:pPr>
      <w:r>
        <w:rPr/>
        <w:drawing>
          <wp:anchor distT="0" distB="0" distL="0" distR="0" allowOverlap="1" layoutInCell="1" locked="0" behindDoc="1" simplePos="0" relativeHeight="268150799">
            <wp:simplePos x="0" y="0"/>
            <wp:positionH relativeFrom="page">
              <wp:posOffset>3054985</wp:posOffset>
            </wp:positionH>
            <wp:positionV relativeFrom="page">
              <wp:posOffset>4206240</wp:posOffset>
            </wp:positionV>
            <wp:extent cx="1596376" cy="1949577"/>
            <wp:effectExtent l="0" t="0" r="0" b="0"/>
            <wp:wrapNone/>
            <wp:docPr id="239" name="image124.png" descr=""/>
            <wp:cNvGraphicFramePr>
              <a:graphicFrameLocks noChangeAspect="1"/>
            </wp:cNvGraphicFramePr>
            <a:graphic>
              <a:graphicData uri="http://schemas.openxmlformats.org/drawingml/2006/picture">
                <pic:pic>
                  <pic:nvPicPr>
                    <pic:cNvPr id="240" name="image124.png"/>
                    <pic:cNvPicPr/>
                  </pic:nvPicPr>
                  <pic:blipFill>
                    <a:blip r:embed="rId195" cstate="print"/>
                    <a:stretch>
                      <a:fillRect/>
                    </a:stretch>
                  </pic:blipFill>
                  <pic:spPr>
                    <a:xfrm>
                      <a:off x="0" y="0"/>
                      <a:ext cx="1596376" cy="1949577"/>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spacing w:before="5"/>
        <w:rPr>
          <w:sz w:val="20"/>
        </w:rPr>
      </w:pPr>
    </w:p>
    <w:p>
      <w:pPr>
        <w:spacing w:before="0" w:after="6"/>
        <w:ind w:left="1708" w:right="0" w:firstLine="0"/>
        <w:jc w:val="left"/>
        <w:rPr>
          <w:sz w:val="18"/>
        </w:rPr>
      </w:pPr>
      <w:bookmarkStart w:name="_bookmark154" w:id="246"/>
      <w:bookmarkEnd w:id="246"/>
      <w:r>
        <w:rPr/>
      </w:r>
      <w:r>
        <w:rPr>
          <w:sz w:val="18"/>
        </w:rPr>
        <w:t>Tabla 5.2. Tres diferentes formas como pruebas de impresión en PLA.</w:t>
      </w:r>
    </w:p>
    <w:tbl>
      <w:tblPr>
        <w:tblW w:w="0" w:type="auto"/>
        <w:jc w:val="left"/>
        <w:tblInd w:w="42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553"/>
        <w:gridCol w:w="2549"/>
        <w:gridCol w:w="2837"/>
      </w:tblGrid>
      <w:tr>
        <w:trPr>
          <w:trHeight w:val="629" w:hRule="exact"/>
        </w:trPr>
        <w:tc>
          <w:tcPr>
            <w:tcW w:w="2553" w:type="dxa"/>
          </w:tcPr>
          <w:p>
            <w:pPr>
              <w:pStyle w:val="TableParagraph"/>
              <w:spacing w:line="203" w:lineRule="exact"/>
              <w:ind w:left="672" w:right="234"/>
              <w:rPr>
                <w:sz w:val="18"/>
              </w:rPr>
            </w:pPr>
            <w:r>
              <w:rPr>
                <w:sz w:val="18"/>
              </w:rPr>
              <w:t>Características</w:t>
            </w:r>
          </w:p>
        </w:tc>
        <w:tc>
          <w:tcPr>
            <w:tcW w:w="2549" w:type="dxa"/>
          </w:tcPr>
          <w:p>
            <w:pPr>
              <w:pStyle w:val="TableParagraph"/>
              <w:spacing w:line="203" w:lineRule="exact"/>
              <w:ind w:left="1023" w:right="1026"/>
              <w:jc w:val="center"/>
              <w:rPr>
                <w:sz w:val="18"/>
              </w:rPr>
            </w:pPr>
            <w:r>
              <w:rPr>
                <w:sz w:val="18"/>
              </w:rPr>
              <w:t>Pieza</w:t>
            </w:r>
          </w:p>
        </w:tc>
        <w:tc>
          <w:tcPr>
            <w:tcW w:w="2837" w:type="dxa"/>
          </w:tcPr>
          <w:p>
            <w:pPr>
              <w:pStyle w:val="TableParagraph"/>
              <w:spacing w:line="362" w:lineRule="auto"/>
              <w:ind w:left="1024" w:right="181" w:hanging="828"/>
              <w:rPr>
                <w:sz w:val="18"/>
              </w:rPr>
            </w:pPr>
            <w:r>
              <w:rPr>
                <w:sz w:val="18"/>
              </w:rPr>
              <w:t>Observaciones del proceso de impresión</w:t>
            </w:r>
          </w:p>
        </w:tc>
      </w:tr>
      <w:tr>
        <w:trPr>
          <w:trHeight w:val="3117" w:hRule="exact"/>
        </w:trPr>
        <w:tc>
          <w:tcPr>
            <w:tcW w:w="2553" w:type="dxa"/>
          </w:tcPr>
          <w:p>
            <w:pPr>
              <w:pStyle w:val="TableParagraph"/>
              <w:rPr>
                <w:sz w:val="18"/>
              </w:rPr>
            </w:pPr>
          </w:p>
          <w:p>
            <w:pPr>
              <w:pStyle w:val="TableParagraph"/>
              <w:rPr>
                <w:sz w:val="18"/>
              </w:rPr>
            </w:pPr>
          </w:p>
          <w:p>
            <w:pPr>
              <w:pStyle w:val="TableParagraph"/>
              <w:spacing w:line="620" w:lineRule="atLeast" w:before="104"/>
              <w:ind w:left="244" w:right="234" w:firstLine="716"/>
              <w:rPr>
                <w:sz w:val="18"/>
              </w:rPr>
            </w:pPr>
            <w:r>
              <w:rPr>
                <w:sz w:val="18"/>
              </w:rPr>
              <w:t>Pieza A Medidas: 15 x 41 x 31 cm</w:t>
            </w:r>
          </w:p>
          <w:p>
            <w:pPr>
              <w:pStyle w:val="TableParagraph"/>
              <w:spacing w:line="357" w:lineRule="auto" w:before="105"/>
              <w:ind w:left="744" w:right="712" w:hanging="12"/>
              <w:rPr>
                <w:sz w:val="18"/>
              </w:rPr>
            </w:pPr>
            <w:r>
              <w:rPr>
                <w:sz w:val="18"/>
              </w:rPr>
              <w:t>Material: PLA Autor: Propia</w:t>
            </w:r>
          </w:p>
        </w:tc>
        <w:tc>
          <w:tcPr>
            <w:tcW w:w="2549" w:type="dxa"/>
          </w:tcPr>
          <w:p>
            <w:pPr>
              <w:pStyle w:val="TableParagraph"/>
              <w:ind w:left="539"/>
              <w:rPr>
                <w:sz w:val="20"/>
              </w:rPr>
            </w:pPr>
            <w:r>
              <w:rPr>
                <w:sz w:val="20"/>
              </w:rPr>
              <w:drawing>
                <wp:inline distT="0" distB="0" distL="0" distR="0">
                  <wp:extent cx="939500" cy="1718310"/>
                  <wp:effectExtent l="0" t="0" r="0" b="0"/>
                  <wp:docPr id="241" name="image125.jpeg" descr=""/>
                  <wp:cNvGraphicFramePr>
                    <a:graphicFrameLocks noChangeAspect="1"/>
                  </wp:cNvGraphicFramePr>
                  <a:graphic>
                    <a:graphicData uri="http://schemas.openxmlformats.org/drawingml/2006/picture">
                      <pic:pic>
                        <pic:nvPicPr>
                          <pic:cNvPr id="242" name="image125.jpeg"/>
                          <pic:cNvPicPr/>
                        </pic:nvPicPr>
                        <pic:blipFill>
                          <a:blip r:embed="rId196" cstate="print"/>
                          <a:stretch>
                            <a:fillRect/>
                          </a:stretch>
                        </pic:blipFill>
                        <pic:spPr>
                          <a:xfrm>
                            <a:off x="0" y="0"/>
                            <a:ext cx="939500" cy="1718310"/>
                          </a:xfrm>
                          <a:prstGeom prst="rect">
                            <a:avLst/>
                          </a:prstGeom>
                        </pic:spPr>
                      </pic:pic>
                    </a:graphicData>
                  </a:graphic>
                </wp:inline>
              </w:drawing>
            </w:r>
            <w:r>
              <w:rPr>
                <w:sz w:val="20"/>
              </w:rPr>
            </w:r>
          </w:p>
          <w:p>
            <w:pPr>
              <w:pStyle w:val="TableParagraph"/>
              <w:rPr>
                <w:sz w:val="20"/>
              </w:rPr>
            </w:pPr>
          </w:p>
        </w:tc>
        <w:tc>
          <w:tcPr>
            <w:tcW w:w="2837" w:type="dxa"/>
          </w:tcPr>
          <w:p>
            <w:pPr>
              <w:pStyle w:val="TableParagraph"/>
              <w:rPr>
                <w:sz w:val="18"/>
              </w:rPr>
            </w:pPr>
          </w:p>
          <w:p>
            <w:pPr>
              <w:pStyle w:val="TableParagraph"/>
              <w:rPr>
                <w:sz w:val="18"/>
              </w:rPr>
            </w:pPr>
          </w:p>
          <w:p>
            <w:pPr>
              <w:pStyle w:val="TableParagraph"/>
              <w:rPr>
                <w:sz w:val="18"/>
              </w:rPr>
            </w:pPr>
          </w:p>
          <w:p>
            <w:pPr>
              <w:pStyle w:val="TableParagraph"/>
              <w:spacing w:before="11"/>
              <w:rPr>
                <w:sz w:val="26"/>
              </w:rPr>
            </w:pPr>
          </w:p>
          <w:p>
            <w:pPr>
              <w:pStyle w:val="TableParagraph"/>
              <w:spacing w:line="357" w:lineRule="auto"/>
              <w:ind w:left="171" w:right="176"/>
              <w:jc w:val="center"/>
              <w:rPr>
                <w:sz w:val="18"/>
              </w:rPr>
            </w:pPr>
            <w:r>
              <w:rPr>
                <w:sz w:val="18"/>
              </w:rPr>
              <w:t>Facil de imprimir por la dimensión</w:t>
            </w:r>
          </w:p>
          <w:p>
            <w:pPr>
              <w:pStyle w:val="TableParagraph"/>
              <w:spacing w:line="360" w:lineRule="auto" w:before="7"/>
              <w:ind w:left="264" w:right="260" w:hanging="2"/>
              <w:jc w:val="center"/>
              <w:rPr>
                <w:sz w:val="18"/>
              </w:rPr>
            </w:pPr>
            <w:r>
              <w:rPr>
                <w:sz w:val="18"/>
              </w:rPr>
              <w:t>Facil retirar el materia de soporte y casi no dejó marca Lo suficientemente sólida porque tiene relleno</w:t>
            </w:r>
          </w:p>
        </w:tc>
      </w:tr>
      <w:tr>
        <w:trPr>
          <w:trHeight w:val="3221" w:hRule="exact"/>
        </w:trPr>
        <w:tc>
          <w:tcPr>
            <w:tcW w:w="2553" w:type="dxa"/>
          </w:tcPr>
          <w:p>
            <w:pPr>
              <w:pStyle w:val="TableParagraph"/>
              <w:rPr>
                <w:sz w:val="18"/>
              </w:rPr>
            </w:pPr>
          </w:p>
          <w:p>
            <w:pPr>
              <w:pStyle w:val="TableParagraph"/>
              <w:rPr>
                <w:sz w:val="18"/>
              </w:rPr>
            </w:pPr>
          </w:p>
          <w:p>
            <w:pPr>
              <w:pStyle w:val="TableParagraph"/>
              <w:spacing w:before="10"/>
              <w:rPr>
                <w:sz w:val="17"/>
              </w:rPr>
            </w:pPr>
          </w:p>
          <w:p>
            <w:pPr>
              <w:pStyle w:val="TableParagraph"/>
              <w:ind w:left="143" w:right="145"/>
              <w:jc w:val="center"/>
              <w:rPr>
                <w:sz w:val="18"/>
              </w:rPr>
            </w:pPr>
            <w:r>
              <w:rPr>
                <w:sz w:val="18"/>
              </w:rPr>
              <w:t>Pieza B</w:t>
            </w:r>
          </w:p>
          <w:p>
            <w:pPr>
              <w:pStyle w:val="TableParagraph"/>
              <w:rPr>
                <w:sz w:val="18"/>
              </w:rPr>
            </w:pPr>
          </w:p>
          <w:p>
            <w:pPr>
              <w:pStyle w:val="TableParagraph"/>
              <w:spacing w:before="10"/>
              <w:rPr>
                <w:sz w:val="17"/>
              </w:rPr>
            </w:pPr>
          </w:p>
          <w:p>
            <w:pPr>
              <w:pStyle w:val="TableParagraph"/>
              <w:spacing w:line="362" w:lineRule="auto"/>
              <w:ind w:left="144" w:right="145"/>
              <w:jc w:val="center"/>
              <w:rPr>
                <w:sz w:val="18"/>
              </w:rPr>
            </w:pPr>
            <w:r>
              <w:rPr>
                <w:sz w:val="18"/>
              </w:rPr>
              <w:t>Medidas: 18.5 x 12.5 x 3 cm Material: PLA</w:t>
            </w:r>
          </w:p>
          <w:p>
            <w:pPr>
              <w:pStyle w:val="TableParagraph"/>
              <w:spacing w:line="205" w:lineRule="exact"/>
              <w:ind w:left="144" w:right="145"/>
              <w:jc w:val="center"/>
              <w:rPr>
                <w:sz w:val="18"/>
              </w:rPr>
            </w:pPr>
            <w:r>
              <w:rPr>
                <w:sz w:val="18"/>
              </w:rPr>
              <w:t>Autor: Josúe Tello</w:t>
            </w:r>
          </w:p>
        </w:tc>
        <w:tc>
          <w:tcPr>
            <w:tcW w:w="2549" w:type="dxa"/>
          </w:tcPr>
          <w:p>
            <w:pPr/>
          </w:p>
        </w:tc>
        <w:tc>
          <w:tcPr>
            <w:tcW w:w="2837" w:type="dxa"/>
          </w:tcPr>
          <w:p>
            <w:pPr>
              <w:pStyle w:val="TableParagraph"/>
              <w:rPr>
                <w:sz w:val="18"/>
              </w:rPr>
            </w:pPr>
          </w:p>
          <w:p>
            <w:pPr>
              <w:pStyle w:val="TableParagraph"/>
              <w:rPr>
                <w:sz w:val="18"/>
              </w:rPr>
            </w:pPr>
          </w:p>
          <w:p>
            <w:pPr>
              <w:pStyle w:val="TableParagraph"/>
              <w:rPr>
                <w:sz w:val="18"/>
              </w:rPr>
            </w:pPr>
          </w:p>
          <w:p>
            <w:pPr>
              <w:pStyle w:val="TableParagraph"/>
              <w:spacing w:before="7"/>
              <w:rPr>
                <w:sz w:val="26"/>
              </w:rPr>
            </w:pPr>
          </w:p>
          <w:p>
            <w:pPr>
              <w:pStyle w:val="TableParagraph"/>
              <w:spacing w:line="362" w:lineRule="auto"/>
              <w:ind w:left="171" w:right="176"/>
              <w:jc w:val="center"/>
              <w:rPr>
                <w:sz w:val="18"/>
              </w:rPr>
            </w:pPr>
            <w:r>
              <w:rPr>
                <w:sz w:val="18"/>
              </w:rPr>
              <w:t>Facil de imprimir por la dimensión</w:t>
            </w:r>
          </w:p>
          <w:p>
            <w:pPr>
              <w:pStyle w:val="TableParagraph"/>
              <w:spacing w:line="357" w:lineRule="auto" w:before="2"/>
              <w:ind w:left="176" w:right="176"/>
              <w:jc w:val="center"/>
              <w:rPr>
                <w:sz w:val="18"/>
              </w:rPr>
            </w:pPr>
            <w:r>
              <w:rPr>
                <w:sz w:val="18"/>
              </w:rPr>
              <w:t>No cumple con la forma infinita de Moebius</w:t>
            </w:r>
          </w:p>
        </w:tc>
      </w:tr>
      <w:tr>
        <w:trPr>
          <w:trHeight w:val="3425" w:hRule="exact"/>
        </w:trPr>
        <w:tc>
          <w:tcPr>
            <w:tcW w:w="2553" w:type="dxa"/>
          </w:tcPr>
          <w:p>
            <w:pPr>
              <w:pStyle w:val="TableParagraph"/>
              <w:rPr>
                <w:sz w:val="18"/>
              </w:rPr>
            </w:pPr>
          </w:p>
          <w:p>
            <w:pPr>
              <w:pStyle w:val="TableParagraph"/>
              <w:spacing w:before="8"/>
              <w:rPr>
                <w:sz w:val="26"/>
              </w:rPr>
            </w:pPr>
          </w:p>
          <w:p>
            <w:pPr>
              <w:pStyle w:val="TableParagraph"/>
              <w:spacing w:line="620" w:lineRule="atLeast"/>
              <w:ind w:left="296" w:right="278" w:firstLine="660"/>
              <w:rPr>
                <w:sz w:val="18"/>
              </w:rPr>
            </w:pPr>
            <w:r>
              <w:rPr>
                <w:sz w:val="18"/>
              </w:rPr>
              <w:t>Pieza C Medidas: 16 x 10 x 9 cm</w:t>
            </w:r>
          </w:p>
          <w:p>
            <w:pPr>
              <w:pStyle w:val="TableParagraph"/>
              <w:spacing w:line="362" w:lineRule="auto" w:before="105"/>
              <w:ind w:left="744" w:right="712" w:hanging="12"/>
              <w:rPr>
                <w:sz w:val="18"/>
              </w:rPr>
            </w:pPr>
            <w:r>
              <w:rPr>
                <w:sz w:val="18"/>
              </w:rPr>
              <w:t>Material: PLA Autor: Propia</w:t>
            </w:r>
          </w:p>
        </w:tc>
        <w:tc>
          <w:tcPr>
            <w:tcW w:w="2549" w:type="dxa"/>
          </w:tcPr>
          <w:p>
            <w:pPr>
              <w:pStyle w:val="TableParagraph"/>
              <w:ind w:left="151"/>
              <w:rPr>
                <w:sz w:val="20"/>
              </w:rPr>
            </w:pPr>
            <w:r>
              <w:rPr>
                <w:sz w:val="20"/>
              </w:rPr>
              <w:drawing>
                <wp:inline distT="0" distB="0" distL="0" distR="0">
                  <wp:extent cx="1430872" cy="2003298"/>
                  <wp:effectExtent l="0" t="0" r="0" b="0"/>
                  <wp:docPr id="243" name="image126.jpeg" descr=""/>
                  <wp:cNvGraphicFramePr>
                    <a:graphicFrameLocks noChangeAspect="1"/>
                  </wp:cNvGraphicFramePr>
                  <a:graphic>
                    <a:graphicData uri="http://schemas.openxmlformats.org/drawingml/2006/picture">
                      <pic:pic>
                        <pic:nvPicPr>
                          <pic:cNvPr id="244" name="image126.jpeg"/>
                          <pic:cNvPicPr/>
                        </pic:nvPicPr>
                        <pic:blipFill>
                          <a:blip r:embed="rId197" cstate="print"/>
                          <a:stretch>
                            <a:fillRect/>
                          </a:stretch>
                        </pic:blipFill>
                        <pic:spPr>
                          <a:xfrm>
                            <a:off x="0" y="0"/>
                            <a:ext cx="1430872" cy="2003298"/>
                          </a:xfrm>
                          <a:prstGeom prst="rect">
                            <a:avLst/>
                          </a:prstGeom>
                        </pic:spPr>
                      </pic:pic>
                    </a:graphicData>
                  </a:graphic>
                </wp:inline>
              </w:drawing>
            </w:r>
            <w:r>
              <w:rPr>
                <w:sz w:val="20"/>
              </w:rPr>
            </w:r>
          </w:p>
          <w:p>
            <w:pPr>
              <w:pStyle w:val="TableParagraph"/>
              <w:spacing w:before="9"/>
              <w:rPr>
                <w:sz w:val="22"/>
              </w:rPr>
            </w:pPr>
          </w:p>
        </w:tc>
        <w:tc>
          <w:tcPr>
            <w:tcW w:w="2837" w:type="dxa"/>
          </w:tcPr>
          <w:p>
            <w:pPr>
              <w:pStyle w:val="TableParagraph"/>
              <w:rPr>
                <w:sz w:val="18"/>
              </w:rPr>
            </w:pPr>
          </w:p>
          <w:p>
            <w:pPr>
              <w:pStyle w:val="TableParagraph"/>
              <w:rPr>
                <w:sz w:val="18"/>
              </w:rPr>
            </w:pPr>
          </w:p>
          <w:p>
            <w:pPr>
              <w:pStyle w:val="TableParagraph"/>
              <w:spacing w:before="5"/>
              <w:rPr>
                <w:sz w:val="17"/>
              </w:rPr>
            </w:pPr>
          </w:p>
          <w:p>
            <w:pPr>
              <w:pStyle w:val="TableParagraph"/>
              <w:spacing w:line="362" w:lineRule="auto" w:before="1"/>
              <w:ind w:left="176" w:right="172"/>
              <w:jc w:val="center"/>
              <w:rPr>
                <w:sz w:val="18"/>
              </w:rPr>
            </w:pPr>
            <w:r>
              <w:rPr>
                <w:sz w:val="18"/>
              </w:rPr>
              <w:t>Al desprender el material de soporte la pieza que quebró porque no tenía relleno.</w:t>
            </w:r>
          </w:p>
          <w:p>
            <w:pPr>
              <w:pStyle w:val="TableParagraph"/>
              <w:spacing w:line="360" w:lineRule="auto"/>
              <w:ind w:left="179" w:right="182" w:firstLine="4"/>
              <w:jc w:val="center"/>
              <w:rPr>
                <w:sz w:val="18"/>
              </w:rPr>
            </w:pPr>
            <w:r>
              <w:rPr>
                <w:sz w:val="18"/>
              </w:rPr>
              <w:t>Al parecer un problema de conversión no permite que se manipule el grosor y relleno de la pieza.</w:t>
            </w:r>
          </w:p>
        </w:tc>
      </w:tr>
    </w:tbl>
    <w:p>
      <w:pPr>
        <w:spacing w:line="206" w:lineRule="exact" w:before="0"/>
        <w:ind w:left="2963" w:right="3083" w:firstLine="0"/>
        <w:jc w:val="center"/>
        <w:rPr>
          <w:sz w:val="18"/>
        </w:rPr>
      </w:pPr>
      <w:r>
        <w:rPr>
          <w:sz w:val="18"/>
        </w:rPr>
        <w:t>(Fuente: Elaboración propia, 2015).</w:t>
      </w:r>
    </w:p>
    <w:p>
      <w:pPr>
        <w:spacing w:after="0" w:line="206" w:lineRule="exact"/>
        <w:jc w:val="center"/>
        <w:rPr>
          <w:sz w:val="18"/>
        </w:rPr>
        <w:sectPr>
          <w:pgSz w:w="12240" w:h="15840"/>
          <w:pgMar w:header="0" w:footer="1031" w:top="1500" w:bottom="1220" w:left="1720" w:right="1600"/>
        </w:sectPr>
      </w:pPr>
    </w:p>
    <w:p>
      <w:pPr>
        <w:pStyle w:val="BodyText"/>
        <w:spacing w:line="360" w:lineRule="auto" w:before="55"/>
        <w:ind w:left="100" w:right="119"/>
        <w:jc w:val="both"/>
      </w:pPr>
      <w:r>
        <w:rPr/>
        <w:t>A continuación, se muestra la figura de la cual se realiza la comparación de dos diferentes métodos de fabricación. La escultura diseñada la podemos ver en la </w:t>
      </w:r>
      <w:hyperlink w:history="true" w:anchor="_bookmark155">
        <w:r>
          <w:rPr/>
          <w:t>Figura 5.2</w:t>
        </w:r>
      </w:hyperlink>
    </w:p>
    <w:p>
      <w:pPr>
        <w:pStyle w:val="BodyText"/>
        <w:rPr>
          <w:sz w:val="20"/>
        </w:rPr>
      </w:pPr>
    </w:p>
    <w:p>
      <w:pPr>
        <w:pStyle w:val="BodyText"/>
        <w:spacing w:before="2"/>
        <w:rPr>
          <w:sz w:val="13"/>
        </w:rPr>
      </w:pPr>
      <w:r>
        <w:rPr/>
        <w:drawing>
          <wp:anchor distT="0" distB="0" distL="0" distR="0" allowOverlap="1" layoutInCell="1" locked="0" behindDoc="0" simplePos="0" relativeHeight="2248">
            <wp:simplePos x="0" y="0"/>
            <wp:positionH relativeFrom="page">
              <wp:posOffset>2018664</wp:posOffset>
            </wp:positionH>
            <wp:positionV relativeFrom="paragraph">
              <wp:posOffset>120966</wp:posOffset>
            </wp:positionV>
            <wp:extent cx="4194065" cy="2150268"/>
            <wp:effectExtent l="0" t="0" r="0" b="0"/>
            <wp:wrapTopAndBottom/>
            <wp:docPr id="245" name="image127.jpeg" descr=""/>
            <wp:cNvGraphicFramePr>
              <a:graphicFrameLocks noChangeAspect="1"/>
            </wp:cNvGraphicFramePr>
            <a:graphic>
              <a:graphicData uri="http://schemas.openxmlformats.org/drawingml/2006/picture">
                <pic:pic>
                  <pic:nvPicPr>
                    <pic:cNvPr id="246" name="image127.jpeg"/>
                    <pic:cNvPicPr/>
                  </pic:nvPicPr>
                  <pic:blipFill>
                    <a:blip r:embed="rId198" cstate="print"/>
                    <a:stretch>
                      <a:fillRect/>
                    </a:stretch>
                  </pic:blipFill>
                  <pic:spPr>
                    <a:xfrm>
                      <a:off x="0" y="0"/>
                      <a:ext cx="4194065" cy="2150268"/>
                    </a:xfrm>
                    <a:prstGeom prst="rect">
                      <a:avLst/>
                    </a:prstGeom>
                  </pic:spPr>
                </pic:pic>
              </a:graphicData>
            </a:graphic>
          </wp:anchor>
        </w:drawing>
      </w:r>
    </w:p>
    <w:p>
      <w:pPr>
        <w:spacing w:before="107"/>
        <w:ind w:left="3794" w:right="1027" w:hanging="2517"/>
        <w:jc w:val="left"/>
        <w:rPr>
          <w:sz w:val="18"/>
        </w:rPr>
      </w:pPr>
      <w:bookmarkStart w:name="_bookmark155" w:id="247"/>
      <w:bookmarkEnd w:id="247"/>
      <w:r>
        <w:rPr/>
      </w:r>
      <w:r>
        <w:rPr>
          <w:sz w:val="18"/>
        </w:rPr>
        <w:t>Figura 5.2. Vista lateral, frontal, superior y perspectiva de la BM Pieza diseñada por Nayelli García, 2015.</w:t>
      </w:r>
    </w:p>
    <w:p>
      <w:pPr>
        <w:pStyle w:val="BodyText"/>
        <w:rPr>
          <w:sz w:val="18"/>
        </w:rPr>
      </w:pPr>
    </w:p>
    <w:p>
      <w:pPr>
        <w:pStyle w:val="BodyText"/>
        <w:spacing w:before="3"/>
        <w:rPr>
          <w:sz w:val="18"/>
        </w:rPr>
      </w:pPr>
    </w:p>
    <w:p>
      <w:pPr>
        <w:pStyle w:val="BodyText"/>
        <w:spacing w:line="360" w:lineRule="auto"/>
        <w:ind w:left="100" w:right="117"/>
        <w:jc w:val="both"/>
      </w:pPr>
      <w:r>
        <w:rPr/>
        <w:t>Es importante mencionar que se planteó dicho tamaño al utilizar la máxima capacidad de impresión de la máquina. Y de acuerdo a la tabla anterior, esta pieza no tuvo problemas al momento de imprimirse. Prácticamente el diseño se adecuó  a la máquina. A continuación podemos ver la </w:t>
      </w:r>
      <w:r>
        <w:rPr>
          <w:spacing w:val="-3"/>
        </w:rPr>
        <w:t>pieza </w:t>
      </w:r>
      <w:r>
        <w:rPr/>
        <w:t>ya con su base. </w:t>
      </w:r>
      <w:hyperlink w:history="true" w:anchor="_bookmark156">
        <w:r>
          <w:rPr/>
          <w:t>Figura</w:t>
        </w:r>
        <w:r>
          <w:rPr>
            <w:spacing w:val="-9"/>
          </w:rPr>
          <w:t> </w:t>
        </w:r>
        <w:r>
          <w:rPr/>
          <w:t>5.3</w:t>
        </w:r>
      </w:hyperlink>
    </w:p>
    <w:p>
      <w:pPr>
        <w:spacing w:after="0" w:line="360" w:lineRule="auto"/>
        <w:jc w:val="both"/>
        <w:sectPr>
          <w:pgSz w:w="12240" w:h="15840"/>
          <w:pgMar w:header="0" w:footer="1031" w:top="1360" w:bottom="1220" w:left="1600" w:right="1580"/>
        </w:sectPr>
      </w:pPr>
    </w:p>
    <w:p>
      <w:pPr>
        <w:pStyle w:val="BodyText"/>
        <w:ind w:left="3216"/>
        <w:rPr>
          <w:sz w:val="20"/>
        </w:rPr>
      </w:pPr>
      <w:r>
        <w:rPr>
          <w:sz w:val="20"/>
        </w:rPr>
        <w:drawing>
          <wp:inline distT="0" distB="0" distL="0" distR="0">
            <wp:extent cx="1756791" cy="2787015"/>
            <wp:effectExtent l="0" t="0" r="0" b="0"/>
            <wp:docPr id="247" name="image128.jpeg" descr=""/>
            <wp:cNvGraphicFramePr>
              <a:graphicFrameLocks noChangeAspect="1"/>
            </wp:cNvGraphicFramePr>
            <a:graphic>
              <a:graphicData uri="http://schemas.openxmlformats.org/drawingml/2006/picture">
                <pic:pic>
                  <pic:nvPicPr>
                    <pic:cNvPr id="248" name="image128.jpeg"/>
                    <pic:cNvPicPr/>
                  </pic:nvPicPr>
                  <pic:blipFill>
                    <a:blip r:embed="rId199" cstate="print"/>
                    <a:stretch>
                      <a:fillRect/>
                    </a:stretch>
                  </pic:blipFill>
                  <pic:spPr>
                    <a:xfrm>
                      <a:off x="0" y="0"/>
                      <a:ext cx="1756791" cy="2787015"/>
                    </a:xfrm>
                    <a:prstGeom prst="rect">
                      <a:avLst/>
                    </a:prstGeom>
                  </pic:spPr>
                </pic:pic>
              </a:graphicData>
            </a:graphic>
          </wp:inline>
        </w:drawing>
      </w:r>
      <w:r>
        <w:rPr>
          <w:sz w:val="20"/>
        </w:rPr>
      </w:r>
    </w:p>
    <w:p>
      <w:pPr>
        <w:spacing w:before="91"/>
        <w:ind w:left="1315" w:right="1089" w:firstLine="0"/>
        <w:jc w:val="center"/>
        <w:rPr>
          <w:sz w:val="18"/>
        </w:rPr>
      </w:pPr>
      <w:bookmarkStart w:name="_bookmark156" w:id="248"/>
      <w:bookmarkEnd w:id="248"/>
      <w:r>
        <w:rPr/>
      </w:r>
      <w:r>
        <w:rPr>
          <w:sz w:val="18"/>
        </w:rPr>
        <w:t>Figura 5.3. BM con base impresa en PLA. (Fuente: Elaboración propia. 2016).</w:t>
      </w:r>
    </w:p>
    <w:p>
      <w:pPr>
        <w:pStyle w:val="BodyText"/>
        <w:spacing w:before="3"/>
        <w:rPr>
          <w:sz w:val="17"/>
        </w:rPr>
      </w:pPr>
    </w:p>
    <w:p>
      <w:pPr>
        <w:pStyle w:val="Heading2"/>
        <w:numPr>
          <w:ilvl w:val="2"/>
          <w:numId w:val="56"/>
        </w:numPr>
        <w:tabs>
          <w:tab w:pos="897" w:val="left" w:leader="none"/>
        </w:tabs>
        <w:spacing w:line="240" w:lineRule="auto" w:before="0" w:after="0"/>
        <w:ind w:left="897" w:right="0" w:hanging="797"/>
        <w:jc w:val="left"/>
      </w:pPr>
      <w:bookmarkStart w:name="5.2.2.  Fabricación en FV" w:id="249"/>
      <w:bookmarkEnd w:id="249"/>
      <w:r>
        <w:rPr/>
      </w:r>
      <w:bookmarkStart w:name="_bookmark157" w:id="250"/>
      <w:bookmarkEnd w:id="250"/>
      <w:r>
        <w:rPr/>
        <w:t>F</w:t>
      </w:r>
      <w:r>
        <w:rPr/>
        <w:t>abricación en</w:t>
      </w:r>
      <w:r>
        <w:rPr>
          <w:spacing w:val="-2"/>
        </w:rPr>
        <w:t> </w:t>
      </w:r>
      <w:r>
        <w:rPr/>
        <w:t>FV</w:t>
      </w:r>
    </w:p>
    <w:p>
      <w:pPr>
        <w:pStyle w:val="BodyText"/>
        <w:rPr>
          <w:sz w:val="28"/>
        </w:rPr>
      </w:pPr>
    </w:p>
    <w:p>
      <w:pPr>
        <w:pStyle w:val="BodyText"/>
        <w:spacing w:before="5"/>
        <w:rPr>
          <w:sz w:val="22"/>
        </w:rPr>
      </w:pPr>
    </w:p>
    <w:p>
      <w:pPr>
        <w:pStyle w:val="BodyText"/>
        <w:spacing w:line="362" w:lineRule="auto"/>
        <w:ind w:left="100"/>
      </w:pPr>
      <w:r>
        <w:rPr/>
        <w:t>En la descripción de este proceso de fabricación se describe el proceso de elaboración y tiempo total, se consideran los siguientes pasos,  ver </w:t>
      </w:r>
      <w:hyperlink w:history="true" w:anchor="_bookmark158">
        <w:r>
          <w:rPr/>
          <w:t>Tabla 5.3</w:t>
        </w:r>
      </w:hyperlink>
      <w:r>
        <w:rPr/>
        <w:t>.</w:t>
      </w:r>
    </w:p>
    <w:p>
      <w:pPr>
        <w:pStyle w:val="BodyText"/>
        <w:spacing w:before="9"/>
        <w:rPr>
          <w:sz w:val="35"/>
        </w:rPr>
      </w:pPr>
    </w:p>
    <w:p>
      <w:pPr>
        <w:spacing w:before="0" w:after="6"/>
        <w:ind w:left="1315" w:right="1089" w:firstLine="0"/>
        <w:jc w:val="center"/>
        <w:rPr>
          <w:sz w:val="18"/>
        </w:rPr>
      </w:pPr>
      <w:bookmarkStart w:name="_bookmark158" w:id="251"/>
      <w:bookmarkEnd w:id="251"/>
      <w:r>
        <w:rPr/>
      </w:r>
      <w:r>
        <w:rPr>
          <w:sz w:val="18"/>
        </w:rPr>
        <w:t>Tabla 5.3.Proceso de fabricación en FV y resina poliéster.</w:t>
      </w:r>
    </w:p>
    <w:tbl>
      <w:tblPr>
        <w:tblW w:w="0" w:type="auto"/>
        <w:jc w:val="left"/>
        <w:tblInd w:w="1089"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769"/>
        <w:gridCol w:w="3749"/>
        <w:gridCol w:w="1336"/>
      </w:tblGrid>
      <w:tr>
        <w:trPr>
          <w:trHeight w:val="320" w:hRule="exact"/>
        </w:trPr>
        <w:tc>
          <w:tcPr>
            <w:tcW w:w="1769" w:type="dxa"/>
          </w:tcPr>
          <w:p>
            <w:pPr>
              <w:pStyle w:val="TableParagraph"/>
              <w:spacing w:line="202" w:lineRule="exact"/>
              <w:ind w:left="194" w:right="194"/>
              <w:jc w:val="center"/>
              <w:rPr>
                <w:sz w:val="18"/>
              </w:rPr>
            </w:pPr>
            <w:r>
              <w:rPr>
                <w:sz w:val="18"/>
              </w:rPr>
              <w:t>Proceso</w:t>
            </w:r>
          </w:p>
        </w:tc>
        <w:tc>
          <w:tcPr>
            <w:tcW w:w="3749" w:type="dxa"/>
          </w:tcPr>
          <w:p>
            <w:pPr>
              <w:pStyle w:val="TableParagraph"/>
              <w:spacing w:line="202" w:lineRule="exact"/>
              <w:ind w:left="452" w:right="441"/>
              <w:jc w:val="center"/>
              <w:rPr>
                <w:sz w:val="18"/>
              </w:rPr>
            </w:pPr>
            <w:r>
              <w:rPr>
                <w:sz w:val="18"/>
              </w:rPr>
              <w:t>Descripción</w:t>
            </w:r>
          </w:p>
        </w:tc>
        <w:tc>
          <w:tcPr>
            <w:tcW w:w="1336" w:type="dxa"/>
          </w:tcPr>
          <w:p>
            <w:pPr>
              <w:pStyle w:val="TableParagraph"/>
              <w:spacing w:line="202" w:lineRule="exact"/>
              <w:ind w:left="364"/>
              <w:rPr>
                <w:sz w:val="18"/>
              </w:rPr>
            </w:pPr>
            <w:r>
              <w:rPr>
                <w:sz w:val="18"/>
              </w:rPr>
              <w:t>Tiempo</w:t>
            </w:r>
          </w:p>
        </w:tc>
      </w:tr>
      <w:tr>
        <w:trPr>
          <w:trHeight w:val="632" w:hRule="exact"/>
        </w:trPr>
        <w:tc>
          <w:tcPr>
            <w:tcW w:w="1769" w:type="dxa"/>
          </w:tcPr>
          <w:p>
            <w:pPr>
              <w:pStyle w:val="TableParagraph"/>
              <w:spacing w:line="202" w:lineRule="exact"/>
              <w:ind w:left="193" w:right="195"/>
              <w:jc w:val="center"/>
              <w:rPr>
                <w:sz w:val="18"/>
              </w:rPr>
            </w:pPr>
            <w:r>
              <w:rPr>
                <w:sz w:val="18"/>
              </w:rPr>
              <w:t>Paso 1.</w:t>
            </w:r>
          </w:p>
          <w:p>
            <w:pPr>
              <w:pStyle w:val="TableParagraph"/>
              <w:spacing w:before="105"/>
              <w:ind w:left="194" w:right="194"/>
              <w:jc w:val="center"/>
              <w:rPr>
                <w:sz w:val="18"/>
              </w:rPr>
            </w:pPr>
            <w:r>
              <w:rPr>
                <w:sz w:val="18"/>
              </w:rPr>
              <w:t>Modelar la pieza</w:t>
            </w:r>
          </w:p>
        </w:tc>
        <w:tc>
          <w:tcPr>
            <w:tcW w:w="3749" w:type="dxa"/>
          </w:tcPr>
          <w:p>
            <w:pPr>
              <w:pStyle w:val="TableParagraph"/>
              <w:spacing w:line="362" w:lineRule="auto"/>
              <w:ind w:left="119" w:right="99" w:firstLine="100"/>
              <w:rPr>
                <w:sz w:val="18"/>
              </w:rPr>
            </w:pPr>
            <w:r>
              <w:rPr>
                <w:sz w:val="18"/>
              </w:rPr>
              <w:t>Modelar la banda en plastilina. Colocar el tacel de plastilina utilizando pistola de calor.</w:t>
            </w:r>
          </w:p>
        </w:tc>
        <w:tc>
          <w:tcPr>
            <w:tcW w:w="1336" w:type="dxa"/>
            <w:vMerge w:val="restart"/>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9"/>
              <w:rPr>
                <w:sz w:val="26"/>
              </w:rPr>
            </w:pPr>
          </w:p>
          <w:p>
            <w:pPr>
              <w:pStyle w:val="TableParagraph"/>
              <w:ind w:left="312"/>
              <w:rPr>
                <w:sz w:val="18"/>
              </w:rPr>
            </w:pPr>
            <w:r>
              <w:rPr>
                <w:sz w:val="18"/>
              </w:rPr>
              <w:t>72 horas</w:t>
            </w:r>
          </w:p>
        </w:tc>
      </w:tr>
      <w:tr>
        <w:trPr>
          <w:trHeight w:val="2181" w:hRule="exact"/>
        </w:trPr>
        <w:tc>
          <w:tcPr>
            <w:tcW w:w="1769" w:type="dxa"/>
          </w:tcPr>
          <w:p>
            <w:pPr>
              <w:pStyle w:val="TableParagraph"/>
              <w:rPr>
                <w:sz w:val="18"/>
              </w:rPr>
            </w:pPr>
          </w:p>
          <w:p>
            <w:pPr>
              <w:pStyle w:val="TableParagraph"/>
              <w:rPr>
                <w:sz w:val="18"/>
              </w:rPr>
            </w:pPr>
          </w:p>
          <w:p>
            <w:pPr>
              <w:pStyle w:val="TableParagraph"/>
              <w:rPr>
                <w:sz w:val="18"/>
              </w:rPr>
            </w:pPr>
          </w:p>
          <w:p>
            <w:pPr>
              <w:pStyle w:val="TableParagraph"/>
              <w:spacing w:before="7"/>
              <w:rPr>
                <w:sz w:val="26"/>
              </w:rPr>
            </w:pPr>
          </w:p>
          <w:p>
            <w:pPr>
              <w:pStyle w:val="TableParagraph"/>
              <w:ind w:left="193" w:right="195"/>
              <w:jc w:val="center"/>
              <w:rPr>
                <w:sz w:val="18"/>
              </w:rPr>
            </w:pPr>
            <w:r>
              <w:rPr>
                <w:sz w:val="18"/>
              </w:rPr>
              <w:t>Paso 2.</w:t>
            </w:r>
          </w:p>
          <w:p>
            <w:pPr>
              <w:pStyle w:val="TableParagraph"/>
              <w:spacing w:before="105"/>
              <w:ind w:left="194" w:right="195"/>
              <w:jc w:val="center"/>
              <w:rPr>
                <w:sz w:val="18"/>
              </w:rPr>
            </w:pPr>
            <w:r>
              <w:rPr>
                <w:sz w:val="18"/>
              </w:rPr>
              <w:t>Fabrica el molde</w:t>
            </w:r>
          </w:p>
        </w:tc>
        <w:tc>
          <w:tcPr>
            <w:tcW w:w="3749" w:type="dxa"/>
          </w:tcPr>
          <w:p>
            <w:pPr>
              <w:pStyle w:val="TableParagraph"/>
              <w:spacing w:line="360" w:lineRule="auto"/>
              <w:ind w:left="115" w:right="111" w:firstLine="1"/>
              <w:jc w:val="center"/>
              <w:rPr>
                <w:sz w:val="18"/>
              </w:rPr>
            </w:pPr>
            <w:r>
              <w:rPr>
                <w:sz w:val="18"/>
              </w:rPr>
              <w:t>Se colocan dos capas de resina poliéster con carga de cabosil. Se colocan dos capas de FV. Cuando el molde esté listo, se prepara con desmoldante de cera y alcohol de polivinil. Se usa la secadora para secar la película separadora y la cera por molde.</w:t>
            </w:r>
          </w:p>
          <w:p>
            <w:pPr>
              <w:pStyle w:val="TableParagraph"/>
              <w:spacing w:before="4"/>
              <w:ind w:left="452" w:right="443"/>
              <w:jc w:val="center"/>
              <w:rPr>
                <w:sz w:val="18"/>
              </w:rPr>
            </w:pPr>
            <w:r>
              <w:rPr>
                <w:sz w:val="18"/>
              </w:rPr>
              <w:t>Total de moldes, cuatro.</w:t>
            </w:r>
          </w:p>
        </w:tc>
        <w:tc>
          <w:tcPr>
            <w:tcW w:w="1336" w:type="dxa"/>
            <w:vMerge/>
          </w:tcPr>
          <w:p>
            <w:pPr/>
          </w:p>
        </w:tc>
      </w:tr>
      <w:tr>
        <w:trPr>
          <w:trHeight w:val="2185" w:hRule="exact"/>
        </w:trPr>
        <w:tc>
          <w:tcPr>
            <w:tcW w:w="1769" w:type="dxa"/>
          </w:tcPr>
          <w:p>
            <w:pPr>
              <w:pStyle w:val="TableParagraph"/>
              <w:rPr>
                <w:sz w:val="18"/>
              </w:rPr>
            </w:pPr>
          </w:p>
          <w:p>
            <w:pPr>
              <w:pStyle w:val="TableParagraph"/>
              <w:rPr>
                <w:sz w:val="18"/>
              </w:rPr>
            </w:pPr>
          </w:p>
          <w:p>
            <w:pPr>
              <w:pStyle w:val="TableParagraph"/>
              <w:spacing w:before="9"/>
              <w:rPr>
                <w:sz w:val="17"/>
              </w:rPr>
            </w:pPr>
          </w:p>
          <w:p>
            <w:pPr>
              <w:pStyle w:val="TableParagraph"/>
              <w:spacing w:line="362" w:lineRule="auto"/>
              <w:ind w:left="551" w:right="539" w:firstLine="20"/>
              <w:rPr>
                <w:sz w:val="18"/>
              </w:rPr>
            </w:pPr>
            <w:r>
              <w:rPr>
                <w:sz w:val="18"/>
              </w:rPr>
              <w:t>Paso 3. Vaciado</w:t>
            </w:r>
          </w:p>
        </w:tc>
        <w:tc>
          <w:tcPr>
            <w:tcW w:w="3749" w:type="dxa"/>
          </w:tcPr>
          <w:p>
            <w:pPr>
              <w:pStyle w:val="TableParagraph"/>
              <w:spacing w:line="360" w:lineRule="auto"/>
              <w:ind w:left="147" w:right="134" w:hanging="11"/>
              <w:jc w:val="center"/>
              <w:rPr>
                <w:sz w:val="18"/>
              </w:rPr>
            </w:pPr>
            <w:r>
              <w:rPr>
                <w:sz w:val="18"/>
              </w:rPr>
              <w:t>Ya fabricado el molde se lava con detergente. Se colocan tornillos al molde una vez que estén secas las películas desmoldantes. Finalmente se le coloca a la resina poliéster una carga de carbonato de calcio para llenar el molde de resina poléster.</w:t>
            </w:r>
          </w:p>
        </w:tc>
        <w:tc>
          <w:tcPr>
            <w:tcW w:w="1336" w:type="dxa"/>
            <w:vMerge/>
          </w:tcPr>
          <w:p>
            <w:pPr/>
          </w:p>
        </w:tc>
      </w:tr>
      <w:tr>
        <w:trPr>
          <w:trHeight w:val="320" w:hRule="exact"/>
        </w:trPr>
        <w:tc>
          <w:tcPr>
            <w:tcW w:w="1769" w:type="dxa"/>
          </w:tcPr>
          <w:p>
            <w:pPr>
              <w:pStyle w:val="TableParagraph"/>
              <w:spacing w:line="206" w:lineRule="exact"/>
              <w:ind w:left="193" w:right="195"/>
              <w:jc w:val="center"/>
              <w:rPr>
                <w:sz w:val="18"/>
              </w:rPr>
            </w:pPr>
            <w:r>
              <w:rPr>
                <w:sz w:val="18"/>
              </w:rPr>
              <w:t>Paso 4.</w:t>
            </w:r>
          </w:p>
        </w:tc>
        <w:tc>
          <w:tcPr>
            <w:tcW w:w="3749" w:type="dxa"/>
          </w:tcPr>
          <w:p>
            <w:pPr>
              <w:pStyle w:val="TableParagraph"/>
              <w:spacing w:line="206" w:lineRule="exact"/>
              <w:ind w:left="452" w:right="447"/>
              <w:jc w:val="center"/>
              <w:rPr>
                <w:sz w:val="18"/>
              </w:rPr>
            </w:pPr>
            <w:r>
              <w:rPr>
                <w:sz w:val="18"/>
              </w:rPr>
              <w:t>Se limpian las rebabas de la resina</w:t>
            </w:r>
          </w:p>
        </w:tc>
        <w:tc>
          <w:tcPr>
            <w:tcW w:w="1336" w:type="dxa"/>
            <w:vMerge/>
          </w:tcPr>
          <w:p>
            <w:pPr/>
          </w:p>
        </w:tc>
      </w:tr>
    </w:tbl>
    <w:p>
      <w:pPr>
        <w:spacing w:after="0"/>
        <w:sectPr>
          <w:pgSz w:w="12240" w:h="15840"/>
          <w:pgMar w:header="0" w:footer="1031" w:top="1420" w:bottom="1220" w:left="1600" w:right="1600"/>
        </w:sectPr>
      </w:pPr>
    </w:p>
    <w:tbl>
      <w:tblPr>
        <w:tblW w:w="0" w:type="auto"/>
        <w:jc w:val="left"/>
        <w:tblInd w:w="1089"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769"/>
        <w:gridCol w:w="3749"/>
        <w:gridCol w:w="1336"/>
      </w:tblGrid>
      <w:tr>
        <w:trPr>
          <w:trHeight w:val="320" w:hRule="exact"/>
        </w:trPr>
        <w:tc>
          <w:tcPr>
            <w:tcW w:w="1769" w:type="dxa"/>
          </w:tcPr>
          <w:p>
            <w:pPr>
              <w:pStyle w:val="TableParagraph"/>
              <w:spacing w:line="203" w:lineRule="exact"/>
              <w:ind w:left="193" w:right="195"/>
              <w:jc w:val="center"/>
              <w:rPr>
                <w:sz w:val="18"/>
              </w:rPr>
            </w:pPr>
            <w:r>
              <w:rPr>
                <w:sz w:val="18"/>
              </w:rPr>
              <w:t>Tallar</w:t>
            </w:r>
          </w:p>
        </w:tc>
        <w:tc>
          <w:tcPr>
            <w:tcW w:w="3749" w:type="dxa"/>
          </w:tcPr>
          <w:p>
            <w:pPr>
              <w:pStyle w:val="TableParagraph"/>
              <w:spacing w:line="203" w:lineRule="exact"/>
              <w:ind w:left="315" w:right="99"/>
              <w:rPr>
                <w:sz w:val="18"/>
              </w:rPr>
            </w:pPr>
            <w:r>
              <w:rPr>
                <w:sz w:val="18"/>
              </w:rPr>
              <w:t>poliéster y se obtiene el brillo deseado.</w:t>
            </w:r>
          </w:p>
        </w:tc>
        <w:tc>
          <w:tcPr>
            <w:tcW w:w="1336" w:type="dxa"/>
          </w:tcPr>
          <w:p>
            <w:pPr/>
          </w:p>
        </w:tc>
      </w:tr>
    </w:tbl>
    <w:p>
      <w:pPr>
        <w:spacing w:line="203" w:lineRule="exact" w:before="0"/>
        <w:ind w:left="1089" w:right="1089" w:firstLine="0"/>
        <w:jc w:val="center"/>
        <w:rPr>
          <w:sz w:val="18"/>
        </w:rPr>
      </w:pPr>
      <w:r>
        <w:rPr>
          <w:sz w:val="18"/>
        </w:rPr>
        <w:t>(Fuente: Elaboración propia, 2015).</w:t>
      </w:r>
    </w:p>
    <w:p>
      <w:pPr>
        <w:pStyle w:val="BodyText"/>
        <w:rPr>
          <w:sz w:val="18"/>
        </w:rPr>
      </w:pPr>
    </w:p>
    <w:p>
      <w:pPr>
        <w:pStyle w:val="BodyText"/>
        <w:spacing w:before="2"/>
        <w:rPr>
          <w:sz w:val="18"/>
        </w:rPr>
      </w:pPr>
    </w:p>
    <w:p>
      <w:pPr>
        <w:pStyle w:val="BodyText"/>
        <w:spacing w:line="360" w:lineRule="auto"/>
        <w:ind w:left="100" w:right="98"/>
        <w:jc w:val="both"/>
      </w:pPr>
      <w:r>
        <w:rPr/>
        <w:t>A continuación se muestra una tabla dónde se describe el proceso de fabricación artesanal, tiempo estimado de elaboración, herramienta eléctrica y material. Ver </w:t>
      </w:r>
      <w:hyperlink w:history="true" w:anchor="_bookmark159">
        <w:r>
          <w:rPr/>
          <w:t>Tabla 5.4</w:t>
        </w:r>
      </w:hyperlink>
      <w:r>
        <w:rPr/>
        <w:t>.</w:t>
      </w:r>
    </w:p>
    <w:p>
      <w:pPr>
        <w:pStyle w:val="BodyText"/>
      </w:pPr>
    </w:p>
    <w:p>
      <w:pPr>
        <w:spacing w:before="138" w:after="6"/>
        <w:ind w:left="1977" w:right="0" w:firstLine="0"/>
        <w:jc w:val="left"/>
        <w:rPr>
          <w:sz w:val="18"/>
        </w:rPr>
      </w:pPr>
      <w:bookmarkStart w:name="_bookmark159" w:id="252"/>
      <w:bookmarkEnd w:id="252"/>
      <w:r>
        <w:rPr/>
      </w:r>
      <w:r>
        <w:rPr>
          <w:sz w:val="18"/>
        </w:rPr>
        <w:t>Tabla 5.4. Procesos y materiales de fabricación en Fibra de Vidrio.</w:t>
      </w:r>
    </w:p>
    <w:tbl>
      <w:tblPr>
        <w:tblW w:w="0" w:type="auto"/>
        <w:jc w:val="left"/>
        <w:tblInd w:w="1653"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469"/>
        <w:gridCol w:w="620"/>
        <w:gridCol w:w="1657"/>
        <w:gridCol w:w="1828"/>
      </w:tblGrid>
      <w:tr>
        <w:trPr>
          <w:trHeight w:val="632" w:hRule="exact"/>
        </w:trPr>
        <w:tc>
          <w:tcPr>
            <w:tcW w:w="1469" w:type="dxa"/>
          </w:tcPr>
          <w:p>
            <w:pPr>
              <w:pStyle w:val="TableParagraph"/>
              <w:spacing w:line="357" w:lineRule="auto"/>
              <w:ind w:left="452" w:right="258" w:hanging="180"/>
              <w:rPr>
                <w:sz w:val="18"/>
              </w:rPr>
            </w:pPr>
            <w:r>
              <w:rPr>
                <w:sz w:val="18"/>
              </w:rPr>
              <w:t>Proceso de trabajo</w:t>
            </w:r>
          </w:p>
        </w:tc>
        <w:tc>
          <w:tcPr>
            <w:tcW w:w="620" w:type="dxa"/>
            <w:tcBorders>
              <w:right w:val="single" w:sz="3" w:space="0" w:color="000000"/>
            </w:tcBorders>
          </w:tcPr>
          <w:p>
            <w:pPr>
              <w:pStyle w:val="TableParagraph"/>
              <w:spacing w:before="8"/>
              <w:rPr>
                <w:sz w:val="26"/>
              </w:rPr>
            </w:pPr>
          </w:p>
          <w:p>
            <w:pPr>
              <w:pStyle w:val="TableParagraph"/>
              <w:ind w:right="4"/>
              <w:jc w:val="center"/>
              <w:rPr>
                <w:sz w:val="18"/>
              </w:rPr>
            </w:pPr>
            <w:r>
              <w:rPr>
                <w:w w:val="100"/>
                <w:sz w:val="18"/>
              </w:rPr>
              <w:t>T</w:t>
            </w:r>
          </w:p>
        </w:tc>
        <w:tc>
          <w:tcPr>
            <w:tcW w:w="1657" w:type="dxa"/>
            <w:tcBorders>
              <w:left w:val="single" w:sz="3" w:space="0" w:color="000000"/>
            </w:tcBorders>
          </w:tcPr>
          <w:p>
            <w:pPr>
              <w:pStyle w:val="TableParagraph"/>
              <w:spacing w:before="8"/>
              <w:rPr>
                <w:sz w:val="26"/>
              </w:rPr>
            </w:pPr>
          </w:p>
          <w:p>
            <w:pPr>
              <w:pStyle w:val="TableParagraph"/>
              <w:ind w:left="101" w:right="102"/>
              <w:jc w:val="center"/>
              <w:rPr>
                <w:sz w:val="18"/>
              </w:rPr>
            </w:pPr>
            <w:r>
              <w:rPr>
                <w:sz w:val="18"/>
              </w:rPr>
              <w:t>Herramienta</w:t>
            </w:r>
          </w:p>
        </w:tc>
        <w:tc>
          <w:tcPr>
            <w:tcW w:w="1828" w:type="dxa"/>
          </w:tcPr>
          <w:p>
            <w:pPr>
              <w:pStyle w:val="TableParagraph"/>
              <w:spacing w:before="8"/>
              <w:rPr>
                <w:sz w:val="26"/>
              </w:rPr>
            </w:pPr>
          </w:p>
          <w:p>
            <w:pPr>
              <w:pStyle w:val="TableParagraph"/>
              <w:ind w:left="188" w:right="190"/>
              <w:jc w:val="center"/>
              <w:rPr>
                <w:sz w:val="18"/>
              </w:rPr>
            </w:pPr>
            <w:r>
              <w:rPr>
                <w:sz w:val="18"/>
              </w:rPr>
              <w:t>Material</w:t>
            </w:r>
          </w:p>
        </w:tc>
      </w:tr>
      <w:tr>
        <w:trPr>
          <w:trHeight w:val="633" w:hRule="exact"/>
        </w:trPr>
        <w:tc>
          <w:tcPr>
            <w:tcW w:w="1469" w:type="dxa"/>
            <w:vMerge w:val="restart"/>
          </w:tcPr>
          <w:p>
            <w:pPr>
              <w:pStyle w:val="TableParagraph"/>
              <w:rPr>
                <w:sz w:val="18"/>
              </w:rPr>
            </w:pPr>
          </w:p>
          <w:p>
            <w:pPr>
              <w:pStyle w:val="TableParagraph"/>
              <w:rPr>
                <w:sz w:val="18"/>
              </w:rPr>
            </w:pPr>
          </w:p>
          <w:p>
            <w:pPr>
              <w:pStyle w:val="TableParagraph"/>
              <w:spacing w:before="10"/>
              <w:rPr>
                <w:sz w:val="17"/>
              </w:rPr>
            </w:pPr>
          </w:p>
          <w:p>
            <w:pPr>
              <w:pStyle w:val="TableParagraph"/>
              <w:ind w:left="164" w:right="123"/>
              <w:rPr>
                <w:sz w:val="18"/>
              </w:rPr>
            </w:pPr>
            <w:r>
              <w:rPr>
                <w:sz w:val="18"/>
              </w:rPr>
              <w:t>Modelar pieza</w:t>
            </w:r>
          </w:p>
        </w:tc>
        <w:tc>
          <w:tcPr>
            <w:tcW w:w="620" w:type="dxa"/>
            <w:vMerge w:val="restart"/>
            <w:tcBorders>
              <w:right w:val="single" w:sz="3" w:space="0" w:color="000000"/>
            </w:tcBorders>
          </w:tcPr>
          <w:p>
            <w:pPr>
              <w:pStyle w:val="TableParagraph"/>
              <w:rPr>
                <w:sz w:val="18"/>
              </w:rPr>
            </w:pPr>
          </w:p>
          <w:p>
            <w:pPr>
              <w:pStyle w:val="TableParagraph"/>
              <w:rPr>
                <w:sz w:val="18"/>
              </w:rPr>
            </w:pPr>
          </w:p>
          <w:p>
            <w:pPr>
              <w:pStyle w:val="TableParagraph"/>
              <w:rPr>
                <w:sz w:val="18"/>
              </w:rPr>
            </w:pPr>
          </w:p>
          <w:p>
            <w:pPr>
              <w:pStyle w:val="TableParagraph"/>
              <w:spacing w:before="7"/>
              <w:rPr>
                <w:sz w:val="26"/>
              </w:rPr>
            </w:pPr>
          </w:p>
          <w:p>
            <w:pPr>
              <w:pStyle w:val="TableParagraph"/>
              <w:spacing w:before="1"/>
              <w:ind w:left="151"/>
              <w:rPr>
                <w:sz w:val="18"/>
              </w:rPr>
            </w:pPr>
            <w:r>
              <w:rPr>
                <w:sz w:val="18"/>
              </w:rPr>
              <w:t>18h</w:t>
            </w:r>
          </w:p>
        </w:tc>
        <w:tc>
          <w:tcPr>
            <w:tcW w:w="1657" w:type="dxa"/>
            <w:tcBorders>
              <w:left w:val="single" w:sz="3" w:space="0" w:color="000000"/>
            </w:tcBorders>
          </w:tcPr>
          <w:p>
            <w:pPr/>
          </w:p>
        </w:tc>
        <w:tc>
          <w:tcPr>
            <w:tcW w:w="1828" w:type="dxa"/>
          </w:tcPr>
          <w:p>
            <w:pPr>
              <w:pStyle w:val="TableParagraph"/>
              <w:spacing w:line="362" w:lineRule="auto"/>
              <w:ind w:left="288" w:right="271" w:firstLine="135"/>
              <w:rPr>
                <w:sz w:val="18"/>
              </w:rPr>
            </w:pPr>
            <w:r>
              <w:rPr>
                <w:sz w:val="18"/>
              </w:rPr>
              <w:t>Plastilina de escultor  400 gr</w:t>
            </w:r>
          </w:p>
        </w:tc>
      </w:tr>
      <w:tr>
        <w:trPr>
          <w:trHeight w:val="340" w:hRule="exact"/>
        </w:trPr>
        <w:tc>
          <w:tcPr>
            <w:tcW w:w="1469" w:type="dxa"/>
            <w:vMerge/>
          </w:tcPr>
          <w:p>
            <w:pPr/>
          </w:p>
        </w:tc>
        <w:tc>
          <w:tcPr>
            <w:tcW w:w="620" w:type="dxa"/>
            <w:vMerge/>
            <w:tcBorders>
              <w:right w:val="single" w:sz="3" w:space="0" w:color="000000"/>
            </w:tcBorders>
          </w:tcPr>
          <w:p>
            <w:pPr/>
          </w:p>
        </w:tc>
        <w:tc>
          <w:tcPr>
            <w:tcW w:w="1657" w:type="dxa"/>
            <w:tcBorders>
              <w:left w:val="single" w:sz="3" w:space="0" w:color="000000"/>
            </w:tcBorders>
          </w:tcPr>
          <w:p>
            <w:pPr>
              <w:pStyle w:val="TableParagraph"/>
              <w:spacing w:before="15"/>
              <w:ind w:left="102" w:right="102"/>
              <w:jc w:val="center"/>
              <w:rPr>
                <w:sz w:val="18"/>
              </w:rPr>
            </w:pPr>
            <w:r>
              <w:rPr>
                <w:sz w:val="18"/>
              </w:rPr>
              <w:t>Estiques</w:t>
            </w:r>
          </w:p>
        </w:tc>
        <w:tc>
          <w:tcPr>
            <w:tcW w:w="1828" w:type="dxa"/>
          </w:tcPr>
          <w:p>
            <w:pPr>
              <w:pStyle w:val="TableParagraph"/>
              <w:spacing w:before="15"/>
              <w:ind w:left="189" w:right="188"/>
              <w:jc w:val="center"/>
              <w:rPr>
                <w:sz w:val="18"/>
              </w:rPr>
            </w:pPr>
            <w:r>
              <w:rPr>
                <w:sz w:val="18"/>
              </w:rPr>
              <w:t>Estiques</w:t>
            </w:r>
          </w:p>
        </w:tc>
      </w:tr>
      <w:tr>
        <w:trPr>
          <w:trHeight w:val="340" w:hRule="exact"/>
        </w:trPr>
        <w:tc>
          <w:tcPr>
            <w:tcW w:w="1469" w:type="dxa"/>
            <w:vMerge/>
          </w:tcPr>
          <w:p>
            <w:pPr/>
          </w:p>
        </w:tc>
        <w:tc>
          <w:tcPr>
            <w:tcW w:w="620" w:type="dxa"/>
            <w:vMerge/>
            <w:tcBorders>
              <w:right w:val="single" w:sz="3" w:space="0" w:color="000000"/>
            </w:tcBorders>
          </w:tcPr>
          <w:p>
            <w:pPr/>
          </w:p>
        </w:tc>
        <w:tc>
          <w:tcPr>
            <w:tcW w:w="1657" w:type="dxa"/>
            <w:tcBorders>
              <w:left w:val="single" w:sz="3" w:space="0" w:color="000000"/>
            </w:tcBorders>
          </w:tcPr>
          <w:p>
            <w:pPr/>
          </w:p>
        </w:tc>
        <w:tc>
          <w:tcPr>
            <w:tcW w:w="1828" w:type="dxa"/>
          </w:tcPr>
          <w:p>
            <w:pPr>
              <w:pStyle w:val="TableParagraph"/>
              <w:spacing w:before="15"/>
              <w:ind w:left="188" w:right="190"/>
              <w:jc w:val="center"/>
              <w:rPr>
                <w:sz w:val="18"/>
              </w:rPr>
            </w:pPr>
            <w:r>
              <w:rPr>
                <w:sz w:val="18"/>
              </w:rPr>
              <w:t>Impresión</w:t>
            </w:r>
          </w:p>
        </w:tc>
      </w:tr>
      <w:tr>
        <w:trPr>
          <w:trHeight w:val="340" w:hRule="exact"/>
        </w:trPr>
        <w:tc>
          <w:tcPr>
            <w:tcW w:w="1469" w:type="dxa"/>
            <w:vMerge/>
          </w:tcPr>
          <w:p>
            <w:pPr/>
          </w:p>
        </w:tc>
        <w:tc>
          <w:tcPr>
            <w:tcW w:w="620" w:type="dxa"/>
            <w:vMerge/>
            <w:tcBorders>
              <w:right w:val="single" w:sz="3" w:space="0" w:color="000000"/>
            </w:tcBorders>
          </w:tcPr>
          <w:p>
            <w:pPr/>
          </w:p>
        </w:tc>
        <w:tc>
          <w:tcPr>
            <w:tcW w:w="1657" w:type="dxa"/>
            <w:tcBorders>
              <w:left w:val="single" w:sz="3" w:space="0" w:color="000000"/>
            </w:tcBorders>
          </w:tcPr>
          <w:p>
            <w:pPr>
              <w:pStyle w:val="TableParagraph"/>
              <w:spacing w:before="15"/>
              <w:ind w:left="104" w:right="102"/>
              <w:jc w:val="center"/>
              <w:rPr>
                <w:sz w:val="18"/>
              </w:rPr>
            </w:pPr>
            <w:r>
              <w:rPr>
                <w:sz w:val="18"/>
              </w:rPr>
              <w:t>Lámpara de calor</w:t>
            </w:r>
          </w:p>
        </w:tc>
        <w:tc>
          <w:tcPr>
            <w:tcW w:w="1828" w:type="dxa"/>
          </w:tcPr>
          <w:p>
            <w:pPr/>
          </w:p>
        </w:tc>
      </w:tr>
      <w:tr>
        <w:trPr>
          <w:trHeight w:val="350" w:hRule="exact"/>
        </w:trPr>
        <w:tc>
          <w:tcPr>
            <w:tcW w:w="1469" w:type="dxa"/>
            <w:vMerge/>
            <w:tcBorders>
              <w:bottom w:val="single" w:sz="11" w:space="0" w:color="000000"/>
            </w:tcBorders>
          </w:tcPr>
          <w:p>
            <w:pPr/>
          </w:p>
        </w:tc>
        <w:tc>
          <w:tcPr>
            <w:tcW w:w="620" w:type="dxa"/>
            <w:vMerge/>
            <w:tcBorders>
              <w:bottom w:val="single" w:sz="11" w:space="0" w:color="000000"/>
              <w:right w:val="single" w:sz="3" w:space="0" w:color="000000"/>
            </w:tcBorders>
          </w:tcPr>
          <w:p>
            <w:pPr/>
          </w:p>
        </w:tc>
        <w:tc>
          <w:tcPr>
            <w:tcW w:w="1657" w:type="dxa"/>
            <w:tcBorders>
              <w:left w:val="single" w:sz="3" w:space="0" w:color="000000"/>
              <w:bottom w:val="single" w:sz="11" w:space="0" w:color="000000"/>
            </w:tcBorders>
          </w:tcPr>
          <w:p>
            <w:pPr/>
          </w:p>
        </w:tc>
        <w:tc>
          <w:tcPr>
            <w:tcW w:w="1828" w:type="dxa"/>
            <w:tcBorders>
              <w:bottom w:val="single" w:sz="11" w:space="0" w:color="000000"/>
            </w:tcBorders>
          </w:tcPr>
          <w:p>
            <w:pPr>
              <w:pStyle w:val="TableParagraph"/>
              <w:spacing w:before="15"/>
              <w:ind w:left="189" w:right="190"/>
              <w:jc w:val="center"/>
              <w:rPr>
                <w:sz w:val="18"/>
              </w:rPr>
            </w:pPr>
            <w:r>
              <w:rPr>
                <w:sz w:val="18"/>
              </w:rPr>
              <w:t>Mascarilla</w:t>
            </w:r>
          </w:p>
        </w:tc>
      </w:tr>
      <w:tr>
        <w:trPr>
          <w:trHeight w:val="643" w:hRule="exact"/>
        </w:trPr>
        <w:tc>
          <w:tcPr>
            <w:tcW w:w="1469" w:type="dxa"/>
            <w:vMerge w:val="restart"/>
            <w:tcBorders>
              <w:top w:val="single" w:sz="11" w:space="0" w:color="000000"/>
            </w:tcBorders>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8"/>
              <w:rPr>
                <w:sz w:val="17"/>
              </w:rPr>
            </w:pPr>
          </w:p>
          <w:p>
            <w:pPr>
              <w:pStyle w:val="TableParagraph"/>
              <w:spacing w:line="362" w:lineRule="auto"/>
              <w:ind w:left="484" w:right="123" w:hanging="348"/>
              <w:rPr>
                <w:sz w:val="18"/>
              </w:rPr>
            </w:pPr>
            <w:r>
              <w:rPr>
                <w:sz w:val="18"/>
              </w:rPr>
              <w:t>Fabricación de molde</w:t>
            </w:r>
          </w:p>
        </w:tc>
        <w:tc>
          <w:tcPr>
            <w:tcW w:w="620" w:type="dxa"/>
            <w:vMerge w:val="restart"/>
            <w:tcBorders>
              <w:top w:val="single" w:sz="11" w:space="0" w:color="000000"/>
              <w:right w:val="single" w:sz="3" w:space="0" w:color="000000"/>
            </w:tcBorders>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8"/>
              <w:rPr>
                <w:sz w:val="17"/>
              </w:rPr>
            </w:pPr>
          </w:p>
          <w:p>
            <w:pPr>
              <w:pStyle w:val="TableParagraph"/>
              <w:ind w:left="203"/>
              <w:rPr>
                <w:sz w:val="18"/>
              </w:rPr>
            </w:pPr>
            <w:r>
              <w:rPr>
                <w:sz w:val="18"/>
              </w:rPr>
              <w:t>18</w:t>
            </w:r>
          </w:p>
        </w:tc>
        <w:tc>
          <w:tcPr>
            <w:tcW w:w="1657" w:type="dxa"/>
            <w:tcBorders>
              <w:top w:val="single" w:sz="11" w:space="0" w:color="000000"/>
              <w:left w:val="single" w:sz="3" w:space="0" w:color="000000"/>
            </w:tcBorders>
          </w:tcPr>
          <w:p>
            <w:pPr/>
          </w:p>
        </w:tc>
        <w:tc>
          <w:tcPr>
            <w:tcW w:w="1828" w:type="dxa"/>
            <w:tcBorders>
              <w:top w:val="single" w:sz="11" w:space="0" w:color="000000"/>
            </w:tcBorders>
          </w:tcPr>
          <w:p>
            <w:pPr>
              <w:pStyle w:val="TableParagraph"/>
              <w:spacing w:line="357" w:lineRule="auto"/>
              <w:ind w:left="651" w:right="172" w:hanging="464"/>
              <w:rPr>
                <w:sz w:val="18"/>
              </w:rPr>
            </w:pPr>
            <w:r>
              <w:rPr>
                <w:sz w:val="18"/>
              </w:rPr>
              <w:t>Tacel de plastilina 400 gr</w:t>
            </w:r>
          </w:p>
        </w:tc>
      </w:tr>
      <w:tr>
        <w:trPr>
          <w:trHeight w:val="320" w:hRule="exact"/>
        </w:trPr>
        <w:tc>
          <w:tcPr>
            <w:tcW w:w="1469" w:type="dxa"/>
            <w:vMerge/>
          </w:tcPr>
          <w:p>
            <w:pPr/>
          </w:p>
        </w:tc>
        <w:tc>
          <w:tcPr>
            <w:tcW w:w="620" w:type="dxa"/>
            <w:vMerge/>
            <w:tcBorders>
              <w:right w:val="single" w:sz="3" w:space="0" w:color="000000"/>
            </w:tcBorders>
          </w:tcPr>
          <w:p>
            <w:pPr/>
          </w:p>
        </w:tc>
        <w:tc>
          <w:tcPr>
            <w:tcW w:w="1657" w:type="dxa"/>
            <w:tcBorders>
              <w:left w:val="single" w:sz="3" w:space="0" w:color="000000"/>
            </w:tcBorders>
          </w:tcPr>
          <w:p>
            <w:pPr/>
          </w:p>
        </w:tc>
        <w:tc>
          <w:tcPr>
            <w:tcW w:w="1828" w:type="dxa"/>
          </w:tcPr>
          <w:p>
            <w:pPr>
              <w:pStyle w:val="TableParagraph"/>
              <w:spacing w:line="202" w:lineRule="exact"/>
              <w:ind w:left="189" w:right="187"/>
              <w:jc w:val="center"/>
              <w:rPr>
                <w:sz w:val="18"/>
              </w:rPr>
            </w:pPr>
            <w:r>
              <w:rPr>
                <w:sz w:val="18"/>
              </w:rPr>
              <w:t>Resina poliéster</w:t>
            </w:r>
          </w:p>
        </w:tc>
      </w:tr>
      <w:tr>
        <w:trPr>
          <w:trHeight w:val="320" w:hRule="exact"/>
        </w:trPr>
        <w:tc>
          <w:tcPr>
            <w:tcW w:w="1469" w:type="dxa"/>
            <w:vMerge/>
          </w:tcPr>
          <w:p>
            <w:pPr/>
          </w:p>
        </w:tc>
        <w:tc>
          <w:tcPr>
            <w:tcW w:w="620" w:type="dxa"/>
            <w:vMerge/>
            <w:tcBorders>
              <w:right w:val="single" w:sz="3" w:space="0" w:color="000000"/>
            </w:tcBorders>
          </w:tcPr>
          <w:p>
            <w:pPr/>
          </w:p>
        </w:tc>
        <w:tc>
          <w:tcPr>
            <w:tcW w:w="1657" w:type="dxa"/>
            <w:tcBorders>
              <w:left w:val="single" w:sz="3" w:space="0" w:color="000000"/>
            </w:tcBorders>
          </w:tcPr>
          <w:p>
            <w:pPr/>
          </w:p>
        </w:tc>
        <w:tc>
          <w:tcPr>
            <w:tcW w:w="1828" w:type="dxa"/>
          </w:tcPr>
          <w:p>
            <w:pPr>
              <w:pStyle w:val="TableParagraph"/>
              <w:spacing w:line="202" w:lineRule="exact"/>
              <w:ind w:left="189" w:right="190"/>
              <w:jc w:val="center"/>
              <w:rPr>
                <w:sz w:val="18"/>
              </w:rPr>
            </w:pPr>
            <w:r>
              <w:rPr>
                <w:sz w:val="18"/>
              </w:rPr>
              <w:t>Catalizador 20 ml</w:t>
            </w:r>
          </w:p>
        </w:tc>
      </w:tr>
      <w:tr>
        <w:trPr>
          <w:trHeight w:val="320" w:hRule="exact"/>
        </w:trPr>
        <w:tc>
          <w:tcPr>
            <w:tcW w:w="1469" w:type="dxa"/>
            <w:vMerge/>
          </w:tcPr>
          <w:p>
            <w:pPr/>
          </w:p>
        </w:tc>
        <w:tc>
          <w:tcPr>
            <w:tcW w:w="620" w:type="dxa"/>
            <w:vMerge/>
            <w:tcBorders>
              <w:right w:val="single" w:sz="3" w:space="0" w:color="000000"/>
            </w:tcBorders>
          </w:tcPr>
          <w:p>
            <w:pPr/>
          </w:p>
        </w:tc>
        <w:tc>
          <w:tcPr>
            <w:tcW w:w="1657" w:type="dxa"/>
            <w:tcBorders>
              <w:left w:val="single" w:sz="3" w:space="0" w:color="000000"/>
            </w:tcBorders>
          </w:tcPr>
          <w:p>
            <w:pPr/>
          </w:p>
        </w:tc>
        <w:tc>
          <w:tcPr>
            <w:tcW w:w="1828" w:type="dxa"/>
          </w:tcPr>
          <w:p>
            <w:pPr>
              <w:pStyle w:val="TableParagraph"/>
              <w:spacing w:line="202" w:lineRule="exact"/>
              <w:ind w:left="189" w:right="186"/>
              <w:jc w:val="center"/>
              <w:rPr>
                <w:sz w:val="18"/>
              </w:rPr>
            </w:pPr>
            <w:r>
              <w:rPr>
                <w:sz w:val="18"/>
              </w:rPr>
              <w:t>Fibra de vidrio</w:t>
            </w:r>
          </w:p>
        </w:tc>
      </w:tr>
      <w:tr>
        <w:trPr>
          <w:trHeight w:val="320" w:hRule="exact"/>
        </w:trPr>
        <w:tc>
          <w:tcPr>
            <w:tcW w:w="1469" w:type="dxa"/>
            <w:vMerge/>
          </w:tcPr>
          <w:p>
            <w:pPr/>
          </w:p>
        </w:tc>
        <w:tc>
          <w:tcPr>
            <w:tcW w:w="620" w:type="dxa"/>
            <w:vMerge/>
            <w:tcBorders>
              <w:right w:val="single" w:sz="3" w:space="0" w:color="000000"/>
            </w:tcBorders>
          </w:tcPr>
          <w:p>
            <w:pPr/>
          </w:p>
        </w:tc>
        <w:tc>
          <w:tcPr>
            <w:tcW w:w="1657" w:type="dxa"/>
            <w:tcBorders>
              <w:left w:val="single" w:sz="3" w:space="0" w:color="000000"/>
            </w:tcBorders>
          </w:tcPr>
          <w:p>
            <w:pPr/>
          </w:p>
        </w:tc>
        <w:tc>
          <w:tcPr>
            <w:tcW w:w="1828" w:type="dxa"/>
          </w:tcPr>
          <w:p>
            <w:pPr>
              <w:pStyle w:val="TableParagraph"/>
              <w:spacing w:line="206" w:lineRule="exact"/>
              <w:ind w:left="188" w:right="190"/>
              <w:jc w:val="center"/>
              <w:rPr>
                <w:sz w:val="18"/>
              </w:rPr>
            </w:pPr>
            <w:r>
              <w:rPr>
                <w:sz w:val="18"/>
              </w:rPr>
              <w:t>Cabosil 1kl</w:t>
            </w:r>
          </w:p>
        </w:tc>
      </w:tr>
      <w:tr>
        <w:trPr>
          <w:trHeight w:val="632" w:hRule="exact"/>
        </w:trPr>
        <w:tc>
          <w:tcPr>
            <w:tcW w:w="1469" w:type="dxa"/>
            <w:vMerge/>
          </w:tcPr>
          <w:p>
            <w:pPr/>
          </w:p>
        </w:tc>
        <w:tc>
          <w:tcPr>
            <w:tcW w:w="620" w:type="dxa"/>
            <w:vMerge/>
            <w:tcBorders>
              <w:right w:val="single" w:sz="3" w:space="0" w:color="000000"/>
            </w:tcBorders>
          </w:tcPr>
          <w:p>
            <w:pPr/>
          </w:p>
        </w:tc>
        <w:tc>
          <w:tcPr>
            <w:tcW w:w="1657" w:type="dxa"/>
            <w:tcBorders>
              <w:left w:val="single" w:sz="3" w:space="0" w:color="000000"/>
            </w:tcBorders>
          </w:tcPr>
          <w:p>
            <w:pPr/>
          </w:p>
        </w:tc>
        <w:tc>
          <w:tcPr>
            <w:tcW w:w="1828" w:type="dxa"/>
          </w:tcPr>
          <w:p>
            <w:pPr>
              <w:pStyle w:val="TableParagraph"/>
              <w:spacing w:line="357" w:lineRule="auto"/>
              <w:ind w:left="651" w:right="152" w:hanging="484"/>
              <w:rPr>
                <w:sz w:val="18"/>
              </w:rPr>
            </w:pPr>
            <w:r>
              <w:rPr>
                <w:sz w:val="18"/>
              </w:rPr>
              <w:t>Alcohol de polivinil 900 gr</w:t>
            </w:r>
          </w:p>
        </w:tc>
      </w:tr>
      <w:tr>
        <w:trPr>
          <w:trHeight w:val="632" w:hRule="exact"/>
        </w:trPr>
        <w:tc>
          <w:tcPr>
            <w:tcW w:w="1469" w:type="dxa"/>
            <w:vMerge/>
          </w:tcPr>
          <w:p>
            <w:pPr/>
          </w:p>
        </w:tc>
        <w:tc>
          <w:tcPr>
            <w:tcW w:w="620" w:type="dxa"/>
            <w:vMerge/>
            <w:tcBorders>
              <w:right w:val="single" w:sz="3" w:space="0" w:color="000000"/>
            </w:tcBorders>
          </w:tcPr>
          <w:p>
            <w:pPr/>
          </w:p>
        </w:tc>
        <w:tc>
          <w:tcPr>
            <w:tcW w:w="1657" w:type="dxa"/>
            <w:tcBorders>
              <w:left w:val="single" w:sz="3" w:space="0" w:color="000000"/>
            </w:tcBorders>
          </w:tcPr>
          <w:p>
            <w:pPr/>
          </w:p>
        </w:tc>
        <w:tc>
          <w:tcPr>
            <w:tcW w:w="1828" w:type="dxa"/>
          </w:tcPr>
          <w:p>
            <w:pPr>
              <w:pStyle w:val="TableParagraph"/>
              <w:spacing w:line="362" w:lineRule="auto"/>
              <w:ind w:left="651" w:right="158" w:hanging="480"/>
              <w:rPr>
                <w:sz w:val="18"/>
              </w:rPr>
            </w:pPr>
            <w:r>
              <w:rPr>
                <w:sz w:val="18"/>
              </w:rPr>
              <w:t>Cera desmoldante 800 gr</w:t>
            </w:r>
          </w:p>
        </w:tc>
      </w:tr>
      <w:tr>
        <w:trPr>
          <w:trHeight w:val="320" w:hRule="exact"/>
        </w:trPr>
        <w:tc>
          <w:tcPr>
            <w:tcW w:w="1469" w:type="dxa"/>
            <w:vMerge/>
          </w:tcPr>
          <w:p>
            <w:pPr/>
          </w:p>
        </w:tc>
        <w:tc>
          <w:tcPr>
            <w:tcW w:w="620" w:type="dxa"/>
            <w:vMerge/>
            <w:tcBorders>
              <w:right w:val="single" w:sz="3" w:space="0" w:color="000000"/>
            </w:tcBorders>
          </w:tcPr>
          <w:p>
            <w:pPr/>
          </w:p>
        </w:tc>
        <w:tc>
          <w:tcPr>
            <w:tcW w:w="1657" w:type="dxa"/>
            <w:tcBorders>
              <w:left w:val="single" w:sz="3" w:space="0" w:color="000000"/>
            </w:tcBorders>
          </w:tcPr>
          <w:p>
            <w:pPr/>
          </w:p>
        </w:tc>
        <w:tc>
          <w:tcPr>
            <w:tcW w:w="1828" w:type="dxa"/>
          </w:tcPr>
          <w:p>
            <w:pPr>
              <w:pStyle w:val="TableParagraph"/>
              <w:spacing w:line="202" w:lineRule="exact"/>
              <w:ind w:left="189" w:right="189"/>
              <w:jc w:val="center"/>
              <w:rPr>
                <w:sz w:val="18"/>
              </w:rPr>
            </w:pPr>
            <w:r>
              <w:rPr>
                <w:sz w:val="18"/>
              </w:rPr>
              <w:t>Brocha</w:t>
            </w:r>
          </w:p>
        </w:tc>
      </w:tr>
      <w:tr>
        <w:trPr>
          <w:trHeight w:val="320" w:hRule="exact"/>
        </w:trPr>
        <w:tc>
          <w:tcPr>
            <w:tcW w:w="1469" w:type="dxa"/>
            <w:vMerge/>
          </w:tcPr>
          <w:p>
            <w:pPr/>
          </w:p>
        </w:tc>
        <w:tc>
          <w:tcPr>
            <w:tcW w:w="620" w:type="dxa"/>
            <w:vMerge/>
            <w:tcBorders>
              <w:right w:val="single" w:sz="3" w:space="0" w:color="000000"/>
            </w:tcBorders>
          </w:tcPr>
          <w:p>
            <w:pPr/>
          </w:p>
        </w:tc>
        <w:tc>
          <w:tcPr>
            <w:tcW w:w="1657" w:type="dxa"/>
            <w:tcBorders>
              <w:left w:val="single" w:sz="3" w:space="0" w:color="000000"/>
            </w:tcBorders>
          </w:tcPr>
          <w:p>
            <w:pPr/>
          </w:p>
        </w:tc>
        <w:tc>
          <w:tcPr>
            <w:tcW w:w="1828" w:type="dxa"/>
          </w:tcPr>
          <w:p>
            <w:pPr>
              <w:pStyle w:val="TableParagraph"/>
              <w:spacing w:line="202" w:lineRule="exact"/>
              <w:ind w:left="189" w:right="189"/>
              <w:jc w:val="center"/>
              <w:rPr>
                <w:sz w:val="18"/>
              </w:rPr>
            </w:pPr>
            <w:r>
              <w:rPr>
                <w:sz w:val="18"/>
              </w:rPr>
              <w:t>1kl Estopa</w:t>
            </w:r>
          </w:p>
        </w:tc>
      </w:tr>
      <w:tr>
        <w:trPr>
          <w:trHeight w:val="321" w:hRule="exact"/>
        </w:trPr>
        <w:tc>
          <w:tcPr>
            <w:tcW w:w="1469" w:type="dxa"/>
            <w:vMerge/>
          </w:tcPr>
          <w:p>
            <w:pPr/>
          </w:p>
        </w:tc>
        <w:tc>
          <w:tcPr>
            <w:tcW w:w="620" w:type="dxa"/>
            <w:vMerge/>
            <w:tcBorders>
              <w:right w:val="single" w:sz="3" w:space="0" w:color="000000"/>
            </w:tcBorders>
          </w:tcPr>
          <w:p>
            <w:pPr/>
          </w:p>
        </w:tc>
        <w:tc>
          <w:tcPr>
            <w:tcW w:w="1657" w:type="dxa"/>
            <w:tcBorders>
              <w:left w:val="single" w:sz="3" w:space="0" w:color="000000"/>
            </w:tcBorders>
          </w:tcPr>
          <w:p>
            <w:pPr/>
          </w:p>
        </w:tc>
        <w:tc>
          <w:tcPr>
            <w:tcW w:w="1828" w:type="dxa"/>
          </w:tcPr>
          <w:p>
            <w:pPr>
              <w:pStyle w:val="TableParagraph"/>
              <w:spacing w:line="202" w:lineRule="exact"/>
              <w:ind w:left="189" w:right="190"/>
              <w:jc w:val="center"/>
              <w:rPr>
                <w:sz w:val="18"/>
              </w:rPr>
            </w:pPr>
            <w:r>
              <w:rPr>
                <w:sz w:val="18"/>
              </w:rPr>
              <w:t>1lt Tinner</w:t>
            </w:r>
          </w:p>
        </w:tc>
      </w:tr>
      <w:tr>
        <w:trPr>
          <w:trHeight w:val="320" w:hRule="exact"/>
        </w:trPr>
        <w:tc>
          <w:tcPr>
            <w:tcW w:w="1469" w:type="dxa"/>
            <w:vMerge/>
          </w:tcPr>
          <w:p>
            <w:pPr/>
          </w:p>
        </w:tc>
        <w:tc>
          <w:tcPr>
            <w:tcW w:w="620" w:type="dxa"/>
            <w:vMerge/>
            <w:tcBorders>
              <w:right w:val="single" w:sz="3" w:space="0" w:color="000000"/>
            </w:tcBorders>
          </w:tcPr>
          <w:p>
            <w:pPr/>
          </w:p>
        </w:tc>
        <w:tc>
          <w:tcPr>
            <w:tcW w:w="1657" w:type="dxa"/>
            <w:tcBorders>
              <w:left w:val="single" w:sz="3" w:space="0" w:color="000000"/>
            </w:tcBorders>
          </w:tcPr>
          <w:p>
            <w:pPr/>
          </w:p>
        </w:tc>
        <w:tc>
          <w:tcPr>
            <w:tcW w:w="1828" w:type="dxa"/>
          </w:tcPr>
          <w:p>
            <w:pPr>
              <w:pStyle w:val="TableParagraph"/>
              <w:spacing w:line="206" w:lineRule="exact"/>
              <w:ind w:left="189" w:right="187"/>
              <w:jc w:val="center"/>
              <w:rPr>
                <w:sz w:val="18"/>
              </w:rPr>
            </w:pPr>
            <w:r>
              <w:rPr>
                <w:sz w:val="18"/>
              </w:rPr>
              <w:t>cutter</w:t>
            </w:r>
          </w:p>
        </w:tc>
      </w:tr>
      <w:tr>
        <w:trPr>
          <w:trHeight w:val="320" w:hRule="exact"/>
        </w:trPr>
        <w:tc>
          <w:tcPr>
            <w:tcW w:w="1469" w:type="dxa"/>
            <w:vMerge/>
          </w:tcPr>
          <w:p>
            <w:pPr/>
          </w:p>
        </w:tc>
        <w:tc>
          <w:tcPr>
            <w:tcW w:w="620" w:type="dxa"/>
            <w:vMerge/>
            <w:tcBorders>
              <w:right w:val="single" w:sz="3" w:space="0" w:color="000000"/>
            </w:tcBorders>
          </w:tcPr>
          <w:p>
            <w:pPr/>
          </w:p>
        </w:tc>
        <w:tc>
          <w:tcPr>
            <w:tcW w:w="1657" w:type="dxa"/>
            <w:tcBorders>
              <w:left w:val="single" w:sz="3" w:space="0" w:color="000000"/>
            </w:tcBorders>
          </w:tcPr>
          <w:p>
            <w:pPr>
              <w:pStyle w:val="TableParagraph"/>
              <w:spacing w:line="206" w:lineRule="exact"/>
              <w:ind w:left="101" w:right="102"/>
              <w:jc w:val="center"/>
              <w:rPr>
                <w:sz w:val="18"/>
              </w:rPr>
            </w:pPr>
            <w:r>
              <w:rPr>
                <w:sz w:val="18"/>
              </w:rPr>
              <w:t>Pistola de aire</w:t>
            </w:r>
          </w:p>
        </w:tc>
        <w:tc>
          <w:tcPr>
            <w:tcW w:w="1828" w:type="dxa"/>
          </w:tcPr>
          <w:p>
            <w:pPr/>
          </w:p>
        </w:tc>
      </w:tr>
      <w:tr>
        <w:trPr>
          <w:trHeight w:val="330" w:hRule="exact"/>
        </w:trPr>
        <w:tc>
          <w:tcPr>
            <w:tcW w:w="1469" w:type="dxa"/>
            <w:vMerge/>
            <w:tcBorders>
              <w:bottom w:val="single" w:sz="11" w:space="0" w:color="000000"/>
            </w:tcBorders>
          </w:tcPr>
          <w:p>
            <w:pPr/>
          </w:p>
        </w:tc>
        <w:tc>
          <w:tcPr>
            <w:tcW w:w="620" w:type="dxa"/>
            <w:vMerge/>
            <w:tcBorders>
              <w:bottom w:val="single" w:sz="11" w:space="0" w:color="000000"/>
              <w:right w:val="single" w:sz="3" w:space="0" w:color="000000"/>
            </w:tcBorders>
          </w:tcPr>
          <w:p>
            <w:pPr/>
          </w:p>
        </w:tc>
        <w:tc>
          <w:tcPr>
            <w:tcW w:w="1657" w:type="dxa"/>
            <w:tcBorders>
              <w:left w:val="single" w:sz="3" w:space="0" w:color="000000"/>
              <w:bottom w:val="single" w:sz="11" w:space="0" w:color="000000"/>
            </w:tcBorders>
          </w:tcPr>
          <w:p>
            <w:pPr>
              <w:pStyle w:val="TableParagraph"/>
              <w:spacing w:line="206" w:lineRule="exact"/>
              <w:ind w:left="101" w:right="102"/>
              <w:jc w:val="center"/>
              <w:rPr>
                <w:sz w:val="18"/>
              </w:rPr>
            </w:pPr>
            <w:r>
              <w:rPr>
                <w:sz w:val="18"/>
              </w:rPr>
              <w:t>Moto toul</w:t>
            </w:r>
          </w:p>
        </w:tc>
        <w:tc>
          <w:tcPr>
            <w:tcW w:w="1828" w:type="dxa"/>
            <w:tcBorders>
              <w:bottom w:val="single" w:sz="11" w:space="0" w:color="000000"/>
            </w:tcBorders>
          </w:tcPr>
          <w:p>
            <w:pPr/>
          </w:p>
        </w:tc>
      </w:tr>
      <w:tr>
        <w:trPr>
          <w:trHeight w:val="334" w:hRule="exact"/>
        </w:trPr>
        <w:tc>
          <w:tcPr>
            <w:tcW w:w="1469" w:type="dxa"/>
            <w:vMerge w:val="restart"/>
            <w:tcBorders>
              <w:top w:val="single" w:sz="11" w:space="0" w:color="000000"/>
            </w:tcBorders>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103"/>
              <w:ind w:left="404" w:right="258"/>
              <w:rPr>
                <w:sz w:val="18"/>
              </w:rPr>
            </w:pPr>
            <w:r>
              <w:rPr>
                <w:sz w:val="18"/>
              </w:rPr>
              <w:t>Vaciado</w:t>
            </w:r>
          </w:p>
        </w:tc>
        <w:tc>
          <w:tcPr>
            <w:tcW w:w="620" w:type="dxa"/>
            <w:vMerge w:val="restart"/>
            <w:tcBorders>
              <w:top w:val="single" w:sz="11" w:space="0" w:color="000000"/>
              <w:right w:val="single" w:sz="3" w:space="0" w:color="000000"/>
            </w:tcBorders>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103"/>
              <w:ind w:left="203"/>
              <w:rPr>
                <w:sz w:val="18"/>
              </w:rPr>
            </w:pPr>
            <w:r>
              <w:rPr>
                <w:sz w:val="18"/>
              </w:rPr>
              <w:t>16</w:t>
            </w:r>
          </w:p>
        </w:tc>
        <w:tc>
          <w:tcPr>
            <w:tcW w:w="1657" w:type="dxa"/>
            <w:tcBorders>
              <w:top w:val="single" w:sz="11" w:space="0" w:color="000000"/>
              <w:left w:val="single" w:sz="3" w:space="0" w:color="000000"/>
            </w:tcBorders>
          </w:tcPr>
          <w:p>
            <w:pPr/>
          </w:p>
        </w:tc>
        <w:tc>
          <w:tcPr>
            <w:tcW w:w="1828" w:type="dxa"/>
            <w:tcBorders>
              <w:top w:val="single" w:sz="11" w:space="0" w:color="000000"/>
            </w:tcBorders>
          </w:tcPr>
          <w:p>
            <w:pPr>
              <w:pStyle w:val="TableParagraph"/>
              <w:spacing w:line="206" w:lineRule="exact"/>
              <w:ind w:left="189" w:right="190"/>
              <w:jc w:val="center"/>
              <w:rPr>
                <w:sz w:val="18"/>
              </w:rPr>
            </w:pPr>
            <w:r>
              <w:rPr>
                <w:sz w:val="18"/>
              </w:rPr>
              <w:t>Detergente</w:t>
            </w:r>
          </w:p>
        </w:tc>
      </w:tr>
      <w:tr>
        <w:trPr>
          <w:trHeight w:val="320" w:hRule="exact"/>
        </w:trPr>
        <w:tc>
          <w:tcPr>
            <w:tcW w:w="1469" w:type="dxa"/>
            <w:vMerge/>
          </w:tcPr>
          <w:p>
            <w:pPr/>
          </w:p>
        </w:tc>
        <w:tc>
          <w:tcPr>
            <w:tcW w:w="620" w:type="dxa"/>
            <w:vMerge/>
            <w:tcBorders>
              <w:right w:val="single" w:sz="3" w:space="0" w:color="000000"/>
            </w:tcBorders>
          </w:tcPr>
          <w:p>
            <w:pPr/>
          </w:p>
        </w:tc>
        <w:tc>
          <w:tcPr>
            <w:tcW w:w="1657" w:type="dxa"/>
            <w:tcBorders>
              <w:left w:val="single" w:sz="3" w:space="0" w:color="000000"/>
            </w:tcBorders>
          </w:tcPr>
          <w:p>
            <w:pPr/>
          </w:p>
        </w:tc>
        <w:tc>
          <w:tcPr>
            <w:tcW w:w="1828" w:type="dxa"/>
          </w:tcPr>
          <w:p>
            <w:pPr>
              <w:pStyle w:val="TableParagraph"/>
              <w:spacing w:line="202" w:lineRule="exact"/>
              <w:ind w:left="189" w:right="189"/>
              <w:jc w:val="center"/>
              <w:rPr>
                <w:sz w:val="18"/>
              </w:rPr>
            </w:pPr>
            <w:r>
              <w:rPr>
                <w:sz w:val="18"/>
              </w:rPr>
              <w:t>Agua 20 lt</w:t>
            </w:r>
          </w:p>
        </w:tc>
      </w:tr>
      <w:tr>
        <w:trPr>
          <w:trHeight w:val="629" w:hRule="exact"/>
        </w:trPr>
        <w:tc>
          <w:tcPr>
            <w:tcW w:w="1469" w:type="dxa"/>
            <w:vMerge/>
          </w:tcPr>
          <w:p>
            <w:pPr/>
          </w:p>
        </w:tc>
        <w:tc>
          <w:tcPr>
            <w:tcW w:w="620" w:type="dxa"/>
            <w:vMerge/>
            <w:tcBorders>
              <w:right w:val="single" w:sz="3" w:space="0" w:color="000000"/>
            </w:tcBorders>
          </w:tcPr>
          <w:p>
            <w:pPr/>
          </w:p>
        </w:tc>
        <w:tc>
          <w:tcPr>
            <w:tcW w:w="1657" w:type="dxa"/>
            <w:tcBorders>
              <w:left w:val="single" w:sz="3" w:space="0" w:color="000000"/>
            </w:tcBorders>
          </w:tcPr>
          <w:p>
            <w:pPr/>
          </w:p>
        </w:tc>
        <w:tc>
          <w:tcPr>
            <w:tcW w:w="1828" w:type="dxa"/>
          </w:tcPr>
          <w:p>
            <w:pPr>
              <w:pStyle w:val="TableParagraph"/>
              <w:spacing w:line="362" w:lineRule="auto"/>
              <w:ind w:left="400" w:right="380" w:hanging="4"/>
              <w:rPr>
                <w:sz w:val="18"/>
              </w:rPr>
            </w:pPr>
            <w:r>
              <w:rPr>
                <w:sz w:val="18"/>
              </w:rPr>
              <w:t>Tornillos con mariposa 1kl</w:t>
            </w:r>
          </w:p>
        </w:tc>
      </w:tr>
      <w:tr>
        <w:trPr>
          <w:trHeight w:val="320" w:hRule="exact"/>
        </w:trPr>
        <w:tc>
          <w:tcPr>
            <w:tcW w:w="1469" w:type="dxa"/>
            <w:vMerge/>
          </w:tcPr>
          <w:p>
            <w:pPr/>
          </w:p>
        </w:tc>
        <w:tc>
          <w:tcPr>
            <w:tcW w:w="620" w:type="dxa"/>
            <w:vMerge/>
            <w:tcBorders>
              <w:right w:val="single" w:sz="3" w:space="0" w:color="000000"/>
            </w:tcBorders>
          </w:tcPr>
          <w:p>
            <w:pPr/>
          </w:p>
        </w:tc>
        <w:tc>
          <w:tcPr>
            <w:tcW w:w="1657" w:type="dxa"/>
            <w:tcBorders>
              <w:left w:val="single" w:sz="3" w:space="0" w:color="000000"/>
            </w:tcBorders>
          </w:tcPr>
          <w:p>
            <w:pPr/>
          </w:p>
        </w:tc>
        <w:tc>
          <w:tcPr>
            <w:tcW w:w="1828" w:type="dxa"/>
          </w:tcPr>
          <w:p>
            <w:pPr>
              <w:pStyle w:val="TableParagraph"/>
              <w:spacing w:line="206" w:lineRule="exact"/>
              <w:ind w:left="189" w:right="187"/>
              <w:jc w:val="center"/>
              <w:rPr>
                <w:sz w:val="18"/>
              </w:rPr>
            </w:pPr>
            <w:r>
              <w:rPr>
                <w:sz w:val="18"/>
              </w:rPr>
              <w:t>Resina poliéster</w:t>
            </w:r>
          </w:p>
        </w:tc>
      </w:tr>
      <w:tr>
        <w:trPr>
          <w:trHeight w:val="632" w:hRule="exact"/>
        </w:trPr>
        <w:tc>
          <w:tcPr>
            <w:tcW w:w="1469" w:type="dxa"/>
            <w:vMerge/>
          </w:tcPr>
          <w:p>
            <w:pPr/>
          </w:p>
        </w:tc>
        <w:tc>
          <w:tcPr>
            <w:tcW w:w="620" w:type="dxa"/>
            <w:vMerge/>
            <w:tcBorders>
              <w:right w:val="single" w:sz="3" w:space="0" w:color="000000"/>
            </w:tcBorders>
          </w:tcPr>
          <w:p>
            <w:pPr/>
          </w:p>
        </w:tc>
        <w:tc>
          <w:tcPr>
            <w:tcW w:w="1657" w:type="dxa"/>
            <w:tcBorders>
              <w:left w:val="single" w:sz="3" w:space="0" w:color="000000"/>
            </w:tcBorders>
          </w:tcPr>
          <w:p>
            <w:pPr/>
          </w:p>
        </w:tc>
        <w:tc>
          <w:tcPr>
            <w:tcW w:w="1828" w:type="dxa"/>
          </w:tcPr>
          <w:p>
            <w:pPr>
              <w:pStyle w:val="TableParagraph"/>
              <w:spacing w:line="362" w:lineRule="auto"/>
              <w:ind w:left="780" w:right="91" w:hanging="672"/>
              <w:rPr>
                <w:sz w:val="18"/>
              </w:rPr>
            </w:pPr>
            <w:r>
              <w:rPr>
                <w:sz w:val="18"/>
              </w:rPr>
              <w:t>Carbonato de calcio 1Kl</w:t>
            </w:r>
          </w:p>
        </w:tc>
      </w:tr>
    </w:tbl>
    <w:p>
      <w:pPr>
        <w:spacing w:after="0" w:line="362" w:lineRule="auto"/>
        <w:rPr>
          <w:sz w:val="18"/>
        </w:rPr>
        <w:sectPr>
          <w:pgSz w:w="12240" w:h="15840"/>
          <w:pgMar w:header="0" w:footer="1031" w:top="1420" w:bottom="1220" w:left="1600" w:right="1600"/>
        </w:sectPr>
      </w:pPr>
    </w:p>
    <w:tbl>
      <w:tblPr>
        <w:tblW w:w="0" w:type="auto"/>
        <w:jc w:val="left"/>
        <w:tblInd w:w="1653"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469"/>
        <w:gridCol w:w="620"/>
        <w:gridCol w:w="1657"/>
        <w:gridCol w:w="1828"/>
      </w:tblGrid>
      <w:tr>
        <w:trPr>
          <w:trHeight w:val="334" w:hRule="exact"/>
        </w:trPr>
        <w:tc>
          <w:tcPr>
            <w:tcW w:w="1469" w:type="dxa"/>
            <w:tcBorders>
              <w:bottom w:val="single" w:sz="11" w:space="0" w:color="000000"/>
            </w:tcBorders>
          </w:tcPr>
          <w:p>
            <w:pPr/>
          </w:p>
        </w:tc>
        <w:tc>
          <w:tcPr>
            <w:tcW w:w="620" w:type="dxa"/>
            <w:tcBorders>
              <w:bottom w:val="single" w:sz="11" w:space="0" w:color="000000"/>
              <w:right w:val="single" w:sz="3" w:space="0" w:color="000000"/>
            </w:tcBorders>
          </w:tcPr>
          <w:p>
            <w:pPr/>
          </w:p>
        </w:tc>
        <w:tc>
          <w:tcPr>
            <w:tcW w:w="1657" w:type="dxa"/>
            <w:tcBorders>
              <w:left w:val="single" w:sz="3" w:space="0" w:color="000000"/>
              <w:bottom w:val="single" w:sz="11" w:space="0" w:color="000000"/>
            </w:tcBorders>
          </w:tcPr>
          <w:p>
            <w:pPr>
              <w:pStyle w:val="TableParagraph"/>
              <w:spacing w:line="203" w:lineRule="exact"/>
              <w:ind w:left="101" w:right="102"/>
              <w:jc w:val="center"/>
              <w:rPr>
                <w:sz w:val="18"/>
              </w:rPr>
            </w:pPr>
            <w:r>
              <w:rPr>
                <w:sz w:val="18"/>
              </w:rPr>
              <w:t>Pistola de aire</w:t>
            </w:r>
          </w:p>
        </w:tc>
        <w:tc>
          <w:tcPr>
            <w:tcW w:w="1828" w:type="dxa"/>
            <w:tcBorders>
              <w:bottom w:val="single" w:sz="11" w:space="0" w:color="000000"/>
            </w:tcBorders>
          </w:tcPr>
          <w:p>
            <w:pPr/>
          </w:p>
        </w:tc>
      </w:tr>
      <w:tr>
        <w:trPr>
          <w:trHeight w:val="950" w:hRule="exact"/>
        </w:trPr>
        <w:tc>
          <w:tcPr>
            <w:tcW w:w="1469" w:type="dxa"/>
            <w:vMerge w:val="restart"/>
            <w:tcBorders>
              <w:top w:val="single" w:sz="11" w:space="0" w:color="000000"/>
            </w:tcBorders>
          </w:tcPr>
          <w:p>
            <w:pPr>
              <w:pStyle w:val="TableParagraph"/>
              <w:spacing w:before="4"/>
              <w:rPr>
                <w:sz w:val="26"/>
              </w:rPr>
            </w:pPr>
          </w:p>
          <w:p>
            <w:pPr>
              <w:pStyle w:val="TableParagraph"/>
              <w:ind w:left="328" w:right="258"/>
              <w:rPr>
                <w:sz w:val="18"/>
              </w:rPr>
            </w:pPr>
            <w:r>
              <w:rPr>
                <w:sz w:val="18"/>
              </w:rPr>
              <w:t>Acabados</w:t>
            </w:r>
          </w:p>
        </w:tc>
        <w:tc>
          <w:tcPr>
            <w:tcW w:w="620" w:type="dxa"/>
            <w:tcBorders>
              <w:top w:val="single" w:sz="11" w:space="0" w:color="000000"/>
              <w:right w:val="single" w:sz="3" w:space="0" w:color="000000"/>
            </w:tcBorders>
          </w:tcPr>
          <w:p>
            <w:pPr>
              <w:pStyle w:val="TableParagraph"/>
              <w:spacing w:line="198" w:lineRule="exact"/>
              <w:ind w:left="184" w:right="186"/>
              <w:jc w:val="center"/>
              <w:rPr>
                <w:sz w:val="18"/>
              </w:rPr>
            </w:pPr>
            <w:r>
              <w:rPr>
                <w:sz w:val="18"/>
              </w:rPr>
              <w:t>10</w:t>
            </w:r>
          </w:p>
        </w:tc>
        <w:tc>
          <w:tcPr>
            <w:tcW w:w="1657" w:type="dxa"/>
            <w:tcBorders>
              <w:top w:val="single" w:sz="11" w:space="0" w:color="000000"/>
              <w:left w:val="single" w:sz="3" w:space="0" w:color="000000"/>
            </w:tcBorders>
          </w:tcPr>
          <w:p>
            <w:pPr>
              <w:pStyle w:val="TableParagraph"/>
              <w:spacing w:line="362" w:lineRule="auto"/>
              <w:ind w:left="451" w:right="451"/>
              <w:jc w:val="center"/>
              <w:rPr>
                <w:sz w:val="18"/>
              </w:rPr>
            </w:pPr>
            <w:r>
              <w:rPr>
                <w:sz w:val="18"/>
              </w:rPr>
              <w:t>Moto toul (10%</w:t>
            </w:r>
          </w:p>
          <w:p>
            <w:pPr>
              <w:pStyle w:val="TableParagraph"/>
              <w:spacing w:line="205" w:lineRule="exact"/>
              <w:ind w:left="104" w:right="101"/>
              <w:jc w:val="center"/>
              <w:rPr>
                <w:sz w:val="18"/>
              </w:rPr>
            </w:pPr>
            <w:r>
              <w:rPr>
                <w:sz w:val="18"/>
              </w:rPr>
              <w:t>depreciación)</w:t>
            </w:r>
          </w:p>
        </w:tc>
        <w:tc>
          <w:tcPr>
            <w:tcW w:w="1828" w:type="dxa"/>
            <w:tcBorders>
              <w:top w:val="single" w:sz="11" w:space="0" w:color="000000"/>
            </w:tcBorders>
          </w:tcPr>
          <w:p>
            <w:pPr/>
          </w:p>
        </w:tc>
      </w:tr>
      <w:tr>
        <w:trPr>
          <w:trHeight w:val="344" w:hRule="exact"/>
        </w:trPr>
        <w:tc>
          <w:tcPr>
            <w:tcW w:w="1469" w:type="dxa"/>
            <w:vMerge/>
          </w:tcPr>
          <w:p>
            <w:pPr/>
          </w:p>
        </w:tc>
        <w:tc>
          <w:tcPr>
            <w:tcW w:w="620" w:type="dxa"/>
            <w:tcBorders>
              <w:right w:val="single" w:sz="3" w:space="0" w:color="000000"/>
            </w:tcBorders>
          </w:tcPr>
          <w:p>
            <w:pPr>
              <w:pStyle w:val="TableParagraph"/>
              <w:spacing w:before="11"/>
              <w:ind w:left="184" w:right="186"/>
              <w:jc w:val="center"/>
              <w:rPr>
                <w:sz w:val="18"/>
              </w:rPr>
            </w:pPr>
            <w:r>
              <w:rPr>
                <w:sz w:val="18"/>
              </w:rPr>
              <w:t>10</w:t>
            </w:r>
          </w:p>
        </w:tc>
        <w:tc>
          <w:tcPr>
            <w:tcW w:w="1657" w:type="dxa"/>
            <w:tcBorders>
              <w:left w:val="single" w:sz="3" w:space="0" w:color="000000"/>
            </w:tcBorders>
          </w:tcPr>
          <w:p>
            <w:pPr>
              <w:pStyle w:val="TableParagraph"/>
              <w:spacing w:before="11"/>
              <w:ind w:left="101" w:right="102"/>
              <w:jc w:val="center"/>
              <w:rPr>
                <w:sz w:val="18"/>
              </w:rPr>
            </w:pPr>
            <w:r>
              <w:rPr>
                <w:sz w:val="18"/>
              </w:rPr>
              <w:t>Estuche de lijas</w:t>
            </w:r>
          </w:p>
        </w:tc>
        <w:tc>
          <w:tcPr>
            <w:tcW w:w="1828" w:type="dxa"/>
          </w:tcPr>
          <w:p>
            <w:pPr/>
          </w:p>
        </w:tc>
      </w:tr>
    </w:tbl>
    <w:p>
      <w:pPr>
        <w:spacing w:line="199" w:lineRule="exact" w:before="0"/>
        <w:ind w:left="1008" w:right="1029" w:firstLine="0"/>
        <w:jc w:val="center"/>
        <w:rPr>
          <w:sz w:val="18"/>
        </w:rPr>
      </w:pPr>
      <w:r>
        <w:rPr>
          <w:sz w:val="18"/>
        </w:rPr>
        <w:t>(Fuente: Elaboración propia, 2015).</w:t>
      </w:r>
    </w:p>
    <w:p>
      <w:pPr>
        <w:pStyle w:val="BodyText"/>
        <w:rPr>
          <w:sz w:val="18"/>
        </w:rPr>
      </w:pPr>
    </w:p>
    <w:p>
      <w:pPr>
        <w:pStyle w:val="BodyText"/>
        <w:rPr>
          <w:sz w:val="18"/>
        </w:rPr>
      </w:pPr>
    </w:p>
    <w:p>
      <w:pPr>
        <w:pStyle w:val="BodyText"/>
        <w:spacing w:line="360" w:lineRule="auto" w:before="106"/>
        <w:ind w:left="100" w:right="125"/>
        <w:jc w:val="both"/>
      </w:pPr>
      <w:r>
        <w:rPr/>
        <w:t>De la herramienta eléctrica se utilizaron las mencionadas en la tabla anterior, pero es importante saber la energía que consumieron en el proceso de acuerdo al tiempo que duraron encendidos. </w:t>
      </w:r>
      <w:hyperlink w:history="true" w:anchor="_bookmark160">
        <w:r>
          <w:rPr/>
          <w:t>Tabla 5.5</w:t>
        </w:r>
      </w:hyperlink>
      <w:r>
        <w:rPr/>
        <w:t>.</w:t>
      </w:r>
    </w:p>
    <w:p>
      <w:pPr>
        <w:pStyle w:val="BodyText"/>
      </w:pPr>
    </w:p>
    <w:p>
      <w:pPr>
        <w:pStyle w:val="BodyText"/>
      </w:pPr>
    </w:p>
    <w:p>
      <w:pPr>
        <w:pStyle w:val="BodyText"/>
      </w:pPr>
    </w:p>
    <w:p>
      <w:pPr>
        <w:pStyle w:val="BodyText"/>
      </w:pPr>
    </w:p>
    <w:p>
      <w:pPr>
        <w:spacing w:before="138" w:after="2"/>
        <w:ind w:left="2673" w:right="235" w:firstLine="0"/>
        <w:jc w:val="left"/>
        <w:rPr>
          <w:sz w:val="18"/>
        </w:rPr>
      </w:pPr>
      <w:bookmarkStart w:name="_bookmark160" w:id="253"/>
      <w:bookmarkEnd w:id="253"/>
      <w:r>
        <w:rPr/>
      </w:r>
      <w:r>
        <w:rPr>
          <w:sz w:val="18"/>
        </w:rPr>
        <w:t>Tabla 5.5.Lista de herramienta eléctrica utilizada.</w:t>
      </w:r>
    </w:p>
    <w:tbl>
      <w:tblPr>
        <w:tblW w:w="0" w:type="auto"/>
        <w:jc w:val="left"/>
        <w:tblInd w:w="154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861"/>
        <w:gridCol w:w="672"/>
        <w:gridCol w:w="808"/>
        <w:gridCol w:w="713"/>
        <w:gridCol w:w="748"/>
        <w:gridCol w:w="1137"/>
      </w:tblGrid>
      <w:tr>
        <w:trPr>
          <w:trHeight w:val="324" w:hRule="exact"/>
        </w:trPr>
        <w:tc>
          <w:tcPr>
            <w:tcW w:w="1861" w:type="dxa"/>
          </w:tcPr>
          <w:p>
            <w:pPr>
              <w:pStyle w:val="TableParagraph"/>
              <w:spacing w:line="206" w:lineRule="exact"/>
              <w:ind w:left="167" w:right="171"/>
              <w:jc w:val="center"/>
              <w:rPr>
                <w:sz w:val="18"/>
              </w:rPr>
            </w:pPr>
            <w:r>
              <w:rPr>
                <w:sz w:val="18"/>
              </w:rPr>
              <w:t>Herramienta</w:t>
            </w:r>
          </w:p>
        </w:tc>
        <w:tc>
          <w:tcPr>
            <w:tcW w:w="672" w:type="dxa"/>
          </w:tcPr>
          <w:p>
            <w:pPr>
              <w:pStyle w:val="TableParagraph"/>
              <w:spacing w:line="206" w:lineRule="exact"/>
              <w:jc w:val="center"/>
              <w:rPr>
                <w:sz w:val="18"/>
              </w:rPr>
            </w:pPr>
            <w:r>
              <w:rPr>
                <w:w w:val="100"/>
                <w:sz w:val="18"/>
              </w:rPr>
              <w:t>V</w:t>
            </w:r>
          </w:p>
        </w:tc>
        <w:tc>
          <w:tcPr>
            <w:tcW w:w="808" w:type="dxa"/>
          </w:tcPr>
          <w:p>
            <w:pPr>
              <w:pStyle w:val="TableParagraph"/>
              <w:spacing w:line="206" w:lineRule="exact"/>
              <w:ind w:left="146" w:right="151"/>
              <w:jc w:val="center"/>
              <w:rPr>
                <w:sz w:val="18"/>
              </w:rPr>
            </w:pPr>
            <w:r>
              <w:rPr>
                <w:sz w:val="18"/>
              </w:rPr>
              <w:t>Hz</w:t>
            </w:r>
          </w:p>
        </w:tc>
        <w:tc>
          <w:tcPr>
            <w:tcW w:w="713" w:type="dxa"/>
          </w:tcPr>
          <w:p>
            <w:pPr>
              <w:pStyle w:val="TableParagraph"/>
              <w:spacing w:line="206" w:lineRule="exact"/>
              <w:ind w:right="166"/>
              <w:jc w:val="right"/>
              <w:rPr>
                <w:sz w:val="18"/>
              </w:rPr>
            </w:pPr>
            <w:r>
              <w:rPr>
                <w:sz w:val="18"/>
              </w:rPr>
              <w:t>Amp</w:t>
            </w:r>
          </w:p>
        </w:tc>
        <w:tc>
          <w:tcPr>
            <w:tcW w:w="748" w:type="dxa"/>
          </w:tcPr>
          <w:p>
            <w:pPr>
              <w:pStyle w:val="TableParagraph"/>
              <w:spacing w:line="206" w:lineRule="exact"/>
              <w:ind w:right="1"/>
              <w:jc w:val="center"/>
              <w:rPr>
                <w:sz w:val="18"/>
              </w:rPr>
            </w:pPr>
            <w:r>
              <w:rPr>
                <w:w w:val="100"/>
                <w:sz w:val="18"/>
              </w:rPr>
              <w:t>W</w:t>
            </w:r>
          </w:p>
        </w:tc>
        <w:tc>
          <w:tcPr>
            <w:tcW w:w="1137" w:type="dxa"/>
          </w:tcPr>
          <w:p>
            <w:pPr>
              <w:pStyle w:val="TableParagraph"/>
              <w:spacing w:line="206" w:lineRule="exact"/>
              <w:ind w:left="243" w:right="245"/>
              <w:jc w:val="center"/>
              <w:rPr>
                <w:sz w:val="18"/>
              </w:rPr>
            </w:pPr>
            <w:r>
              <w:rPr>
                <w:sz w:val="18"/>
              </w:rPr>
              <w:t>Tiempo</w:t>
            </w:r>
          </w:p>
        </w:tc>
      </w:tr>
      <w:tr>
        <w:trPr>
          <w:trHeight w:val="321" w:hRule="exact"/>
        </w:trPr>
        <w:tc>
          <w:tcPr>
            <w:tcW w:w="1861" w:type="dxa"/>
          </w:tcPr>
          <w:p>
            <w:pPr>
              <w:pStyle w:val="TableParagraph"/>
              <w:spacing w:line="202" w:lineRule="exact"/>
              <w:ind w:left="170" w:right="168"/>
              <w:jc w:val="center"/>
              <w:rPr>
                <w:sz w:val="18"/>
              </w:rPr>
            </w:pPr>
            <w:r>
              <w:rPr>
                <w:sz w:val="18"/>
              </w:rPr>
              <w:t>Secadora de aire</w:t>
            </w:r>
          </w:p>
        </w:tc>
        <w:tc>
          <w:tcPr>
            <w:tcW w:w="672" w:type="dxa"/>
          </w:tcPr>
          <w:p>
            <w:pPr>
              <w:pStyle w:val="TableParagraph"/>
              <w:spacing w:line="202" w:lineRule="exact"/>
              <w:ind w:left="161" w:right="163"/>
              <w:jc w:val="center"/>
              <w:rPr>
                <w:sz w:val="18"/>
              </w:rPr>
            </w:pPr>
            <w:r>
              <w:rPr>
                <w:sz w:val="18"/>
              </w:rPr>
              <w:t>127</w:t>
            </w:r>
          </w:p>
        </w:tc>
        <w:tc>
          <w:tcPr>
            <w:tcW w:w="808" w:type="dxa"/>
          </w:tcPr>
          <w:p>
            <w:pPr>
              <w:pStyle w:val="TableParagraph"/>
              <w:spacing w:line="202" w:lineRule="exact"/>
              <w:ind w:left="148" w:right="151"/>
              <w:jc w:val="center"/>
              <w:rPr>
                <w:sz w:val="18"/>
              </w:rPr>
            </w:pPr>
            <w:r>
              <w:rPr>
                <w:sz w:val="18"/>
              </w:rPr>
              <w:t>10-60</w:t>
            </w:r>
          </w:p>
        </w:tc>
        <w:tc>
          <w:tcPr>
            <w:tcW w:w="713" w:type="dxa"/>
          </w:tcPr>
          <w:p>
            <w:pPr/>
          </w:p>
        </w:tc>
        <w:tc>
          <w:tcPr>
            <w:tcW w:w="748" w:type="dxa"/>
          </w:tcPr>
          <w:p>
            <w:pPr>
              <w:pStyle w:val="TableParagraph"/>
              <w:spacing w:line="202" w:lineRule="exact"/>
              <w:ind w:left="148" w:right="150"/>
              <w:jc w:val="center"/>
              <w:rPr>
                <w:sz w:val="18"/>
              </w:rPr>
            </w:pPr>
            <w:r>
              <w:rPr>
                <w:sz w:val="18"/>
              </w:rPr>
              <w:t>1875</w:t>
            </w:r>
          </w:p>
        </w:tc>
        <w:tc>
          <w:tcPr>
            <w:tcW w:w="1137" w:type="dxa"/>
          </w:tcPr>
          <w:p>
            <w:pPr>
              <w:pStyle w:val="TableParagraph"/>
              <w:spacing w:line="202" w:lineRule="exact"/>
              <w:ind w:left="243" w:right="245"/>
              <w:jc w:val="center"/>
              <w:rPr>
                <w:sz w:val="18"/>
              </w:rPr>
            </w:pPr>
            <w:r>
              <w:rPr>
                <w:sz w:val="18"/>
              </w:rPr>
              <w:t>6 h</w:t>
            </w:r>
          </w:p>
        </w:tc>
      </w:tr>
      <w:tr>
        <w:trPr>
          <w:trHeight w:val="320" w:hRule="exact"/>
        </w:trPr>
        <w:tc>
          <w:tcPr>
            <w:tcW w:w="1861" w:type="dxa"/>
          </w:tcPr>
          <w:p>
            <w:pPr>
              <w:pStyle w:val="TableParagraph"/>
              <w:spacing w:line="202" w:lineRule="exact"/>
              <w:ind w:left="170" w:right="170"/>
              <w:jc w:val="center"/>
              <w:rPr>
                <w:sz w:val="18"/>
              </w:rPr>
            </w:pPr>
            <w:r>
              <w:rPr>
                <w:sz w:val="18"/>
              </w:rPr>
              <w:t>Lámpara de calor</w:t>
            </w:r>
          </w:p>
        </w:tc>
        <w:tc>
          <w:tcPr>
            <w:tcW w:w="672" w:type="dxa"/>
          </w:tcPr>
          <w:p>
            <w:pPr>
              <w:pStyle w:val="TableParagraph"/>
              <w:spacing w:line="202" w:lineRule="exact"/>
              <w:ind w:left="161" w:right="163"/>
              <w:jc w:val="center"/>
              <w:rPr>
                <w:sz w:val="18"/>
              </w:rPr>
            </w:pPr>
            <w:r>
              <w:rPr>
                <w:sz w:val="18"/>
              </w:rPr>
              <w:t>127</w:t>
            </w:r>
          </w:p>
        </w:tc>
        <w:tc>
          <w:tcPr>
            <w:tcW w:w="808" w:type="dxa"/>
          </w:tcPr>
          <w:p>
            <w:pPr>
              <w:pStyle w:val="TableParagraph"/>
              <w:spacing w:line="202" w:lineRule="exact"/>
              <w:ind w:left="148" w:right="148"/>
              <w:jc w:val="center"/>
              <w:rPr>
                <w:sz w:val="18"/>
              </w:rPr>
            </w:pPr>
            <w:r>
              <w:rPr>
                <w:sz w:val="18"/>
              </w:rPr>
              <w:t>60</w:t>
            </w:r>
          </w:p>
        </w:tc>
        <w:tc>
          <w:tcPr>
            <w:tcW w:w="713" w:type="dxa"/>
          </w:tcPr>
          <w:p>
            <w:pPr/>
          </w:p>
        </w:tc>
        <w:tc>
          <w:tcPr>
            <w:tcW w:w="748" w:type="dxa"/>
          </w:tcPr>
          <w:p>
            <w:pPr>
              <w:pStyle w:val="TableParagraph"/>
              <w:spacing w:line="202" w:lineRule="exact"/>
              <w:ind w:left="148" w:right="150"/>
              <w:jc w:val="center"/>
              <w:rPr>
                <w:sz w:val="18"/>
              </w:rPr>
            </w:pPr>
            <w:r>
              <w:rPr>
                <w:sz w:val="18"/>
              </w:rPr>
              <w:t>60</w:t>
            </w:r>
          </w:p>
        </w:tc>
        <w:tc>
          <w:tcPr>
            <w:tcW w:w="1137" w:type="dxa"/>
          </w:tcPr>
          <w:p>
            <w:pPr>
              <w:pStyle w:val="TableParagraph"/>
              <w:spacing w:line="202" w:lineRule="exact"/>
              <w:ind w:left="243" w:right="245"/>
              <w:jc w:val="center"/>
              <w:rPr>
                <w:sz w:val="18"/>
              </w:rPr>
            </w:pPr>
            <w:r>
              <w:rPr>
                <w:sz w:val="18"/>
              </w:rPr>
              <w:t>5 h</w:t>
            </w:r>
          </w:p>
        </w:tc>
      </w:tr>
      <w:tr>
        <w:trPr>
          <w:trHeight w:val="320" w:hRule="exact"/>
        </w:trPr>
        <w:tc>
          <w:tcPr>
            <w:tcW w:w="1861" w:type="dxa"/>
          </w:tcPr>
          <w:p>
            <w:pPr>
              <w:pStyle w:val="TableParagraph"/>
              <w:spacing w:line="202" w:lineRule="exact"/>
              <w:ind w:left="170" w:right="168"/>
              <w:jc w:val="center"/>
              <w:rPr>
                <w:sz w:val="18"/>
              </w:rPr>
            </w:pPr>
            <w:r>
              <w:rPr>
                <w:sz w:val="18"/>
              </w:rPr>
              <w:t>Moto toul</w:t>
            </w:r>
          </w:p>
        </w:tc>
        <w:tc>
          <w:tcPr>
            <w:tcW w:w="672" w:type="dxa"/>
          </w:tcPr>
          <w:p>
            <w:pPr>
              <w:pStyle w:val="TableParagraph"/>
              <w:spacing w:line="202" w:lineRule="exact"/>
              <w:ind w:left="161" w:right="163"/>
              <w:jc w:val="center"/>
              <w:rPr>
                <w:sz w:val="18"/>
              </w:rPr>
            </w:pPr>
            <w:r>
              <w:rPr>
                <w:sz w:val="18"/>
              </w:rPr>
              <w:t>120</w:t>
            </w:r>
          </w:p>
        </w:tc>
        <w:tc>
          <w:tcPr>
            <w:tcW w:w="808" w:type="dxa"/>
          </w:tcPr>
          <w:p>
            <w:pPr>
              <w:pStyle w:val="TableParagraph"/>
              <w:spacing w:line="202" w:lineRule="exact"/>
              <w:ind w:left="148" w:right="148"/>
              <w:jc w:val="center"/>
              <w:rPr>
                <w:sz w:val="18"/>
              </w:rPr>
            </w:pPr>
            <w:r>
              <w:rPr>
                <w:sz w:val="18"/>
              </w:rPr>
              <w:t>60</w:t>
            </w:r>
          </w:p>
        </w:tc>
        <w:tc>
          <w:tcPr>
            <w:tcW w:w="713" w:type="dxa"/>
          </w:tcPr>
          <w:p>
            <w:pPr>
              <w:pStyle w:val="TableParagraph"/>
              <w:spacing w:line="202" w:lineRule="exact"/>
              <w:ind w:right="178"/>
              <w:jc w:val="right"/>
              <w:rPr>
                <w:sz w:val="18"/>
              </w:rPr>
            </w:pPr>
            <w:r>
              <w:rPr>
                <w:sz w:val="18"/>
              </w:rPr>
              <w:t>1.15</w:t>
            </w:r>
          </w:p>
        </w:tc>
        <w:tc>
          <w:tcPr>
            <w:tcW w:w="748" w:type="dxa"/>
          </w:tcPr>
          <w:p>
            <w:pPr/>
          </w:p>
        </w:tc>
        <w:tc>
          <w:tcPr>
            <w:tcW w:w="1137" w:type="dxa"/>
          </w:tcPr>
          <w:p>
            <w:pPr>
              <w:pStyle w:val="TableParagraph"/>
              <w:spacing w:line="202" w:lineRule="exact"/>
              <w:ind w:left="243" w:right="244"/>
              <w:jc w:val="center"/>
              <w:rPr>
                <w:sz w:val="18"/>
              </w:rPr>
            </w:pPr>
            <w:r>
              <w:rPr>
                <w:sz w:val="18"/>
              </w:rPr>
              <w:t>30 min</w:t>
            </w:r>
          </w:p>
        </w:tc>
      </w:tr>
      <w:tr>
        <w:trPr>
          <w:trHeight w:val="320" w:hRule="exact"/>
        </w:trPr>
        <w:tc>
          <w:tcPr>
            <w:tcW w:w="1861" w:type="dxa"/>
          </w:tcPr>
          <w:p>
            <w:pPr>
              <w:pStyle w:val="TableParagraph"/>
              <w:spacing w:line="202" w:lineRule="exact"/>
              <w:ind w:left="170" w:right="168"/>
              <w:jc w:val="center"/>
              <w:rPr>
                <w:sz w:val="18"/>
              </w:rPr>
            </w:pPr>
            <w:r>
              <w:rPr>
                <w:sz w:val="18"/>
              </w:rPr>
              <w:t>Luz del taller</w:t>
            </w:r>
          </w:p>
        </w:tc>
        <w:tc>
          <w:tcPr>
            <w:tcW w:w="672" w:type="dxa"/>
          </w:tcPr>
          <w:p>
            <w:pPr>
              <w:pStyle w:val="TableParagraph"/>
              <w:spacing w:line="202" w:lineRule="exact"/>
              <w:ind w:left="161" w:right="163"/>
              <w:jc w:val="center"/>
              <w:rPr>
                <w:sz w:val="18"/>
              </w:rPr>
            </w:pPr>
            <w:r>
              <w:rPr>
                <w:sz w:val="18"/>
              </w:rPr>
              <w:t>120</w:t>
            </w:r>
          </w:p>
        </w:tc>
        <w:tc>
          <w:tcPr>
            <w:tcW w:w="808" w:type="dxa"/>
          </w:tcPr>
          <w:p>
            <w:pPr>
              <w:pStyle w:val="TableParagraph"/>
              <w:spacing w:line="202" w:lineRule="exact"/>
              <w:ind w:left="148" w:right="148"/>
              <w:jc w:val="center"/>
              <w:rPr>
                <w:sz w:val="18"/>
              </w:rPr>
            </w:pPr>
            <w:r>
              <w:rPr>
                <w:sz w:val="18"/>
              </w:rPr>
              <w:t>60</w:t>
            </w:r>
          </w:p>
        </w:tc>
        <w:tc>
          <w:tcPr>
            <w:tcW w:w="713" w:type="dxa"/>
          </w:tcPr>
          <w:p>
            <w:pPr>
              <w:pStyle w:val="TableParagraph"/>
              <w:spacing w:line="202" w:lineRule="exact"/>
              <w:ind w:right="2"/>
              <w:jc w:val="center"/>
              <w:rPr>
                <w:sz w:val="18"/>
              </w:rPr>
            </w:pPr>
            <w:r>
              <w:rPr>
                <w:w w:val="99"/>
                <w:sz w:val="18"/>
              </w:rPr>
              <w:t>1</w:t>
            </w:r>
          </w:p>
        </w:tc>
        <w:tc>
          <w:tcPr>
            <w:tcW w:w="748" w:type="dxa"/>
          </w:tcPr>
          <w:p>
            <w:pPr/>
          </w:p>
        </w:tc>
        <w:tc>
          <w:tcPr>
            <w:tcW w:w="1137" w:type="dxa"/>
          </w:tcPr>
          <w:p>
            <w:pPr>
              <w:pStyle w:val="TableParagraph"/>
              <w:spacing w:line="202" w:lineRule="exact"/>
              <w:ind w:left="239" w:right="245"/>
              <w:jc w:val="center"/>
              <w:rPr>
                <w:sz w:val="18"/>
              </w:rPr>
            </w:pPr>
            <w:r>
              <w:rPr>
                <w:sz w:val="18"/>
              </w:rPr>
              <w:t>72 h</w:t>
            </w:r>
          </w:p>
        </w:tc>
      </w:tr>
      <w:tr>
        <w:trPr>
          <w:trHeight w:val="320" w:hRule="exact"/>
        </w:trPr>
        <w:tc>
          <w:tcPr>
            <w:tcW w:w="1861" w:type="dxa"/>
          </w:tcPr>
          <w:p>
            <w:pPr>
              <w:pStyle w:val="TableParagraph"/>
              <w:spacing w:line="202" w:lineRule="exact"/>
              <w:ind w:left="169" w:right="171"/>
              <w:jc w:val="center"/>
              <w:rPr>
                <w:sz w:val="18"/>
              </w:rPr>
            </w:pPr>
            <w:r>
              <w:rPr>
                <w:sz w:val="18"/>
              </w:rPr>
              <w:t>Aspiradora</w:t>
            </w:r>
          </w:p>
        </w:tc>
        <w:tc>
          <w:tcPr>
            <w:tcW w:w="672" w:type="dxa"/>
          </w:tcPr>
          <w:p>
            <w:pPr>
              <w:pStyle w:val="TableParagraph"/>
              <w:spacing w:line="202" w:lineRule="exact"/>
              <w:ind w:left="161" w:right="163"/>
              <w:jc w:val="center"/>
              <w:rPr>
                <w:sz w:val="18"/>
              </w:rPr>
            </w:pPr>
            <w:r>
              <w:rPr>
                <w:sz w:val="18"/>
              </w:rPr>
              <w:t>120</w:t>
            </w:r>
          </w:p>
        </w:tc>
        <w:tc>
          <w:tcPr>
            <w:tcW w:w="808" w:type="dxa"/>
          </w:tcPr>
          <w:p>
            <w:pPr>
              <w:pStyle w:val="TableParagraph"/>
              <w:spacing w:line="202" w:lineRule="exact"/>
              <w:ind w:left="148" w:right="148"/>
              <w:jc w:val="center"/>
              <w:rPr>
                <w:sz w:val="18"/>
              </w:rPr>
            </w:pPr>
            <w:r>
              <w:rPr>
                <w:sz w:val="18"/>
              </w:rPr>
              <w:t>60</w:t>
            </w:r>
          </w:p>
        </w:tc>
        <w:tc>
          <w:tcPr>
            <w:tcW w:w="713" w:type="dxa"/>
          </w:tcPr>
          <w:p>
            <w:pPr>
              <w:pStyle w:val="TableParagraph"/>
              <w:spacing w:line="202" w:lineRule="exact"/>
              <w:ind w:right="226"/>
              <w:jc w:val="right"/>
              <w:rPr>
                <w:sz w:val="18"/>
              </w:rPr>
            </w:pPr>
            <w:r>
              <w:rPr>
                <w:sz w:val="18"/>
              </w:rPr>
              <w:t>6.8</w:t>
            </w:r>
          </w:p>
        </w:tc>
        <w:tc>
          <w:tcPr>
            <w:tcW w:w="748" w:type="dxa"/>
          </w:tcPr>
          <w:p>
            <w:pPr/>
          </w:p>
        </w:tc>
        <w:tc>
          <w:tcPr>
            <w:tcW w:w="1137" w:type="dxa"/>
          </w:tcPr>
          <w:p>
            <w:pPr>
              <w:pStyle w:val="TableParagraph"/>
              <w:spacing w:line="202" w:lineRule="exact"/>
              <w:ind w:left="243" w:right="245"/>
              <w:jc w:val="center"/>
              <w:rPr>
                <w:sz w:val="18"/>
              </w:rPr>
            </w:pPr>
            <w:r>
              <w:rPr>
                <w:sz w:val="18"/>
              </w:rPr>
              <w:t>1 h</w:t>
            </w:r>
          </w:p>
        </w:tc>
      </w:tr>
    </w:tbl>
    <w:p>
      <w:pPr>
        <w:spacing w:line="206" w:lineRule="exact" w:before="0"/>
        <w:ind w:left="1010" w:right="1029" w:firstLine="0"/>
        <w:jc w:val="center"/>
        <w:rPr>
          <w:sz w:val="18"/>
        </w:rPr>
      </w:pPr>
      <w:r>
        <w:rPr>
          <w:sz w:val="18"/>
        </w:rPr>
        <w:t>(Fuente: Elaboración propia, 2015).</w:t>
      </w:r>
    </w:p>
    <w:p>
      <w:pPr>
        <w:pStyle w:val="BodyText"/>
        <w:rPr>
          <w:sz w:val="18"/>
        </w:rPr>
      </w:pPr>
    </w:p>
    <w:p>
      <w:pPr>
        <w:pStyle w:val="BodyText"/>
        <w:rPr>
          <w:sz w:val="18"/>
        </w:rPr>
      </w:pPr>
    </w:p>
    <w:p>
      <w:pPr>
        <w:pStyle w:val="BodyText"/>
        <w:spacing w:before="2"/>
        <w:rPr>
          <w:sz w:val="17"/>
        </w:rPr>
      </w:pPr>
    </w:p>
    <w:p>
      <w:pPr>
        <w:pStyle w:val="Heading2"/>
        <w:numPr>
          <w:ilvl w:val="2"/>
          <w:numId w:val="56"/>
        </w:numPr>
        <w:tabs>
          <w:tab w:pos="897" w:val="left" w:leader="none"/>
        </w:tabs>
        <w:spacing w:line="240" w:lineRule="auto" w:before="0" w:after="0"/>
        <w:ind w:left="897" w:right="0" w:hanging="797"/>
        <w:jc w:val="both"/>
      </w:pPr>
      <w:bookmarkStart w:name="5.2.3.  Fabricación impresa en 3D con PL" w:id="254"/>
      <w:bookmarkEnd w:id="254"/>
      <w:r>
        <w:rPr/>
      </w:r>
      <w:bookmarkStart w:name="_bookmark161" w:id="255"/>
      <w:bookmarkEnd w:id="255"/>
      <w:r>
        <w:rPr/>
        <w:t>F</w:t>
      </w:r>
      <w:r>
        <w:rPr/>
        <w:t>abricación impresa en 3D con</w:t>
      </w:r>
      <w:r>
        <w:rPr>
          <w:spacing w:val="-6"/>
        </w:rPr>
        <w:t> </w:t>
      </w:r>
      <w:r>
        <w:rPr/>
        <w:t>PLA</w:t>
      </w:r>
    </w:p>
    <w:p>
      <w:pPr>
        <w:pStyle w:val="BodyText"/>
        <w:rPr>
          <w:sz w:val="28"/>
        </w:rPr>
      </w:pPr>
    </w:p>
    <w:p>
      <w:pPr>
        <w:pStyle w:val="BodyText"/>
        <w:spacing w:before="4"/>
        <w:rPr>
          <w:sz w:val="22"/>
        </w:rPr>
      </w:pPr>
    </w:p>
    <w:p>
      <w:pPr>
        <w:pStyle w:val="BodyText"/>
        <w:spacing w:line="360" w:lineRule="auto"/>
        <w:ind w:left="100" w:right="114"/>
        <w:jc w:val="both"/>
      </w:pPr>
      <w:r>
        <w:rPr/>
        <w:t>El proceso de una pieza de impresión 3D consiste en diseñarla y dibujarla en software de modelado CAD, guardarla en formato STL para mandarse imprimir en el material deseado, ya impresa se puede desprender el material de soporte, ver </w:t>
      </w:r>
      <w:hyperlink w:history="true" w:anchor="_bookmark162">
        <w:r>
          <w:rPr/>
          <w:t>Tabla 5.6</w:t>
        </w:r>
      </w:hyperlink>
    </w:p>
    <w:p>
      <w:pPr>
        <w:pStyle w:val="BodyText"/>
      </w:pPr>
    </w:p>
    <w:p>
      <w:pPr>
        <w:spacing w:before="138"/>
        <w:ind w:left="3173" w:right="235" w:firstLine="0"/>
        <w:jc w:val="left"/>
        <w:rPr>
          <w:sz w:val="18"/>
        </w:rPr>
      </w:pPr>
      <w:bookmarkStart w:name="_bookmark162" w:id="256"/>
      <w:bookmarkEnd w:id="256"/>
      <w:r>
        <w:rPr/>
      </w:r>
      <w:r>
        <w:rPr>
          <w:sz w:val="18"/>
        </w:rPr>
        <w:t>Tabla 5.6. Proceso de impresión 3D.</w:t>
      </w:r>
    </w:p>
    <w:tbl>
      <w:tblPr>
        <w:tblW w:w="0" w:type="auto"/>
        <w:jc w:val="left"/>
        <w:tblInd w:w="2161"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665"/>
        <w:gridCol w:w="1844"/>
      </w:tblGrid>
      <w:tr>
        <w:trPr>
          <w:trHeight w:val="320" w:hRule="exact"/>
        </w:trPr>
        <w:tc>
          <w:tcPr>
            <w:tcW w:w="2665" w:type="dxa"/>
          </w:tcPr>
          <w:p>
            <w:pPr>
              <w:pStyle w:val="TableParagraph"/>
              <w:spacing w:line="206" w:lineRule="exact"/>
              <w:ind w:right="990"/>
              <w:jc w:val="right"/>
              <w:rPr>
                <w:sz w:val="18"/>
              </w:rPr>
            </w:pPr>
            <w:r>
              <w:rPr>
                <w:sz w:val="18"/>
              </w:rPr>
              <w:t>Proceso</w:t>
            </w:r>
          </w:p>
        </w:tc>
        <w:tc>
          <w:tcPr>
            <w:tcW w:w="1844" w:type="dxa"/>
          </w:tcPr>
          <w:p>
            <w:pPr>
              <w:pStyle w:val="TableParagraph"/>
              <w:spacing w:line="206" w:lineRule="exact"/>
              <w:ind w:left="546" w:right="546"/>
              <w:jc w:val="center"/>
              <w:rPr>
                <w:sz w:val="18"/>
              </w:rPr>
            </w:pPr>
            <w:r>
              <w:rPr>
                <w:sz w:val="18"/>
              </w:rPr>
              <w:t>Tiempo</w:t>
            </w:r>
          </w:p>
        </w:tc>
      </w:tr>
      <w:tr>
        <w:trPr>
          <w:trHeight w:val="633" w:hRule="exact"/>
        </w:trPr>
        <w:tc>
          <w:tcPr>
            <w:tcW w:w="2665" w:type="dxa"/>
          </w:tcPr>
          <w:p>
            <w:pPr>
              <w:pStyle w:val="TableParagraph"/>
              <w:spacing w:line="206" w:lineRule="exact"/>
              <w:ind w:left="544" w:right="539"/>
              <w:jc w:val="center"/>
              <w:rPr>
                <w:sz w:val="18"/>
              </w:rPr>
            </w:pPr>
            <w:r>
              <w:rPr>
                <w:sz w:val="18"/>
              </w:rPr>
              <w:t>Paso 1.</w:t>
            </w:r>
          </w:p>
          <w:p>
            <w:pPr>
              <w:pStyle w:val="TableParagraph"/>
              <w:spacing w:before="105"/>
              <w:ind w:left="546" w:right="539"/>
              <w:jc w:val="center"/>
              <w:rPr>
                <w:sz w:val="18"/>
              </w:rPr>
            </w:pPr>
            <w:r>
              <w:rPr>
                <w:sz w:val="18"/>
              </w:rPr>
              <w:t>Diseño del escultor</w:t>
            </w:r>
          </w:p>
        </w:tc>
        <w:tc>
          <w:tcPr>
            <w:tcW w:w="1844" w:type="dxa"/>
          </w:tcPr>
          <w:p>
            <w:pPr>
              <w:pStyle w:val="TableParagraph"/>
              <w:spacing w:line="206" w:lineRule="exact"/>
              <w:ind w:left="548" w:right="546"/>
              <w:jc w:val="center"/>
              <w:rPr>
                <w:sz w:val="18"/>
              </w:rPr>
            </w:pPr>
            <w:r>
              <w:rPr>
                <w:sz w:val="18"/>
              </w:rPr>
              <w:t>10 horas</w:t>
            </w:r>
          </w:p>
        </w:tc>
      </w:tr>
      <w:tr>
        <w:trPr>
          <w:trHeight w:val="632" w:hRule="exact"/>
        </w:trPr>
        <w:tc>
          <w:tcPr>
            <w:tcW w:w="2665" w:type="dxa"/>
          </w:tcPr>
          <w:p>
            <w:pPr>
              <w:pStyle w:val="TableParagraph"/>
              <w:spacing w:line="206" w:lineRule="exact"/>
              <w:ind w:left="544" w:right="539"/>
              <w:jc w:val="center"/>
              <w:rPr>
                <w:sz w:val="18"/>
              </w:rPr>
            </w:pPr>
            <w:r>
              <w:rPr>
                <w:sz w:val="18"/>
              </w:rPr>
              <w:t>Paso 2.</w:t>
            </w:r>
          </w:p>
          <w:p>
            <w:pPr>
              <w:pStyle w:val="TableParagraph"/>
              <w:spacing w:before="101"/>
              <w:ind w:left="539" w:right="539"/>
              <w:jc w:val="center"/>
              <w:rPr>
                <w:sz w:val="18"/>
              </w:rPr>
            </w:pPr>
            <w:r>
              <w:rPr>
                <w:sz w:val="18"/>
              </w:rPr>
              <w:t>Dibujo digital</w:t>
            </w:r>
          </w:p>
        </w:tc>
        <w:tc>
          <w:tcPr>
            <w:tcW w:w="1844" w:type="dxa"/>
          </w:tcPr>
          <w:p>
            <w:pPr>
              <w:pStyle w:val="TableParagraph"/>
              <w:spacing w:line="206" w:lineRule="exact"/>
              <w:ind w:left="548" w:right="546"/>
              <w:jc w:val="center"/>
              <w:rPr>
                <w:sz w:val="18"/>
              </w:rPr>
            </w:pPr>
            <w:r>
              <w:rPr>
                <w:sz w:val="18"/>
              </w:rPr>
              <w:t>10 horas</w:t>
            </w:r>
          </w:p>
        </w:tc>
      </w:tr>
      <w:tr>
        <w:trPr>
          <w:trHeight w:val="316" w:hRule="exact"/>
        </w:trPr>
        <w:tc>
          <w:tcPr>
            <w:tcW w:w="2665" w:type="dxa"/>
          </w:tcPr>
          <w:p>
            <w:pPr>
              <w:pStyle w:val="TableParagraph"/>
              <w:spacing w:line="202" w:lineRule="exact"/>
              <w:ind w:right="1016"/>
              <w:jc w:val="right"/>
              <w:rPr>
                <w:sz w:val="18"/>
              </w:rPr>
            </w:pPr>
            <w:r>
              <w:rPr>
                <w:sz w:val="18"/>
              </w:rPr>
              <w:t>Paso 3.</w:t>
            </w:r>
          </w:p>
        </w:tc>
        <w:tc>
          <w:tcPr>
            <w:tcW w:w="1844" w:type="dxa"/>
          </w:tcPr>
          <w:p>
            <w:pPr>
              <w:pStyle w:val="TableParagraph"/>
              <w:spacing w:line="202" w:lineRule="exact"/>
              <w:ind w:left="545" w:right="546"/>
              <w:jc w:val="center"/>
              <w:rPr>
                <w:sz w:val="18"/>
              </w:rPr>
            </w:pPr>
            <w:r>
              <w:rPr>
                <w:sz w:val="18"/>
              </w:rPr>
              <w:t>14 h</w:t>
            </w:r>
          </w:p>
        </w:tc>
      </w:tr>
    </w:tbl>
    <w:p>
      <w:pPr>
        <w:spacing w:after="0" w:line="202" w:lineRule="exact"/>
        <w:jc w:val="center"/>
        <w:rPr>
          <w:sz w:val="18"/>
        </w:rPr>
        <w:sectPr>
          <w:pgSz w:w="12240" w:h="15840"/>
          <w:pgMar w:header="0" w:footer="1031" w:top="1420" w:bottom="1220" w:left="1600" w:right="1580"/>
        </w:sectPr>
      </w:pPr>
    </w:p>
    <w:tbl>
      <w:tblPr>
        <w:tblW w:w="0" w:type="auto"/>
        <w:jc w:val="left"/>
        <w:tblInd w:w="2161"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665"/>
        <w:gridCol w:w="1844"/>
      </w:tblGrid>
      <w:tr>
        <w:trPr>
          <w:trHeight w:val="324" w:hRule="exact"/>
        </w:trPr>
        <w:tc>
          <w:tcPr>
            <w:tcW w:w="2665" w:type="dxa"/>
          </w:tcPr>
          <w:p>
            <w:pPr>
              <w:pStyle w:val="TableParagraph"/>
              <w:spacing w:line="203" w:lineRule="exact"/>
              <w:ind w:left="539" w:right="539"/>
              <w:jc w:val="center"/>
              <w:rPr>
                <w:sz w:val="18"/>
              </w:rPr>
            </w:pPr>
            <w:r>
              <w:rPr>
                <w:sz w:val="18"/>
              </w:rPr>
              <w:t>Impresión</w:t>
            </w:r>
          </w:p>
        </w:tc>
        <w:tc>
          <w:tcPr>
            <w:tcW w:w="1844" w:type="dxa"/>
          </w:tcPr>
          <w:p>
            <w:pPr/>
          </w:p>
        </w:tc>
      </w:tr>
      <w:tr>
        <w:trPr>
          <w:trHeight w:val="628" w:hRule="exact"/>
        </w:trPr>
        <w:tc>
          <w:tcPr>
            <w:tcW w:w="2665" w:type="dxa"/>
          </w:tcPr>
          <w:p>
            <w:pPr>
              <w:pStyle w:val="TableParagraph"/>
              <w:spacing w:line="198" w:lineRule="exact"/>
              <w:ind w:left="544" w:right="539"/>
              <w:jc w:val="center"/>
              <w:rPr>
                <w:sz w:val="18"/>
              </w:rPr>
            </w:pPr>
            <w:r>
              <w:rPr>
                <w:sz w:val="18"/>
              </w:rPr>
              <w:t>Paso 4.</w:t>
            </w:r>
          </w:p>
          <w:p>
            <w:pPr>
              <w:pStyle w:val="TableParagraph"/>
              <w:spacing w:before="105"/>
              <w:ind w:left="546" w:right="539"/>
              <w:jc w:val="center"/>
              <w:rPr>
                <w:sz w:val="18"/>
              </w:rPr>
            </w:pPr>
            <w:r>
              <w:rPr>
                <w:sz w:val="18"/>
              </w:rPr>
              <w:t>Eliminar soporte</w:t>
            </w:r>
          </w:p>
        </w:tc>
        <w:tc>
          <w:tcPr>
            <w:tcW w:w="1844" w:type="dxa"/>
          </w:tcPr>
          <w:p>
            <w:pPr>
              <w:pStyle w:val="TableParagraph"/>
              <w:spacing w:line="198" w:lineRule="exact"/>
              <w:ind w:left="545" w:right="546"/>
              <w:jc w:val="center"/>
              <w:rPr>
                <w:sz w:val="18"/>
              </w:rPr>
            </w:pPr>
            <w:r>
              <w:rPr>
                <w:sz w:val="18"/>
              </w:rPr>
              <w:t>3h</w:t>
            </w:r>
          </w:p>
        </w:tc>
      </w:tr>
    </w:tbl>
    <w:p>
      <w:pPr>
        <w:spacing w:line="202" w:lineRule="exact" w:before="0"/>
        <w:ind w:left="1088" w:right="1089" w:firstLine="0"/>
        <w:jc w:val="center"/>
        <w:rPr>
          <w:sz w:val="18"/>
        </w:rPr>
      </w:pPr>
      <w:r>
        <w:rPr>
          <w:sz w:val="18"/>
        </w:rPr>
        <w:t>(Fuente: Elaboración propia, 2015).</w:t>
      </w:r>
    </w:p>
    <w:p>
      <w:pPr>
        <w:pStyle w:val="BodyText"/>
        <w:rPr>
          <w:sz w:val="18"/>
        </w:rPr>
      </w:pPr>
    </w:p>
    <w:p>
      <w:pPr>
        <w:pStyle w:val="BodyText"/>
        <w:spacing w:before="3"/>
        <w:rPr>
          <w:sz w:val="18"/>
        </w:rPr>
      </w:pPr>
    </w:p>
    <w:p>
      <w:pPr>
        <w:pStyle w:val="BodyText"/>
        <w:spacing w:line="362" w:lineRule="auto"/>
        <w:ind w:left="100"/>
      </w:pPr>
      <w:r>
        <w:rPr/>
        <w:t>En la siguiente tabla se muestran datos de la impresora, material de impresión, volumen, cantidad, tiempo de impresión y el costo de un cartucho, ver </w:t>
      </w:r>
      <w:hyperlink w:history="true" w:anchor="_bookmark163">
        <w:r>
          <w:rPr/>
          <w:t>Tabla 5.7</w:t>
        </w:r>
      </w:hyperlink>
      <w:r>
        <w:rPr/>
        <w:t>.</w:t>
      </w:r>
    </w:p>
    <w:p>
      <w:pPr>
        <w:pStyle w:val="BodyText"/>
      </w:pPr>
    </w:p>
    <w:p>
      <w:pPr>
        <w:spacing w:line="204" w:lineRule="exact" w:before="141"/>
        <w:ind w:left="2321" w:right="1222" w:hanging="857"/>
        <w:jc w:val="left"/>
        <w:rPr>
          <w:sz w:val="18"/>
        </w:rPr>
      </w:pPr>
      <w:r>
        <w:rPr/>
        <w:pict>
          <v:shape style="position:absolute;margin-left:182.649994pt;margin-top:29.609999pt;width:247.1pt;height:270.9pt;mso-position-horizontal-relative:page;mso-position-vertical-relative:paragraph;z-index:2272" type="#_x0000_t202" filled="false" stroked="false">
            <v:textbox inset="0,0,0,0">
              <w:txbxContent>
                <w:tbl>
                  <w:tblPr>
                    <w:tblW w:w="0" w:type="auto"/>
                    <w:jc w:val="left"/>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681"/>
                    <w:gridCol w:w="2249"/>
                  </w:tblGrid>
                  <w:tr>
                    <w:trPr>
                      <w:trHeight w:val="321" w:hRule="exact"/>
                    </w:trPr>
                    <w:tc>
                      <w:tcPr>
                        <w:tcW w:w="2681" w:type="dxa"/>
                      </w:tcPr>
                      <w:p>
                        <w:pPr>
                          <w:pStyle w:val="TableParagraph"/>
                          <w:spacing w:line="206" w:lineRule="exact"/>
                          <w:ind w:left="239" w:right="239"/>
                          <w:jc w:val="center"/>
                          <w:rPr>
                            <w:sz w:val="18"/>
                          </w:rPr>
                        </w:pPr>
                        <w:r>
                          <w:rPr>
                            <w:sz w:val="18"/>
                          </w:rPr>
                          <w:t>Proceso</w:t>
                        </w:r>
                      </w:p>
                    </w:tc>
                    <w:tc>
                      <w:tcPr>
                        <w:tcW w:w="2249" w:type="dxa"/>
                      </w:tcPr>
                      <w:p>
                        <w:pPr>
                          <w:pStyle w:val="TableParagraph"/>
                          <w:spacing w:line="206" w:lineRule="exact"/>
                          <w:ind w:left="255" w:right="260"/>
                          <w:jc w:val="center"/>
                          <w:rPr>
                            <w:sz w:val="18"/>
                          </w:rPr>
                        </w:pPr>
                        <w:r>
                          <w:rPr>
                            <w:sz w:val="18"/>
                          </w:rPr>
                          <w:t>FDM</w:t>
                        </w:r>
                      </w:p>
                    </w:tc>
                  </w:tr>
                  <w:tr>
                    <w:trPr>
                      <w:trHeight w:val="324" w:hRule="exact"/>
                    </w:trPr>
                    <w:tc>
                      <w:tcPr>
                        <w:tcW w:w="2681" w:type="dxa"/>
                      </w:tcPr>
                      <w:p>
                        <w:pPr>
                          <w:pStyle w:val="TableParagraph"/>
                          <w:spacing w:line="206" w:lineRule="exact"/>
                          <w:ind w:left="242" w:right="239"/>
                          <w:jc w:val="center"/>
                          <w:rPr>
                            <w:sz w:val="18"/>
                          </w:rPr>
                        </w:pPr>
                        <w:r>
                          <w:rPr>
                            <w:sz w:val="18"/>
                          </w:rPr>
                          <w:t>Marca de impresora</w:t>
                        </w:r>
                      </w:p>
                    </w:tc>
                    <w:tc>
                      <w:tcPr>
                        <w:tcW w:w="2249" w:type="dxa"/>
                      </w:tcPr>
                      <w:p>
                        <w:pPr>
                          <w:pStyle w:val="TableParagraph"/>
                          <w:spacing w:line="206" w:lineRule="exact"/>
                          <w:ind w:left="256" w:right="260"/>
                          <w:jc w:val="center"/>
                          <w:rPr>
                            <w:sz w:val="18"/>
                          </w:rPr>
                        </w:pPr>
                        <w:r>
                          <w:rPr>
                            <w:sz w:val="18"/>
                          </w:rPr>
                          <w:t>Rep Rap BCN</w:t>
                        </w:r>
                      </w:p>
                    </w:tc>
                  </w:tr>
                  <w:tr>
                    <w:trPr>
                      <w:trHeight w:val="320" w:hRule="exact"/>
                    </w:trPr>
                    <w:tc>
                      <w:tcPr>
                        <w:tcW w:w="2681" w:type="dxa"/>
                      </w:tcPr>
                      <w:p>
                        <w:pPr>
                          <w:pStyle w:val="TableParagraph"/>
                          <w:spacing w:line="202" w:lineRule="exact"/>
                          <w:ind w:left="238" w:right="239"/>
                          <w:jc w:val="center"/>
                          <w:rPr>
                            <w:sz w:val="18"/>
                          </w:rPr>
                        </w:pPr>
                        <w:r>
                          <w:rPr>
                            <w:sz w:val="18"/>
                          </w:rPr>
                          <w:t>Modelo</w:t>
                        </w:r>
                      </w:p>
                    </w:tc>
                    <w:tc>
                      <w:tcPr>
                        <w:tcW w:w="2249" w:type="dxa"/>
                      </w:tcPr>
                      <w:p>
                        <w:pPr>
                          <w:pStyle w:val="TableParagraph"/>
                          <w:spacing w:line="202" w:lineRule="exact"/>
                          <w:ind w:left="256" w:right="260"/>
                          <w:jc w:val="center"/>
                          <w:rPr>
                            <w:sz w:val="18"/>
                          </w:rPr>
                        </w:pPr>
                        <w:r>
                          <w:rPr>
                            <w:sz w:val="18"/>
                          </w:rPr>
                          <w:t>BCN3D+</w:t>
                        </w:r>
                      </w:p>
                    </w:tc>
                  </w:tr>
                  <w:tr>
                    <w:trPr>
                      <w:trHeight w:val="320" w:hRule="exact"/>
                    </w:trPr>
                    <w:tc>
                      <w:tcPr>
                        <w:tcW w:w="2681" w:type="dxa"/>
                      </w:tcPr>
                      <w:p>
                        <w:pPr>
                          <w:pStyle w:val="TableParagraph"/>
                          <w:spacing w:line="202" w:lineRule="exact"/>
                          <w:ind w:left="242" w:right="239"/>
                          <w:jc w:val="center"/>
                          <w:rPr>
                            <w:sz w:val="18"/>
                          </w:rPr>
                        </w:pPr>
                        <w:r>
                          <w:rPr>
                            <w:sz w:val="18"/>
                          </w:rPr>
                          <w:t>Soporte de archivo</w:t>
                        </w:r>
                      </w:p>
                    </w:tc>
                    <w:tc>
                      <w:tcPr>
                        <w:tcW w:w="2249" w:type="dxa"/>
                      </w:tcPr>
                      <w:p>
                        <w:pPr>
                          <w:pStyle w:val="TableParagraph"/>
                          <w:spacing w:line="202" w:lineRule="exact"/>
                          <w:ind w:left="259" w:right="260"/>
                          <w:jc w:val="center"/>
                          <w:rPr>
                            <w:sz w:val="18"/>
                          </w:rPr>
                        </w:pPr>
                        <w:r>
                          <w:rPr>
                            <w:sz w:val="18"/>
                          </w:rPr>
                          <w:t>STL</w:t>
                        </w:r>
                      </w:p>
                    </w:tc>
                  </w:tr>
                  <w:tr>
                    <w:trPr>
                      <w:trHeight w:val="940" w:hRule="exact"/>
                    </w:trPr>
                    <w:tc>
                      <w:tcPr>
                        <w:tcW w:w="2681" w:type="dxa"/>
                      </w:tcPr>
                      <w:p>
                        <w:pPr>
                          <w:pStyle w:val="TableParagraph"/>
                          <w:spacing w:before="8"/>
                          <w:rPr>
                            <w:sz w:val="26"/>
                          </w:rPr>
                        </w:pPr>
                      </w:p>
                      <w:p>
                        <w:pPr>
                          <w:pStyle w:val="TableParagraph"/>
                          <w:ind w:left="242" w:right="239"/>
                          <w:jc w:val="center"/>
                          <w:rPr>
                            <w:sz w:val="18"/>
                          </w:rPr>
                        </w:pPr>
                        <w:r>
                          <w:rPr>
                            <w:sz w:val="18"/>
                          </w:rPr>
                          <w:t>Alimentación eléctrica</w:t>
                        </w:r>
                      </w:p>
                    </w:tc>
                    <w:tc>
                      <w:tcPr>
                        <w:tcW w:w="2249" w:type="dxa"/>
                      </w:tcPr>
                      <w:p>
                        <w:pPr>
                          <w:pStyle w:val="TableParagraph"/>
                          <w:spacing w:line="202" w:lineRule="exact"/>
                          <w:ind w:left="260" w:right="260"/>
                          <w:jc w:val="center"/>
                          <w:rPr>
                            <w:sz w:val="18"/>
                          </w:rPr>
                        </w:pPr>
                        <w:r>
                          <w:rPr>
                            <w:sz w:val="18"/>
                          </w:rPr>
                          <w:t>AC 100–240 V,</w:t>
                        </w:r>
                      </w:p>
                      <w:p>
                        <w:pPr>
                          <w:pStyle w:val="TableParagraph"/>
                          <w:spacing w:line="362" w:lineRule="auto" w:before="105"/>
                          <w:ind w:left="732" w:right="721" w:firstLine="40"/>
                          <w:jc w:val="center"/>
                          <w:rPr>
                            <w:sz w:val="18"/>
                          </w:rPr>
                        </w:pPr>
                        <w:r>
                          <w:rPr>
                            <w:sz w:val="18"/>
                          </w:rPr>
                          <w:t>~4 amps, 50–60 Hz</w:t>
                        </w:r>
                      </w:p>
                    </w:tc>
                  </w:tr>
                  <w:tr>
                    <w:trPr>
                      <w:trHeight w:val="320" w:hRule="exact"/>
                    </w:trPr>
                    <w:tc>
                      <w:tcPr>
                        <w:tcW w:w="2681" w:type="dxa"/>
                      </w:tcPr>
                      <w:p>
                        <w:pPr>
                          <w:pStyle w:val="TableParagraph"/>
                          <w:spacing w:line="207" w:lineRule="exact"/>
                          <w:ind w:left="239" w:right="239"/>
                          <w:jc w:val="center"/>
                          <w:rPr>
                            <w:sz w:val="18"/>
                          </w:rPr>
                        </w:pPr>
                        <w:r>
                          <w:rPr>
                            <w:sz w:val="18"/>
                          </w:rPr>
                          <w:t>Consumo eléctrico</w:t>
                        </w:r>
                      </w:p>
                    </w:tc>
                    <w:tc>
                      <w:tcPr>
                        <w:tcW w:w="2249" w:type="dxa"/>
                      </w:tcPr>
                      <w:p>
                        <w:pPr>
                          <w:pStyle w:val="TableParagraph"/>
                          <w:spacing w:line="207" w:lineRule="exact"/>
                          <w:ind w:left="259" w:right="260"/>
                          <w:jc w:val="center"/>
                          <w:rPr>
                            <w:sz w:val="18"/>
                          </w:rPr>
                        </w:pPr>
                        <w:r>
                          <w:rPr>
                            <w:sz w:val="18"/>
                          </w:rPr>
                          <w:t>200 W</w:t>
                        </w:r>
                      </w:p>
                    </w:tc>
                  </w:tr>
                  <w:tr>
                    <w:trPr>
                      <w:trHeight w:val="320" w:hRule="exact"/>
                    </w:trPr>
                    <w:tc>
                      <w:tcPr>
                        <w:tcW w:w="2681" w:type="dxa"/>
                      </w:tcPr>
                      <w:p>
                        <w:pPr>
                          <w:pStyle w:val="TableParagraph"/>
                          <w:spacing w:line="206" w:lineRule="exact"/>
                          <w:ind w:left="242" w:right="239"/>
                          <w:jc w:val="center"/>
                          <w:rPr>
                            <w:sz w:val="18"/>
                          </w:rPr>
                        </w:pPr>
                        <w:r>
                          <w:rPr>
                            <w:sz w:val="18"/>
                          </w:rPr>
                          <w:t>Material de cartucho</w:t>
                        </w:r>
                      </w:p>
                    </w:tc>
                    <w:tc>
                      <w:tcPr>
                        <w:tcW w:w="2249" w:type="dxa"/>
                      </w:tcPr>
                      <w:p>
                        <w:pPr>
                          <w:pStyle w:val="TableParagraph"/>
                          <w:spacing w:line="206" w:lineRule="exact"/>
                          <w:ind w:left="258" w:right="260"/>
                          <w:jc w:val="center"/>
                          <w:rPr>
                            <w:sz w:val="18"/>
                          </w:rPr>
                        </w:pPr>
                        <w:r>
                          <w:rPr>
                            <w:sz w:val="18"/>
                          </w:rPr>
                          <w:t>PLA</w:t>
                        </w:r>
                      </w:p>
                    </w:tc>
                  </w:tr>
                  <w:tr>
                    <w:trPr>
                      <w:trHeight w:val="320" w:hRule="exact"/>
                    </w:trPr>
                    <w:tc>
                      <w:tcPr>
                        <w:tcW w:w="2681" w:type="dxa"/>
                      </w:tcPr>
                      <w:p>
                        <w:pPr>
                          <w:pStyle w:val="TableParagraph"/>
                          <w:spacing w:line="206" w:lineRule="exact"/>
                          <w:ind w:left="242" w:right="239"/>
                          <w:jc w:val="center"/>
                          <w:rPr>
                            <w:sz w:val="18"/>
                          </w:rPr>
                        </w:pPr>
                        <w:r>
                          <w:rPr>
                            <w:sz w:val="18"/>
                          </w:rPr>
                          <w:t>Volumen de impresión</w:t>
                        </w:r>
                      </w:p>
                    </w:tc>
                    <w:tc>
                      <w:tcPr>
                        <w:tcW w:w="2249" w:type="dxa"/>
                      </w:tcPr>
                      <w:p>
                        <w:pPr>
                          <w:pStyle w:val="TableParagraph"/>
                          <w:spacing w:line="206" w:lineRule="exact"/>
                          <w:ind w:left="260" w:right="260"/>
                          <w:jc w:val="center"/>
                          <w:rPr>
                            <w:sz w:val="18"/>
                          </w:rPr>
                        </w:pPr>
                        <w:r>
                          <w:rPr>
                            <w:sz w:val="18"/>
                          </w:rPr>
                          <w:t>252 x 200 x 200 mm.</w:t>
                        </w:r>
                      </w:p>
                    </w:tc>
                  </w:tr>
                  <w:tr>
                    <w:trPr>
                      <w:trHeight w:val="944" w:hRule="exact"/>
                    </w:trPr>
                    <w:tc>
                      <w:tcPr>
                        <w:tcW w:w="2681" w:type="dxa"/>
                      </w:tcPr>
                      <w:p>
                        <w:pPr>
                          <w:pStyle w:val="TableParagraph"/>
                          <w:spacing w:line="206" w:lineRule="exact"/>
                          <w:ind w:left="242" w:right="239"/>
                          <w:jc w:val="center"/>
                          <w:rPr>
                            <w:sz w:val="18"/>
                          </w:rPr>
                        </w:pPr>
                        <w:r>
                          <w:rPr>
                            <w:sz w:val="18"/>
                          </w:rPr>
                          <w:t>Resolución de posicionado</w:t>
                        </w:r>
                      </w:p>
                    </w:tc>
                    <w:tc>
                      <w:tcPr>
                        <w:tcW w:w="2249" w:type="dxa"/>
                      </w:tcPr>
                      <w:p>
                        <w:pPr>
                          <w:pStyle w:val="TableParagraph"/>
                          <w:spacing w:line="360" w:lineRule="auto"/>
                          <w:ind w:left="544" w:right="541"/>
                          <w:jc w:val="both"/>
                          <w:rPr>
                            <w:sz w:val="18"/>
                          </w:rPr>
                        </w:pPr>
                        <w:r>
                          <w:rPr>
                            <w:sz w:val="18"/>
                          </w:rPr>
                          <w:t>Eje x: 0,05mm Eje y: 0,05mm Eje z: 0,1mm</w:t>
                        </w:r>
                      </w:p>
                    </w:tc>
                  </w:tr>
                  <w:tr>
                    <w:trPr>
                      <w:trHeight w:val="321" w:hRule="exact"/>
                    </w:trPr>
                    <w:tc>
                      <w:tcPr>
                        <w:tcW w:w="2681" w:type="dxa"/>
                      </w:tcPr>
                      <w:p>
                        <w:pPr>
                          <w:pStyle w:val="TableParagraph"/>
                          <w:spacing w:line="203" w:lineRule="exact"/>
                          <w:ind w:left="239" w:right="239"/>
                          <w:jc w:val="center"/>
                          <w:rPr>
                            <w:sz w:val="18"/>
                          </w:rPr>
                        </w:pPr>
                        <w:r>
                          <w:rPr>
                            <w:sz w:val="18"/>
                          </w:rPr>
                          <w:t>Filamento</w:t>
                        </w:r>
                      </w:p>
                    </w:tc>
                    <w:tc>
                      <w:tcPr>
                        <w:tcW w:w="2249" w:type="dxa"/>
                      </w:tcPr>
                      <w:p>
                        <w:pPr>
                          <w:pStyle w:val="TableParagraph"/>
                          <w:spacing w:line="203" w:lineRule="exact"/>
                          <w:ind w:left="716"/>
                          <w:rPr>
                            <w:sz w:val="12"/>
                          </w:rPr>
                        </w:pPr>
                        <w:r>
                          <w:rPr>
                            <w:sz w:val="18"/>
                          </w:rPr>
                          <w:t>30.94 cm</w:t>
                        </w:r>
                        <w:r>
                          <w:rPr>
                            <w:position w:val="9"/>
                            <w:sz w:val="12"/>
                          </w:rPr>
                          <w:t>3</w:t>
                        </w:r>
                      </w:p>
                    </w:tc>
                  </w:tr>
                  <w:tr>
                    <w:trPr>
                      <w:trHeight w:val="320" w:hRule="exact"/>
                    </w:trPr>
                    <w:tc>
                      <w:tcPr>
                        <w:tcW w:w="2681" w:type="dxa"/>
                      </w:tcPr>
                      <w:p>
                        <w:pPr>
                          <w:pStyle w:val="TableParagraph"/>
                          <w:spacing w:line="202" w:lineRule="exact"/>
                          <w:ind w:left="238" w:right="239"/>
                          <w:jc w:val="center"/>
                          <w:rPr>
                            <w:sz w:val="18"/>
                          </w:rPr>
                        </w:pPr>
                        <w:r>
                          <w:rPr>
                            <w:sz w:val="18"/>
                          </w:rPr>
                          <w:t>Peso</w:t>
                        </w:r>
                      </w:p>
                    </w:tc>
                    <w:tc>
                      <w:tcPr>
                        <w:tcW w:w="2249" w:type="dxa"/>
                      </w:tcPr>
                      <w:p>
                        <w:pPr>
                          <w:pStyle w:val="TableParagraph"/>
                          <w:spacing w:line="202" w:lineRule="exact"/>
                          <w:ind w:left="840"/>
                          <w:rPr>
                            <w:sz w:val="18"/>
                          </w:rPr>
                        </w:pPr>
                        <w:r>
                          <w:rPr>
                            <w:sz w:val="18"/>
                          </w:rPr>
                          <w:t>34.7 gr</w:t>
                        </w:r>
                      </w:p>
                    </w:tc>
                  </w:tr>
                  <w:tr>
                    <w:trPr>
                      <w:trHeight w:val="320" w:hRule="exact"/>
                    </w:trPr>
                    <w:tc>
                      <w:tcPr>
                        <w:tcW w:w="2681" w:type="dxa"/>
                      </w:tcPr>
                      <w:p>
                        <w:pPr>
                          <w:pStyle w:val="TableParagraph"/>
                          <w:spacing w:line="206" w:lineRule="exact"/>
                          <w:ind w:left="242" w:right="239"/>
                          <w:jc w:val="center"/>
                          <w:rPr>
                            <w:sz w:val="18"/>
                          </w:rPr>
                        </w:pPr>
                        <w:r>
                          <w:rPr>
                            <w:sz w:val="18"/>
                          </w:rPr>
                          <w:t>Tiempo de impresión</w:t>
                        </w:r>
                      </w:p>
                    </w:tc>
                    <w:tc>
                      <w:tcPr>
                        <w:tcW w:w="2249" w:type="dxa"/>
                      </w:tcPr>
                      <w:p>
                        <w:pPr>
                          <w:pStyle w:val="TableParagraph"/>
                          <w:spacing w:line="206" w:lineRule="exact"/>
                          <w:ind w:left="260" w:right="260"/>
                          <w:jc w:val="center"/>
                          <w:rPr>
                            <w:sz w:val="18"/>
                          </w:rPr>
                        </w:pPr>
                        <w:r>
                          <w:rPr>
                            <w:sz w:val="18"/>
                          </w:rPr>
                          <w:t>14 h</w:t>
                        </w:r>
                      </w:p>
                    </w:tc>
                  </w:tr>
                  <w:tr>
                    <w:trPr>
                      <w:trHeight w:val="320" w:hRule="exact"/>
                    </w:trPr>
                    <w:tc>
                      <w:tcPr>
                        <w:tcW w:w="2681" w:type="dxa"/>
                      </w:tcPr>
                      <w:p>
                        <w:pPr>
                          <w:pStyle w:val="TableParagraph"/>
                          <w:spacing w:line="206" w:lineRule="exact"/>
                          <w:ind w:left="238" w:right="239"/>
                          <w:jc w:val="center"/>
                          <w:rPr>
                            <w:sz w:val="18"/>
                          </w:rPr>
                        </w:pPr>
                        <w:r>
                          <w:rPr>
                            <w:sz w:val="18"/>
                          </w:rPr>
                          <w:t>Costo de cartucho</w:t>
                        </w:r>
                      </w:p>
                    </w:tc>
                    <w:tc>
                      <w:tcPr>
                        <w:tcW w:w="2249" w:type="dxa"/>
                      </w:tcPr>
                      <w:p>
                        <w:pPr>
                          <w:pStyle w:val="TableParagraph"/>
                          <w:spacing w:line="206" w:lineRule="exact"/>
                          <w:ind w:left="260" w:right="258"/>
                          <w:jc w:val="center"/>
                          <w:rPr>
                            <w:sz w:val="18"/>
                          </w:rPr>
                        </w:pPr>
                        <w:r>
                          <w:rPr>
                            <w:sz w:val="18"/>
                          </w:rPr>
                          <w:t>E 27.23/ $490°°</w:t>
                        </w:r>
                      </w:p>
                    </w:tc>
                  </w:tr>
                </w:tbl>
                <w:p>
                  <w:pPr>
                    <w:pStyle w:val="BodyText"/>
                  </w:pPr>
                </w:p>
              </w:txbxContent>
            </v:textbox>
            <w10:wrap type="none"/>
          </v:shape>
        </w:pict>
      </w:r>
      <w:bookmarkStart w:name="_bookmark163" w:id="257"/>
      <w:bookmarkEnd w:id="257"/>
      <w:r>
        <w:rPr/>
      </w:r>
      <w:r>
        <w:rPr>
          <w:sz w:val="18"/>
        </w:rPr>
        <w:t>Tabla 5.7. Datos de equipo de impresión 3D RepRap, Facultad de Bellas Artes, Universidad de Barcelona, Taller de modelos y maquetas.</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0"/>
        <w:rPr>
          <w:sz w:val="26"/>
        </w:rPr>
      </w:pPr>
    </w:p>
    <w:p>
      <w:pPr>
        <w:spacing w:before="0"/>
        <w:ind w:left="668" w:right="0" w:firstLine="0"/>
        <w:jc w:val="left"/>
        <w:rPr>
          <w:sz w:val="18"/>
        </w:rPr>
      </w:pPr>
      <w:r>
        <w:rPr>
          <w:sz w:val="18"/>
        </w:rPr>
        <w:t>(Fuente:</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spacing w:before="103"/>
        <w:ind w:left="1087" w:right="1089" w:firstLine="0"/>
        <w:jc w:val="center"/>
        <w:rPr>
          <w:sz w:val="18"/>
        </w:rPr>
      </w:pPr>
      <w:hyperlink r:id="rId200">
        <w:r>
          <w:rPr>
            <w:sz w:val="18"/>
          </w:rPr>
          <w:t>www.bcn3dtechnologies.com,</w:t>
        </w:r>
      </w:hyperlink>
      <w:r>
        <w:rPr>
          <w:sz w:val="18"/>
        </w:rPr>
        <w:t> 2015).</w:t>
      </w:r>
    </w:p>
    <w:p>
      <w:pPr>
        <w:pStyle w:val="BodyText"/>
        <w:rPr>
          <w:sz w:val="18"/>
        </w:rPr>
      </w:pPr>
    </w:p>
    <w:p>
      <w:pPr>
        <w:pStyle w:val="BodyText"/>
        <w:rPr>
          <w:sz w:val="18"/>
        </w:rPr>
      </w:pPr>
    </w:p>
    <w:p>
      <w:pPr>
        <w:pStyle w:val="BodyText"/>
        <w:spacing w:line="362" w:lineRule="auto" w:before="107"/>
        <w:ind w:left="100"/>
      </w:pPr>
      <w:r>
        <w:rPr/>
        <w:t>Es importante considerar que por cartucho de 1 kg se pueden imprimir 18 piezas. Los datos de dicha impresora corresponden a la siguiente imagen, ver </w:t>
      </w:r>
      <w:hyperlink w:history="true" w:anchor="_bookmark164">
        <w:r>
          <w:rPr/>
          <w:t>Figura 5.4</w:t>
        </w:r>
      </w:hyperlink>
    </w:p>
    <w:p>
      <w:pPr>
        <w:spacing w:after="0" w:line="362" w:lineRule="auto"/>
        <w:sectPr>
          <w:pgSz w:w="12240" w:h="15840"/>
          <w:pgMar w:header="0" w:footer="1031" w:top="1420" w:bottom="1220" w:left="1600" w:right="1600"/>
        </w:sectPr>
      </w:pPr>
    </w:p>
    <w:p>
      <w:pPr>
        <w:pStyle w:val="BodyText"/>
        <w:ind w:left="2147"/>
        <w:rPr>
          <w:sz w:val="20"/>
        </w:rPr>
      </w:pPr>
      <w:r>
        <w:rPr>
          <w:sz w:val="20"/>
        </w:rPr>
        <w:drawing>
          <wp:inline distT="0" distB="0" distL="0" distR="0">
            <wp:extent cx="2984795" cy="1990534"/>
            <wp:effectExtent l="0" t="0" r="0" b="0"/>
            <wp:docPr id="249" name="image129.jpeg" descr=""/>
            <wp:cNvGraphicFramePr>
              <a:graphicFrameLocks noChangeAspect="1"/>
            </wp:cNvGraphicFramePr>
            <a:graphic>
              <a:graphicData uri="http://schemas.openxmlformats.org/drawingml/2006/picture">
                <pic:pic>
                  <pic:nvPicPr>
                    <pic:cNvPr id="250" name="image129.jpeg"/>
                    <pic:cNvPicPr/>
                  </pic:nvPicPr>
                  <pic:blipFill>
                    <a:blip r:embed="rId201" cstate="print"/>
                    <a:stretch>
                      <a:fillRect/>
                    </a:stretch>
                  </pic:blipFill>
                  <pic:spPr>
                    <a:xfrm>
                      <a:off x="0" y="0"/>
                      <a:ext cx="2984795" cy="1990534"/>
                    </a:xfrm>
                    <a:prstGeom prst="rect">
                      <a:avLst/>
                    </a:prstGeom>
                  </pic:spPr>
                </pic:pic>
              </a:graphicData>
            </a:graphic>
          </wp:inline>
        </w:drawing>
      </w:r>
      <w:r>
        <w:rPr>
          <w:sz w:val="20"/>
        </w:rPr>
      </w:r>
    </w:p>
    <w:p>
      <w:pPr>
        <w:spacing w:before="125"/>
        <w:ind w:left="1528" w:right="1301" w:firstLine="2"/>
        <w:jc w:val="center"/>
        <w:rPr>
          <w:sz w:val="18"/>
        </w:rPr>
      </w:pPr>
      <w:bookmarkStart w:name="_bookmark164" w:id="258"/>
      <w:bookmarkEnd w:id="258"/>
      <w:r>
        <w:rPr/>
      </w:r>
      <w:r>
        <w:rPr>
          <w:sz w:val="18"/>
        </w:rPr>
        <w:t>Figura 5.4. Impresora 3D, RepRap, modelo BCN3D+ (Fuente: </w:t>
      </w:r>
      <w:hyperlink r:id="rId202">
        <w:r>
          <w:rPr>
            <w:sz w:val="18"/>
          </w:rPr>
          <w:t>http://www.bcn3dtechnologies.com/es/catalog/product/fully-assembled-bcn3d,</w:t>
        </w:r>
      </w:hyperlink>
      <w:r>
        <w:rPr>
          <w:sz w:val="18"/>
        </w:rPr>
        <w:t> consultado en junio 2015).</w:t>
      </w:r>
    </w:p>
    <w:p>
      <w:pPr>
        <w:pStyle w:val="BodyText"/>
        <w:rPr>
          <w:sz w:val="18"/>
        </w:rPr>
      </w:pPr>
    </w:p>
    <w:p>
      <w:pPr>
        <w:pStyle w:val="BodyText"/>
        <w:spacing w:before="2"/>
        <w:rPr>
          <w:sz w:val="18"/>
        </w:rPr>
      </w:pPr>
    </w:p>
    <w:p>
      <w:pPr>
        <w:pStyle w:val="BodyText"/>
        <w:spacing w:line="360" w:lineRule="auto"/>
        <w:ind w:left="100" w:right="104"/>
        <w:jc w:val="both"/>
      </w:pPr>
      <w:r>
        <w:rPr/>
        <w:t>Este modelo BCN3D+ solo cuenta con un extrusor y por ese motivo se debe tener cuidado al retirar el material de soporte </w:t>
      </w:r>
      <w:r>
        <w:rPr>
          <w:spacing w:val="-3"/>
        </w:rPr>
        <w:t>ya </w:t>
      </w:r>
      <w:r>
        <w:rPr/>
        <w:t>que al ser del mismo material y color,  se podría desprender material de la misma pieza. La BM que se imprimió en PLA la podemos ver en la siguiente  </w:t>
      </w:r>
      <w:hyperlink w:history="true" w:anchor="_bookmark165">
        <w:r>
          <w:rPr/>
          <w:t>Figura</w:t>
        </w:r>
        <w:r>
          <w:rPr>
            <w:spacing w:val="-17"/>
          </w:rPr>
          <w:t> </w:t>
        </w:r>
        <w:r>
          <w:rPr/>
          <w:t>5.5</w:t>
        </w:r>
      </w:hyperlink>
      <w:r>
        <w:rPr/>
        <w:t>.</w:t>
      </w:r>
    </w:p>
    <w:p>
      <w:pPr>
        <w:pStyle w:val="BodyText"/>
        <w:rPr>
          <w:sz w:val="20"/>
        </w:rPr>
      </w:pPr>
    </w:p>
    <w:p>
      <w:pPr>
        <w:pStyle w:val="BodyText"/>
        <w:spacing w:before="10"/>
        <w:rPr>
          <w:sz w:val="12"/>
        </w:rPr>
      </w:pPr>
      <w:r>
        <w:rPr/>
        <w:drawing>
          <wp:anchor distT="0" distB="0" distL="0" distR="0" allowOverlap="1" layoutInCell="1" locked="0" behindDoc="0" simplePos="0" relativeHeight="2296">
            <wp:simplePos x="0" y="0"/>
            <wp:positionH relativeFrom="page">
              <wp:posOffset>3078860</wp:posOffset>
            </wp:positionH>
            <wp:positionV relativeFrom="paragraph">
              <wp:posOffset>118807</wp:posOffset>
            </wp:positionV>
            <wp:extent cx="1631800" cy="2983992"/>
            <wp:effectExtent l="0" t="0" r="0" b="0"/>
            <wp:wrapTopAndBottom/>
            <wp:docPr id="251" name="image130.jpeg" descr=""/>
            <wp:cNvGraphicFramePr>
              <a:graphicFrameLocks noChangeAspect="1"/>
            </wp:cNvGraphicFramePr>
            <a:graphic>
              <a:graphicData uri="http://schemas.openxmlformats.org/drawingml/2006/picture">
                <pic:pic>
                  <pic:nvPicPr>
                    <pic:cNvPr id="252" name="image130.jpeg"/>
                    <pic:cNvPicPr/>
                  </pic:nvPicPr>
                  <pic:blipFill>
                    <a:blip r:embed="rId203" cstate="print"/>
                    <a:stretch>
                      <a:fillRect/>
                    </a:stretch>
                  </pic:blipFill>
                  <pic:spPr>
                    <a:xfrm>
                      <a:off x="0" y="0"/>
                      <a:ext cx="1631800" cy="2983992"/>
                    </a:xfrm>
                    <a:prstGeom prst="rect">
                      <a:avLst/>
                    </a:prstGeom>
                  </pic:spPr>
                </pic:pic>
              </a:graphicData>
            </a:graphic>
          </wp:anchor>
        </w:drawing>
      </w:r>
    </w:p>
    <w:p>
      <w:pPr>
        <w:spacing w:before="26"/>
        <w:ind w:left="262" w:right="38" w:firstLine="0"/>
        <w:jc w:val="center"/>
        <w:rPr>
          <w:sz w:val="18"/>
        </w:rPr>
      </w:pPr>
      <w:bookmarkStart w:name="_bookmark165" w:id="259"/>
      <w:bookmarkEnd w:id="259"/>
      <w:r>
        <w:rPr/>
      </w:r>
      <w:r>
        <w:rPr>
          <w:sz w:val="18"/>
        </w:rPr>
        <w:t>Figura 5.5. Fotografía de la pieza impresa en 3D. (Fuente: elaboración propia, 2015).</w:t>
      </w:r>
    </w:p>
    <w:p>
      <w:pPr>
        <w:pStyle w:val="BodyText"/>
        <w:rPr>
          <w:sz w:val="18"/>
        </w:rPr>
      </w:pPr>
    </w:p>
    <w:p>
      <w:pPr>
        <w:pStyle w:val="BodyText"/>
        <w:spacing w:before="3"/>
        <w:rPr>
          <w:sz w:val="18"/>
        </w:rPr>
      </w:pPr>
    </w:p>
    <w:p>
      <w:pPr>
        <w:pStyle w:val="BodyText"/>
        <w:spacing w:line="360" w:lineRule="auto"/>
        <w:ind w:left="100" w:right="100"/>
        <w:jc w:val="both"/>
      </w:pPr>
      <w:r>
        <w:rPr/>
        <w:t>Cuando se imprime el soporte del mismo material del cual se imprime la pieza, llega a fundirse el soporte con la pieza (sólo en algunas zonas), al retirarse dicho soporte quedan pequeñas rebabas que pueden retirarse con lija, el problema de</w:t>
      </w:r>
    </w:p>
    <w:p>
      <w:pPr>
        <w:spacing w:after="0" w:line="360" w:lineRule="auto"/>
        <w:jc w:val="both"/>
        <w:sectPr>
          <w:pgSz w:w="12240" w:h="15840"/>
          <w:pgMar w:header="0" w:footer="1031" w:top="1420" w:bottom="1220" w:left="1600" w:right="1600"/>
        </w:sectPr>
      </w:pPr>
    </w:p>
    <w:p>
      <w:pPr>
        <w:pStyle w:val="BodyText"/>
        <w:spacing w:line="360" w:lineRule="auto" w:before="55"/>
        <w:ind w:left="100" w:right="120"/>
        <w:jc w:val="both"/>
      </w:pPr>
      <w:r>
        <w:rPr/>
        <w:t>lijar esas áreas es que la superficie lijada queda sin el brillo característico del propio material PLA, resultando opaca dicha área como se muestra en  la  siguiente </w:t>
      </w:r>
      <w:hyperlink w:history="true" w:anchor="_bookmark166">
        <w:r>
          <w:rPr/>
          <w:t>Figura</w:t>
        </w:r>
        <w:r>
          <w:rPr>
            <w:spacing w:val="-13"/>
          </w:rPr>
          <w:t> </w:t>
        </w:r>
        <w:r>
          <w:rPr/>
          <w:t>5.6</w:t>
        </w:r>
      </w:hyperlink>
      <w:r>
        <w:rPr/>
        <w:t>.</w:t>
      </w:r>
    </w:p>
    <w:p>
      <w:pPr>
        <w:pStyle w:val="BodyText"/>
        <w:rPr>
          <w:sz w:val="20"/>
        </w:rPr>
      </w:pPr>
    </w:p>
    <w:p>
      <w:pPr>
        <w:pStyle w:val="BodyText"/>
        <w:spacing w:before="2"/>
        <w:rPr>
          <w:sz w:val="13"/>
        </w:rPr>
      </w:pPr>
      <w:r>
        <w:rPr/>
        <w:drawing>
          <wp:anchor distT="0" distB="0" distL="0" distR="0" allowOverlap="1" layoutInCell="1" locked="0" behindDoc="0" simplePos="0" relativeHeight="2320">
            <wp:simplePos x="0" y="0"/>
            <wp:positionH relativeFrom="page">
              <wp:posOffset>1080135</wp:posOffset>
            </wp:positionH>
            <wp:positionV relativeFrom="paragraph">
              <wp:posOffset>120966</wp:posOffset>
            </wp:positionV>
            <wp:extent cx="5661648" cy="1437512"/>
            <wp:effectExtent l="0" t="0" r="0" b="0"/>
            <wp:wrapTopAndBottom/>
            <wp:docPr id="253" name="image131.jpeg" descr=""/>
            <wp:cNvGraphicFramePr>
              <a:graphicFrameLocks noChangeAspect="1"/>
            </wp:cNvGraphicFramePr>
            <a:graphic>
              <a:graphicData uri="http://schemas.openxmlformats.org/drawingml/2006/picture">
                <pic:pic>
                  <pic:nvPicPr>
                    <pic:cNvPr id="254" name="image131.jpeg"/>
                    <pic:cNvPicPr/>
                  </pic:nvPicPr>
                  <pic:blipFill>
                    <a:blip r:embed="rId204" cstate="print"/>
                    <a:stretch>
                      <a:fillRect/>
                    </a:stretch>
                  </pic:blipFill>
                  <pic:spPr>
                    <a:xfrm>
                      <a:off x="0" y="0"/>
                      <a:ext cx="5661648" cy="1437512"/>
                    </a:xfrm>
                    <a:prstGeom prst="rect">
                      <a:avLst/>
                    </a:prstGeom>
                  </pic:spPr>
                </pic:pic>
              </a:graphicData>
            </a:graphic>
          </wp:anchor>
        </w:drawing>
      </w:r>
    </w:p>
    <w:p>
      <w:pPr>
        <w:spacing w:before="58"/>
        <w:ind w:left="3577" w:right="1396" w:hanging="1957"/>
        <w:jc w:val="left"/>
        <w:rPr>
          <w:sz w:val="18"/>
        </w:rPr>
      </w:pPr>
      <w:bookmarkStart w:name="_bookmark166" w:id="260"/>
      <w:bookmarkEnd w:id="260"/>
      <w:r>
        <w:rPr/>
      </w:r>
      <w:r>
        <w:rPr>
          <w:sz w:val="18"/>
        </w:rPr>
        <w:t>Figura 5.6. Detalle de material de soporte antes y después de lijar. (Fuente: Elaboración propia, 2016).</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2"/>
        <w:rPr>
          <w:sz w:val="17"/>
        </w:rPr>
      </w:pPr>
    </w:p>
    <w:p>
      <w:pPr>
        <w:pStyle w:val="Heading2"/>
        <w:numPr>
          <w:ilvl w:val="1"/>
          <w:numId w:val="57"/>
        </w:numPr>
        <w:tabs>
          <w:tab w:pos="677" w:val="left" w:leader="none"/>
        </w:tabs>
        <w:spacing w:line="360" w:lineRule="auto" w:before="0" w:after="0"/>
        <w:ind w:left="676" w:right="113" w:hanging="576"/>
        <w:jc w:val="left"/>
      </w:pPr>
      <w:bookmarkStart w:name="5.3. Comparación de costos entre Fabrica" w:id="261"/>
      <w:bookmarkEnd w:id="261"/>
      <w:r>
        <w:rPr/>
      </w:r>
      <w:bookmarkStart w:name="_bookmark167" w:id="262"/>
      <w:bookmarkEnd w:id="262"/>
      <w:r>
        <w:rPr/>
      </w:r>
      <w:bookmarkStart w:name="_bookmark167" w:id="263"/>
      <w:bookmarkEnd w:id="263"/>
      <w:r>
        <w:rPr/>
        <w:t>C</w:t>
      </w:r>
      <w:r>
        <w:rPr/>
        <w:t>omparación de costos entre Fabricación de FV e impresión 3D- PLA</w:t>
      </w:r>
    </w:p>
    <w:p>
      <w:pPr>
        <w:pStyle w:val="BodyText"/>
        <w:spacing w:before="9"/>
        <w:rPr>
          <w:sz w:val="36"/>
        </w:rPr>
      </w:pPr>
    </w:p>
    <w:p>
      <w:pPr>
        <w:pStyle w:val="BodyText"/>
        <w:spacing w:line="357" w:lineRule="auto"/>
        <w:ind w:left="100" w:right="129"/>
        <w:jc w:val="both"/>
      </w:pPr>
      <w:r>
        <w:rPr/>
        <w:t>En este apartado únicamente se comparan los costos que genera cada proceso  de fabricación, con el objetivo de definir qué proceso sería </w:t>
      </w:r>
      <w:r>
        <w:rPr>
          <w:spacing w:val="-2"/>
        </w:rPr>
        <w:t>más</w:t>
      </w:r>
      <w:r>
        <w:rPr>
          <w:spacing w:val="-29"/>
        </w:rPr>
        <w:t> </w:t>
      </w:r>
      <w:r>
        <w:rPr/>
        <w:t>económico.</w:t>
      </w:r>
    </w:p>
    <w:p>
      <w:pPr>
        <w:pStyle w:val="BodyText"/>
      </w:pPr>
    </w:p>
    <w:p>
      <w:pPr>
        <w:pStyle w:val="BodyText"/>
        <w:spacing w:line="360" w:lineRule="auto" w:before="144"/>
        <w:ind w:left="100" w:right="114"/>
        <w:jc w:val="both"/>
      </w:pPr>
      <w:r>
        <w:rPr/>
        <w:t>Cabe señalar la circunstancia con la que cuenta el escultor en ambas situaciones, la producción artesanal implica la renta de un taller, los gastos de materia prima, herramienta, utensilios y el tiempo invertido; en el caso de impresión 3D solamente contrata el servicio de impresión en algún despacho puesto que el manejo de  dicho equipo es especializado y queda fuera de su conocimiento manipularlo y también se incluye el costo de tiempo</w:t>
      </w:r>
      <w:r>
        <w:rPr>
          <w:spacing w:val="-29"/>
        </w:rPr>
        <w:t> </w:t>
      </w:r>
      <w:r>
        <w:rPr/>
        <w:t>invertido.</w:t>
      </w:r>
    </w:p>
    <w:p>
      <w:pPr>
        <w:pStyle w:val="BodyText"/>
      </w:pPr>
    </w:p>
    <w:p>
      <w:pPr>
        <w:pStyle w:val="BodyText"/>
        <w:spacing w:line="357" w:lineRule="auto" w:before="142"/>
        <w:ind w:left="100" w:right="118"/>
        <w:jc w:val="both"/>
      </w:pPr>
      <w:r>
        <w:rPr/>
        <w:t>Del proceso de fabricación artesanal a continuación se muestra el proceso con la herramienta, material y sus costos, ver </w:t>
      </w:r>
      <w:hyperlink w:history="true" w:anchor="_bookmark168">
        <w:r>
          <w:rPr/>
          <w:t>Tabla 5.8</w:t>
        </w:r>
      </w:hyperlink>
      <w:r>
        <w:rPr/>
        <w:t>.</w:t>
      </w:r>
    </w:p>
    <w:p>
      <w:pPr>
        <w:spacing w:after="0" w:line="357" w:lineRule="auto"/>
        <w:jc w:val="both"/>
        <w:sectPr>
          <w:pgSz w:w="12240" w:h="15840"/>
          <w:pgMar w:header="0" w:footer="1031" w:top="1360" w:bottom="1220" w:left="1600" w:right="1580"/>
        </w:sectPr>
      </w:pPr>
    </w:p>
    <w:p>
      <w:pPr>
        <w:spacing w:before="51" w:after="6"/>
        <w:ind w:left="2837" w:right="0" w:firstLine="0"/>
        <w:jc w:val="left"/>
        <w:rPr>
          <w:sz w:val="18"/>
        </w:rPr>
      </w:pPr>
      <w:bookmarkStart w:name="_bookmark168" w:id="264"/>
      <w:bookmarkEnd w:id="264"/>
      <w:r>
        <w:rPr/>
      </w:r>
      <w:r>
        <w:rPr>
          <w:sz w:val="18"/>
        </w:rPr>
        <w:t>Tabla 5.8. Costos de la fabricación en FV.</w:t>
      </w:r>
    </w:p>
    <w:tbl>
      <w:tblPr>
        <w:tblW w:w="0" w:type="auto"/>
        <w:jc w:val="left"/>
        <w:tblInd w:w="292"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453"/>
        <w:gridCol w:w="617"/>
        <w:gridCol w:w="1652"/>
        <w:gridCol w:w="1589"/>
        <w:gridCol w:w="1000"/>
        <w:gridCol w:w="1176"/>
        <w:gridCol w:w="1149"/>
      </w:tblGrid>
      <w:tr>
        <w:trPr>
          <w:trHeight w:val="632" w:hRule="exact"/>
        </w:trPr>
        <w:tc>
          <w:tcPr>
            <w:tcW w:w="1453" w:type="dxa"/>
          </w:tcPr>
          <w:p>
            <w:pPr>
              <w:pStyle w:val="TableParagraph"/>
              <w:spacing w:line="357" w:lineRule="auto"/>
              <w:ind w:left="448" w:right="247" w:hanging="181"/>
              <w:rPr>
                <w:sz w:val="18"/>
              </w:rPr>
            </w:pPr>
            <w:r>
              <w:rPr>
                <w:sz w:val="18"/>
              </w:rPr>
              <w:t>Proceso de trabajo</w:t>
            </w:r>
          </w:p>
        </w:tc>
        <w:tc>
          <w:tcPr>
            <w:tcW w:w="617" w:type="dxa"/>
          </w:tcPr>
          <w:p>
            <w:pPr>
              <w:pStyle w:val="TableParagraph"/>
              <w:spacing w:line="206" w:lineRule="exact"/>
              <w:jc w:val="center"/>
              <w:rPr>
                <w:sz w:val="18"/>
              </w:rPr>
            </w:pPr>
            <w:r>
              <w:rPr>
                <w:w w:val="100"/>
                <w:sz w:val="18"/>
              </w:rPr>
              <w:t>T</w:t>
            </w:r>
          </w:p>
        </w:tc>
        <w:tc>
          <w:tcPr>
            <w:tcW w:w="1652" w:type="dxa"/>
          </w:tcPr>
          <w:p>
            <w:pPr>
              <w:pStyle w:val="TableParagraph"/>
              <w:spacing w:line="206" w:lineRule="exact"/>
              <w:ind w:left="99" w:right="101"/>
              <w:jc w:val="center"/>
              <w:rPr>
                <w:sz w:val="18"/>
              </w:rPr>
            </w:pPr>
            <w:r>
              <w:rPr>
                <w:sz w:val="18"/>
              </w:rPr>
              <w:t>Herramienta</w:t>
            </w:r>
          </w:p>
        </w:tc>
        <w:tc>
          <w:tcPr>
            <w:tcW w:w="1589" w:type="dxa"/>
          </w:tcPr>
          <w:p>
            <w:pPr>
              <w:pStyle w:val="TableParagraph"/>
              <w:spacing w:line="206" w:lineRule="exact"/>
              <w:ind w:left="122" w:right="119"/>
              <w:jc w:val="center"/>
              <w:rPr>
                <w:sz w:val="18"/>
              </w:rPr>
            </w:pPr>
            <w:r>
              <w:rPr>
                <w:sz w:val="18"/>
              </w:rPr>
              <w:t>Material</w:t>
            </w:r>
          </w:p>
        </w:tc>
        <w:tc>
          <w:tcPr>
            <w:tcW w:w="1000" w:type="dxa"/>
          </w:tcPr>
          <w:p>
            <w:pPr>
              <w:pStyle w:val="TableParagraph"/>
              <w:spacing w:line="357" w:lineRule="auto"/>
              <w:ind w:left="199" w:right="182" w:firstLine="60"/>
              <w:rPr>
                <w:sz w:val="18"/>
              </w:rPr>
            </w:pPr>
            <w:r>
              <w:rPr>
                <w:sz w:val="18"/>
              </w:rPr>
              <w:t>Costo unitario</w:t>
            </w:r>
          </w:p>
        </w:tc>
        <w:tc>
          <w:tcPr>
            <w:tcW w:w="1176" w:type="dxa"/>
          </w:tcPr>
          <w:p>
            <w:pPr>
              <w:pStyle w:val="TableParagraph"/>
              <w:spacing w:line="206" w:lineRule="exact"/>
              <w:ind w:left="201" w:right="206"/>
              <w:jc w:val="center"/>
              <w:rPr>
                <w:sz w:val="18"/>
              </w:rPr>
            </w:pPr>
            <w:r>
              <w:rPr>
                <w:sz w:val="18"/>
              </w:rPr>
              <w:t>Cantidad</w:t>
            </w:r>
          </w:p>
        </w:tc>
        <w:tc>
          <w:tcPr>
            <w:tcW w:w="1149" w:type="dxa"/>
          </w:tcPr>
          <w:p>
            <w:pPr>
              <w:pStyle w:val="TableParagraph"/>
              <w:spacing w:line="206" w:lineRule="exact"/>
              <w:ind w:left="324" w:right="325"/>
              <w:jc w:val="center"/>
              <w:rPr>
                <w:sz w:val="18"/>
              </w:rPr>
            </w:pPr>
            <w:r>
              <w:rPr>
                <w:sz w:val="18"/>
              </w:rPr>
              <w:t>Total</w:t>
            </w:r>
          </w:p>
          <w:p>
            <w:pPr>
              <w:pStyle w:val="TableParagraph"/>
              <w:spacing w:before="101"/>
              <w:jc w:val="center"/>
              <w:rPr>
                <w:sz w:val="18"/>
              </w:rPr>
            </w:pPr>
            <w:r>
              <w:rPr>
                <w:w w:val="99"/>
                <w:sz w:val="18"/>
              </w:rPr>
              <w:t>$</w:t>
            </w:r>
          </w:p>
        </w:tc>
      </w:tr>
      <w:tr>
        <w:trPr>
          <w:trHeight w:val="632" w:hRule="exact"/>
        </w:trPr>
        <w:tc>
          <w:tcPr>
            <w:tcW w:w="1453" w:type="dxa"/>
            <w:vMerge w:val="restart"/>
          </w:tcPr>
          <w:p>
            <w:pPr>
              <w:pStyle w:val="TableParagraph"/>
              <w:rPr>
                <w:sz w:val="18"/>
              </w:rPr>
            </w:pPr>
          </w:p>
          <w:p>
            <w:pPr>
              <w:pStyle w:val="TableParagraph"/>
              <w:rPr>
                <w:sz w:val="18"/>
              </w:rPr>
            </w:pPr>
          </w:p>
          <w:p>
            <w:pPr>
              <w:pStyle w:val="TableParagraph"/>
              <w:spacing w:before="10"/>
              <w:rPr>
                <w:sz w:val="17"/>
              </w:rPr>
            </w:pPr>
          </w:p>
          <w:p>
            <w:pPr>
              <w:pStyle w:val="TableParagraph"/>
              <w:ind w:left="159" w:right="112"/>
              <w:rPr>
                <w:sz w:val="18"/>
              </w:rPr>
            </w:pPr>
            <w:r>
              <w:rPr>
                <w:sz w:val="18"/>
              </w:rPr>
              <w:t>Modelar pieza</w:t>
            </w:r>
          </w:p>
        </w:tc>
        <w:tc>
          <w:tcPr>
            <w:tcW w:w="617" w:type="dxa"/>
            <w:vMerge w:val="restart"/>
          </w:tcPr>
          <w:p>
            <w:pPr>
              <w:pStyle w:val="TableParagraph"/>
              <w:rPr>
                <w:sz w:val="18"/>
              </w:rPr>
            </w:pPr>
          </w:p>
          <w:p>
            <w:pPr>
              <w:pStyle w:val="TableParagraph"/>
              <w:rPr>
                <w:sz w:val="18"/>
              </w:rPr>
            </w:pPr>
          </w:p>
          <w:p>
            <w:pPr>
              <w:pStyle w:val="TableParagraph"/>
              <w:rPr>
                <w:sz w:val="18"/>
              </w:rPr>
            </w:pPr>
          </w:p>
          <w:p>
            <w:pPr>
              <w:pStyle w:val="TableParagraph"/>
              <w:spacing w:before="7"/>
              <w:rPr>
                <w:sz w:val="26"/>
              </w:rPr>
            </w:pPr>
          </w:p>
          <w:p>
            <w:pPr>
              <w:pStyle w:val="TableParagraph"/>
              <w:spacing w:before="1"/>
              <w:ind w:left="151"/>
              <w:rPr>
                <w:sz w:val="18"/>
              </w:rPr>
            </w:pPr>
            <w:r>
              <w:rPr>
                <w:sz w:val="18"/>
              </w:rPr>
              <w:t>18h</w:t>
            </w:r>
          </w:p>
        </w:tc>
        <w:tc>
          <w:tcPr>
            <w:tcW w:w="1652" w:type="dxa"/>
          </w:tcPr>
          <w:p>
            <w:pPr/>
          </w:p>
        </w:tc>
        <w:tc>
          <w:tcPr>
            <w:tcW w:w="1589" w:type="dxa"/>
          </w:tcPr>
          <w:p>
            <w:pPr>
              <w:pStyle w:val="TableParagraph"/>
              <w:spacing w:line="362" w:lineRule="auto"/>
              <w:ind w:left="172" w:right="147" w:firstLine="136"/>
              <w:rPr>
                <w:sz w:val="18"/>
              </w:rPr>
            </w:pPr>
            <w:r>
              <w:rPr>
                <w:sz w:val="18"/>
              </w:rPr>
              <w:t>Plastilina de escultor  400 gr</w:t>
            </w:r>
          </w:p>
        </w:tc>
        <w:tc>
          <w:tcPr>
            <w:tcW w:w="1000" w:type="dxa"/>
          </w:tcPr>
          <w:p>
            <w:pPr>
              <w:pStyle w:val="TableParagraph"/>
              <w:spacing w:line="202" w:lineRule="exact"/>
              <w:ind w:left="249" w:right="249"/>
              <w:jc w:val="center"/>
              <w:rPr>
                <w:sz w:val="18"/>
              </w:rPr>
            </w:pPr>
            <w:r>
              <w:rPr>
                <w:sz w:val="18"/>
              </w:rPr>
              <w:t>17</w:t>
            </w:r>
          </w:p>
        </w:tc>
        <w:tc>
          <w:tcPr>
            <w:tcW w:w="1176" w:type="dxa"/>
          </w:tcPr>
          <w:p>
            <w:pPr>
              <w:pStyle w:val="TableParagraph"/>
              <w:spacing w:line="202" w:lineRule="exact"/>
              <w:ind w:left="201" w:right="206"/>
              <w:jc w:val="center"/>
              <w:rPr>
                <w:sz w:val="18"/>
              </w:rPr>
            </w:pPr>
            <w:r>
              <w:rPr>
                <w:sz w:val="18"/>
              </w:rPr>
              <w:t>1 pza</w:t>
            </w:r>
          </w:p>
        </w:tc>
        <w:tc>
          <w:tcPr>
            <w:tcW w:w="1149" w:type="dxa"/>
          </w:tcPr>
          <w:p>
            <w:pPr>
              <w:pStyle w:val="TableParagraph"/>
              <w:spacing w:line="202" w:lineRule="exact"/>
              <w:ind w:left="324" w:right="325"/>
              <w:jc w:val="center"/>
              <w:rPr>
                <w:sz w:val="18"/>
              </w:rPr>
            </w:pPr>
            <w:r>
              <w:rPr>
                <w:sz w:val="18"/>
              </w:rPr>
              <w:t>17</w:t>
            </w:r>
          </w:p>
        </w:tc>
      </w:tr>
      <w:tr>
        <w:trPr>
          <w:trHeight w:val="341" w:hRule="exact"/>
        </w:trPr>
        <w:tc>
          <w:tcPr>
            <w:tcW w:w="1453" w:type="dxa"/>
            <w:vMerge/>
          </w:tcPr>
          <w:p>
            <w:pPr/>
          </w:p>
        </w:tc>
        <w:tc>
          <w:tcPr>
            <w:tcW w:w="617" w:type="dxa"/>
            <w:vMerge/>
          </w:tcPr>
          <w:p>
            <w:pPr/>
          </w:p>
        </w:tc>
        <w:tc>
          <w:tcPr>
            <w:tcW w:w="1652" w:type="dxa"/>
          </w:tcPr>
          <w:p>
            <w:pPr>
              <w:pStyle w:val="TableParagraph"/>
              <w:spacing w:before="15"/>
              <w:ind w:left="101" w:right="100"/>
              <w:jc w:val="center"/>
              <w:rPr>
                <w:sz w:val="18"/>
              </w:rPr>
            </w:pPr>
            <w:r>
              <w:rPr>
                <w:sz w:val="18"/>
              </w:rPr>
              <w:t>Estiques</w:t>
            </w:r>
          </w:p>
        </w:tc>
        <w:tc>
          <w:tcPr>
            <w:tcW w:w="1589" w:type="dxa"/>
          </w:tcPr>
          <w:p>
            <w:pPr>
              <w:pStyle w:val="TableParagraph"/>
              <w:spacing w:before="15"/>
              <w:ind w:left="128" w:right="119"/>
              <w:jc w:val="center"/>
              <w:rPr>
                <w:sz w:val="18"/>
              </w:rPr>
            </w:pPr>
            <w:r>
              <w:rPr>
                <w:sz w:val="18"/>
              </w:rPr>
              <w:t>Estiques</w:t>
            </w:r>
          </w:p>
        </w:tc>
        <w:tc>
          <w:tcPr>
            <w:tcW w:w="1000" w:type="dxa"/>
          </w:tcPr>
          <w:p>
            <w:pPr>
              <w:pStyle w:val="TableParagraph"/>
              <w:spacing w:before="15"/>
              <w:ind w:left="249" w:right="249"/>
              <w:jc w:val="center"/>
              <w:rPr>
                <w:sz w:val="18"/>
              </w:rPr>
            </w:pPr>
            <w:r>
              <w:rPr>
                <w:sz w:val="18"/>
              </w:rPr>
              <w:t>70</w:t>
            </w:r>
          </w:p>
        </w:tc>
        <w:tc>
          <w:tcPr>
            <w:tcW w:w="1176" w:type="dxa"/>
          </w:tcPr>
          <w:p>
            <w:pPr>
              <w:pStyle w:val="TableParagraph"/>
              <w:spacing w:before="15"/>
              <w:ind w:left="201" w:right="206"/>
              <w:jc w:val="center"/>
              <w:rPr>
                <w:sz w:val="18"/>
              </w:rPr>
            </w:pPr>
            <w:r>
              <w:rPr>
                <w:sz w:val="18"/>
              </w:rPr>
              <w:t>5 pza</w:t>
            </w:r>
          </w:p>
        </w:tc>
        <w:tc>
          <w:tcPr>
            <w:tcW w:w="1149" w:type="dxa"/>
          </w:tcPr>
          <w:p>
            <w:pPr>
              <w:pStyle w:val="TableParagraph"/>
              <w:spacing w:before="15"/>
              <w:ind w:left="325" w:right="325"/>
              <w:jc w:val="center"/>
              <w:rPr>
                <w:sz w:val="18"/>
              </w:rPr>
            </w:pPr>
            <w:r>
              <w:rPr>
                <w:sz w:val="18"/>
              </w:rPr>
              <w:t>350</w:t>
            </w:r>
          </w:p>
        </w:tc>
      </w:tr>
      <w:tr>
        <w:trPr>
          <w:trHeight w:val="340" w:hRule="exact"/>
        </w:trPr>
        <w:tc>
          <w:tcPr>
            <w:tcW w:w="1453" w:type="dxa"/>
            <w:vMerge/>
          </w:tcPr>
          <w:p>
            <w:pPr/>
          </w:p>
        </w:tc>
        <w:tc>
          <w:tcPr>
            <w:tcW w:w="617" w:type="dxa"/>
            <w:vMerge/>
          </w:tcPr>
          <w:p>
            <w:pPr/>
          </w:p>
        </w:tc>
        <w:tc>
          <w:tcPr>
            <w:tcW w:w="1652" w:type="dxa"/>
          </w:tcPr>
          <w:p>
            <w:pPr/>
          </w:p>
        </w:tc>
        <w:tc>
          <w:tcPr>
            <w:tcW w:w="1589" w:type="dxa"/>
          </w:tcPr>
          <w:p>
            <w:pPr>
              <w:pStyle w:val="TableParagraph"/>
              <w:spacing w:before="15"/>
              <w:ind w:left="122" w:right="119"/>
              <w:jc w:val="center"/>
              <w:rPr>
                <w:sz w:val="18"/>
              </w:rPr>
            </w:pPr>
            <w:r>
              <w:rPr>
                <w:sz w:val="18"/>
              </w:rPr>
              <w:t>Impresión</w:t>
            </w:r>
          </w:p>
        </w:tc>
        <w:tc>
          <w:tcPr>
            <w:tcW w:w="1000" w:type="dxa"/>
          </w:tcPr>
          <w:p>
            <w:pPr>
              <w:pStyle w:val="TableParagraph"/>
              <w:spacing w:before="15"/>
              <w:ind w:right="1"/>
              <w:jc w:val="center"/>
              <w:rPr>
                <w:sz w:val="18"/>
              </w:rPr>
            </w:pPr>
            <w:r>
              <w:rPr>
                <w:w w:val="99"/>
                <w:sz w:val="18"/>
              </w:rPr>
              <w:t>5</w:t>
            </w:r>
          </w:p>
        </w:tc>
        <w:tc>
          <w:tcPr>
            <w:tcW w:w="1176" w:type="dxa"/>
          </w:tcPr>
          <w:p>
            <w:pPr>
              <w:pStyle w:val="TableParagraph"/>
              <w:spacing w:before="15"/>
              <w:ind w:right="1"/>
              <w:jc w:val="center"/>
              <w:rPr>
                <w:sz w:val="18"/>
              </w:rPr>
            </w:pPr>
            <w:r>
              <w:rPr>
                <w:w w:val="99"/>
                <w:sz w:val="18"/>
              </w:rPr>
              <w:t>4</w:t>
            </w:r>
          </w:p>
        </w:tc>
        <w:tc>
          <w:tcPr>
            <w:tcW w:w="1149" w:type="dxa"/>
          </w:tcPr>
          <w:p>
            <w:pPr>
              <w:pStyle w:val="TableParagraph"/>
              <w:spacing w:before="15"/>
              <w:ind w:left="324" w:right="325"/>
              <w:jc w:val="center"/>
              <w:rPr>
                <w:sz w:val="18"/>
              </w:rPr>
            </w:pPr>
            <w:r>
              <w:rPr>
                <w:sz w:val="18"/>
              </w:rPr>
              <w:t>20</w:t>
            </w:r>
          </w:p>
        </w:tc>
      </w:tr>
      <w:tr>
        <w:trPr>
          <w:trHeight w:val="340" w:hRule="exact"/>
        </w:trPr>
        <w:tc>
          <w:tcPr>
            <w:tcW w:w="1453" w:type="dxa"/>
            <w:vMerge/>
          </w:tcPr>
          <w:p>
            <w:pPr/>
          </w:p>
        </w:tc>
        <w:tc>
          <w:tcPr>
            <w:tcW w:w="617" w:type="dxa"/>
            <w:vMerge/>
          </w:tcPr>
          <w:p>
            <w:pPr/>
          </w:p>
        </w:tc>
        <w:tc>
          <w:tcPr>
            <w:tcW w:w="1652" w:type="dxa"/>
          </w:tcPr>
          <w:p>
            <w:pPr>
              <w:pStyle w:val="TableParagraph"/>
              <w:spacing w:before="15"/>
              <w:ind w:left="101" w:right="101"/>
              <w:jc w:val="center"/>
              <w:rPr>
                <w:sz w:val="18"/>
              </w:rPr>
            </w:pPr>
            <w:r>
              <w:rPr>
                <w:sz w:val="18"/>
              </w:rPr>
              <w:t>Lámpara de calor</w:t>
            </w:r>
          </w:p>
        </w:tc>
        <w:tc>
          <w:tcPr>
            <w:tcW w:w="1589" w:type="dxa"/>
          </w:tcPr>
          <w:p>
            <w:pPr/>
          </w:p>
        </w:tc>
        <w:tc>
          <w:tcPr>
            <w:tcW w:w="1000" w:type="dxa"/>
          </w:tcPr>
          <w:p>
            <w:pPr>
              <w:pStyle w:val="TableParagraph"/>
              <w:spacing w:before="15"/>
              <w:ind w:left="248" w:right="251"/>
              <w:jc w:val="center"/>
              <w:rPr>
                <w:sz w:val="18"/>
              </w:rPr>
            </w:pPr>
            <w:r>
              <w:rPr>
                <w:sz w:val="18"/>
              </w:rPr>
              <w:t>200</w:t>
            </w:r>
          </w:p>
        </w:tc>
        <w:tc>
          <w:tcPr>
            <w:tcW w:w="1176" w:type="dxa"/>
          </w:tcPr>
          <w:p>
            <w:pPr>
              <w:pStyle w:val="TableParagraph"/>
              <w:spacing w:before="15"/>
              <w:ind w:right="1"/>
              <w:jc w:val="center"/>
              <w:rPr>
                <w:sz w:val="18"/>
              </w:rPr>
            </w:pPr>
            <w:r>
              <w:rPr>
                <w:w w:val="99"/>
                <w:sz w:val="18"/>
              </w:rPr>
              <w:t>1</w:t>
            </w:r>
          </w:p>
        </w:tc>
        <w:tc>
          <w:tcPr>
            <w:tcW w:w="1149" w:type="dxa"/>
          </w:tcPr>
          <w:p>
            <w:pPr>
              <w:pStyle w:val="TableParagraph"/>
              <w:spacing w:before="15"/>
              <w:ind w:left="325" w:right="325"/>
              <w:jc w:val="center"/>
              <w:rPr>
                <w:sz w:val="18"/>
              </w:rPr>
            </w:pPr>
            <w:r>
              <w:rPr>
                <w:sz w:val="18"/>
              </w:rPr>
              <w:t>200</w:t>
            </w:r>
          </w:p>
        </w:tc>
      </w:tr>
      <w:tr>
        <w:trPr>
          <w:trHeight w:val="350" w:hRule="exact"/>
        </w:trPr>
        <w:tc>
          <w:tcPr>
            <w:tcW w:w="1453" w:type="dxa"/>
            <w:vMerge/>
            <w:tcBorders>
              <w:bottom w:val="single" w:sz="11" w:space="0" w:color="000000"/>
            </w:tcBorders>
          </w:tcPr>
          <w:p>
            <w:pPr/>
          </w:p>
        </w:tc>
        <w:tc>
          <w:tcPr>
            <w:tcW w:w="617" w:type="dxa"/>
            <w:vMerge/>
            <w:tcBorders>
              <w:bottom w:val="single" w:sz="11" w:space="0" w:color="000000"/>
            </w:tcBorders>
          </w:tcPr>
          <w:p>
            <w:pPr/>
          </w:p>
        </w:tc>
        <w:tc>
          <w:tcPr>
            <w:tcW w:w="1652" w:type="dxa"/>
            <w:tcBorders>
              <w:bottom w:val="single" w:sz="11" w:space="0" w:color="000000"/>
            </w:tcBorders>
          </w:tcPr>
          <w:p>
            <w:pPr/>
          </w:p>
        </w:tc>
        <w:tc>
          <w:tcPr>
            <w:tcW w:w="1589" w:type="dxa"/>
            <w:tcBorders>
              <w:bottom w:val="single" w:sz="11" w:space="0" w:color="000000"/>
            </w:tcBorders>
          </w:tcPr>
          <w:p>
            <w:pPr>
              <w:pStyle w:val="TableParagraph"/>
              <w:spacing w:before="19"/>
              <w:ind w:left="126" w:right="119"/>
              <w:jc w:val="center"/>
              <w:rPr>
                <w:sz w:val="18"/>
              </w:rPr>
            </w:pPr>
            <w:r>
              <w:rPr>
                <w:sz w:val="18"/>
              </w:rPr>
              <w:t>Mascarilla</w:t>
            </w:r>
          </w:p>
        </w:tc>
        <w:tc>
          <w:tcPr>
            <w:tcW w:w="1000" w:type="dxa"/>
            <w:tcBorders>
              <w:bottom w:val="single" w:sz="11" w:space="0" w:color="000000"/>
            </w:tcBorders>
          </w:tcPr>
          <w:p>
            <w:pPr>
              <w:pStyle w:val="TableParagraph"/>
              <w:spacing w:before="19"/>
              <w:ind w:left="249" w:right="249"/>
              <w:jc w:val="center"/>
              <w:rPr>
                <w:sz w:val="18"/>
              </w:rPr>
            </w:pPr>
            <w:r>
              <w:rPr>
                <w:sz w:val="18"/>
              </w:rPr>
              <w:t>10</w:t>
            </w:r>
          </w:p>
        </w:tc>
        <w:tc>
          <w:tcPr>
            <w:tcW w:w="1176" w:type="dxa"/>
            <w:tcBorders>
              <w:bottom w:val="single" w:sz="11" w:space="0" w:color="000000"/>
            </w:tcBorders>
          </w:tcPr>
          <w:p>
            <w:pPr>
              <w:pStyle w:val="TableParagraph"/>
              <w:spacing w:before="19"/>
              <w:ind w:right="1"/>
              <w:jc w:val="center"/>
              <w:rPr>
                <w:sz w:val="18"/>
              </w:rPr>
            </w:pPr>
            <w:r>
              <w:rPr>
                <w:w w:val="99"/>
                <w:sz w:val="18"/>
              </w:rPr>
              <w:t>2</w:t>
            </w:r>
          </w:p>
        </w:tc>
        <w:tc>
          <w:tcPr>
            <w:tcW w:w="1149" w:type="dxa"/>
            <w:tcBorders>
              <w:bottom w:val="single" w:sz="11" w:space="0" w:color="000000"/>
            </w:tcBorders>
          </w:tcPr>
          <w:p>
            <w:pPr>
              <w:pStyle w:val="TableParagraph"/>
              <w:spacing w:before="19"/>
              <w:ind w:left="324" w:right="325"/>
              <w:jc w:val="center"/>
              <w:rPr>
                <w:sz w:val="18"/>
              </w:rPr>
            </w:pPr>
            <w:r>
              <w:rPr>
                <w:sz w:val="18"/>
              </w:rPr>
              <w:t>20</w:t>
            </w:r>
          </w:p>
        </w:tc>
      </w:tr>
      <w:tr>
        <w:trPr>
          <w:trHeight w:val="955" w:hRule="exact"/>
        </w:trPr>
        <w:tc>
          <w:tcPr>
            <w:tcW w:w="1453" w:type="dxa"/>
            <w:vMerge w:val="restart"/>
            <w:tcBorders>
              <w:top w:val="single" w:sz="11" w:space="0" w:color="000000"/>
            </w:tcBorders>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8"/>
              <w:rPr>
                <w:sz w:val="17"/>
              </w:rPr>
            </w:pPr>
          </w:p>
          <w:p>
            <w:pPr>
              <w:pStyle w:val="TableParagraph"/>
              <w:spacing w:line="362" w:lineRule="auto"/>
              <w:ind w:left="480" w:right="112" w:hanging="349"/>
              <w:rPr>
                <w:sz w:val="18"/>
              </w:rPr>
            </w:pPr>
            <w:r>
              <w:rPr>
                <w:sz w:val="18"/>
              </w:rPr>
              <w:t>Fabricación de molde</w:t>
            </w:r>
          </w:p>
        </w:tc>
        <w:tc>
          <w:tcPr>
            <w:tcW w:w="617" w:type="dxa"/>
            <w:vMerge w:val="restart"/>
            <w:tcBorders>
              <w:top w:val="single" w:sz="11" w:space="0" w:color="000000"/>
            </w:tcBorders>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8"/>
              <w:rPr>
                <w:sz w:val="17"/>
              </w:rPr>
            </w:pPr>
          </w:p>
          <w:p>
            <w:pPr>
              <w:pStyle w:val="TableParagraph"/>
              <w:ind w:left="184" w:right="184"/>
              <w:jc w:val="center"/>
              <w:rPr>
                <w:sz w:val="18"/>
              </w:rPr>
            </w:pPr>
            <w:r>
              <w:rPr>
                <w:sz w:val="18"/>
              </w:rPr>
              <w:t>18</w:t>
            </w:r>
          </w:p>
        </w:tc>
        <w:tc>
          <w:tcPr>
            <w:tcW w:w="1652" w:type="dxa"/>
            <w:tcBorders>
              <w:top w:val="single" w:sz="11" w:space="0" w:color="000000"/>
            </w:tcBorders>
          </w:tcPr>
          <w:p>
            <w:pPr/>
          </w:p>
        </w:tc>
        <w:tc>
          <w:tcPr>
            <w:tcW w:w="1589" w:type="dxa"/>
            <w:tcBorders>
              <w:top w:val="single" w:sz="11" w:space="0" w:color="000000"/>
            </w:tcBorders>
          </w:tcPr>
          <w:p>
            <w:pPr>
              <w:pStyle w:val="TableParagraph"/>
              <w:spacing w:line="360" w:lineRule="auto"/>
              <w:ind w:left="444" w:right="430" w:firstLine="4"/>
              <w:jc w:val="both"/>
              <w:rPr>
                <w:sz w:val="18"/>
              </w:rPr>
            </w:pPr>
            <w:r>
              <w:rPr>
                <w:sz w:val="18"/>
              </w:rPr>
              <w:t>Tacel de plastilina 400 gr</w:t>
            </w:r>
          </w:p>
        </w:tc>
        <w:tc>
          <w:tcPr>
            <w:tcW w:w="1000" w:type="dxa"/>
            <w:tcBorders>
              <w:top w:val="single" w:sz="11" w:space="0" w:color="000000"/>
            </w:tcBorders>
          </w:tcPr>
          <w:p>
            <w:pPr>
              <w:pStyle w:val="TableParagraph"/>
              <w:spacing w:line="206" w:lineRule="exact"/>
              <w:ind w:left="249" w:right="249"/>
              <w:jc w:val="center"/>
              <w:rPr>
                <w:sz w:val="18"/>
              </w:rPr>
            </w:pPr>
            <w:r>
              <w:rPr>
                <w:sz w:val="18"/>
              </w:rPr>
              <w:t>17</w:t>
            </w:r>
          </w:p>
        </w:tc>
        <w:tc>
          <w:tcPr>
            <w:tcW w:w="1176" w:type="dxa"/>
            <w:tcBorders>
              <w:top w:val="single" w:sz="11" w:space="0" w:color="000000"/>
            </w:tcBorders>
          </w:tcPr>
          <w:p>
            <w:pPr>
              <w:pStyle w:val="TableParagraph"/>
              <w:spacing w:line="206" w:lineRule="exact"/>
              <w:ind w:left="201" w:right="206"/>
              <w:jc w:val="center"/>
              <w:rPr>
                <w:sz w:val="18"/>
              </w:rPr>
            </w:pPr>
            <w:r>
              <w:rPr>
                <w:sz w:val="18"/>
              </w:rPr>
              <w:t>1 pza</w:t>
            </w:r>
          </w:p>
        </w:tc>
        <w:tc>
          <w:tcPr>
            <w:tcW w:w="1149" w:type="dxa"/>
            <w:tcBorders>
              <w:top w:val="single" w:sz="11" w:space="0" w:color="000000"/>
            </w:tcBorders>
          </w:tcPr>
          <w:p>
            <w:pPr>
              <w:pStyle w:val="TableParagraph"/>
              <w:spacing w:line="206" w:lineRule="exact"/>
              <w:ind w:left="324" w:right="325"/>
              <w:jc w:val="center"/>
              <w:rPr>
                <w:sz w:val="18"/>
              </w:rPr>
            </w:pPr>
            <w:r>
              <w:rPr>
                <w:sz w:val="18"/>
              </w:rPr>
              <w:t>17</w:t>
            </w:r>
          </w:p>
        </w:tc>
      </w:tr>
      <w:tr>
        <w:trPr>
          <w:trHeight w:val="320" w:hRule="exact"/>
        </w:trPr>
        <w:tc>
          <w:tcPr>
            <w:tcW w:w="1453" w:type="dxa"/>
            <w:vMerge/>
          </w:tcPr>
          <w:p>
            <w:pPr/>
          </w:p>
        </w:tc>
        <w:tc>
          <w:tcPr>
            <w:tcW w:w="617" w:type="dxa"/>
            <w:vMerge/>
          </w:tcPr>
          <w:p>
            <w:pPr/>
          </w:p>
        </w:tc>
        <w:tc>
          <w:tcPr>
            <w:tcW w:w="1652" w:type="dxa"/>
          </w:tcPr>
          <w:p>
            <w:pPr/>
          </w:p>
        </w:tc>
        <w:tc>
          <w:tcPr>
            <w:tcW w:w="1589" w:type="dxa"/>
          </w:tcPr>
          <w:p>
            <w:pPr>
              <w:pStyle w:val="TableParagraph"/>
              <w:spacing w:line="202" w:lineRule="exact"/>
              <w:ind w:left="129" w:right="119"/>
              <w:jc w:val="center"/>
              <w:rPr>
                <w:sz w:val="18"/>
              </w:rPr>
            </w:pPr>
            <w:r>
              <w:rPr>
                <w:sz w:val="18"/>
              </w:rPr>
              <w:t>Resina poliéster</w:t>
            </w:r>
          </w:p>
        </w:tc>
        <w:tc>
          <w:tcPr>
            <w:tcW w:w="1000" w:type="dxa"/>
          </w:tcPr>
          <w:p>
            <w:pPr>
              <w:pStyle w:val="TableParagraph"/>
              <w:spacing w:line="202" w:lineRule="exact"/>
              <w:ind w:left="249" w:right="249"/>
              <w:jc w:val="center"/>
              <w:rPr>
                <w:sz w:val="18"/>
              </w:rPr>
            </w:pPr>
            <w:r>
              <w:rPr>
                <w:sz w:val="18"/>
              </w:rPr>
              <w:t>63</w:t>
            </w:r>
          </w:p>
        </w:tc>
        <w:tc>
          <w:tcPr>
            <w:tcW w:w="1176" w:type="dxa"/>
          </w:tcPr>
          <w:p>
            <w:pPr>
              <w:pStyle w:val="TableParagraph"/>
              <w:spacing w:line="202" w:lineRule="exact"/>
              <w:ind w:left="201" w:right="206"/>
              <w:jc w:val="center"/>
              <w:rPr>
                <w:sz w:val="18"/>
              </w:rPr>
            </w:pPr>
            <w:r>
              <w:rPr>
                <w:sz w:val="18"/>
              </w:rPr>
              <w:t>1 kl</w:t>
            </w:r>
          </w:p>
        </w:tc>
        <w:tc>
          <w:tcPr>
            <w:tcW w:w="1149" w:type="dxa"/>
          </w:tcPr>
          <w:p>
            <w:pPr>
              <w:pStyle w:val="TableParagraph"/>
              <w:spacing w:line="202" w:lineRule="exact"/>
              <w:ind w:left="324" w:right="325"/>
              <w:jc w:val="center"/>
              <w:rPr>
                <w:sz w:val="18"/>
              </w:rPr>
            </w:pPr>
            <w:r>
              <w:rPr>
                <w:sz w:val="18"/>
              </w:rPr>
              <w:t>63</w:t>
            </w:r>
          </w:p>
        </w:tc>
      </w:tr>
      <w:tr>
        <w:trPr>
          <w:trHeight w:val="628" w:hRule="exact"/>
        </w:trPr>
        <w:tc>
          <w:tcPr>
            <w:tcW w:w="1453" w:type="dxa"/>
            <w:vMerge/>
          </w:tcPr>
          <w:p>
            <w:pPr/>
          </w:p>
        </w:tc>
        <w:tc>
          <w:tcPr>
            <w:tcW w:w="617" w:type="dxa"/>
            <w:vMerge/>
          </w:tcPr>
          <w:p>
            <w:pPr/>
          </w:p>
        </w:tc>
        <w:tc>
          <w:tcPr>
            <w:tcW w:w="1652" w:type="dxa"/>
          </w:tcPr>
          <w:p>
            <w:pPr/>
          </w:p>
        </w:tc>
        <w:tc>
          <w:tcPr>
            <w:tcW w:w="1589" w:type="dxa"/>
          </w:tcPr>
          <w:p>
            <w:pPr>
              <w:pStyle w:val="TableParagraph"/>
              <w:spacing w:line="362" w:lineRule="auto"/>
              <w:ind w:left="700" w:right="187" w:hanging="488"/>
              <w:rPr>
                <w:sz w:val="18"/>
              </w:rPr>
            </w:pPr>
            <w:r>
              <w:rPr>
                <w:sz w:val="18"/>
              </w:rPr>
              <w:t>Catalizador 20 ml</w:t>
            </w:r>
          </w:p>
        </w:tc>
        <w:tc>
          <w:tcPr>
            <w:tcW w:w="1000" w:type="dxa"/>
          </w:tcPr>
          <w:p>
            <w:pPr>
              <w:pStyle w:val="TableParagraph"/>
              <w:spacing w:line="202" w:lineRule="exact"/>
              <w:ind w:left="249" w:right="251"/>
              <w:jc w:val="center"/>
              <w:rPr>
                <w:sz w:val="18"/>
              </w:rPr>
            </w:pPr>
            <w:r>
              <w:rPr>
                <w:sz w:val="18"/>
              </w:rPr>
              <w:t>13.50</w:t>
            </w:r>
          </w:p>
        </w:tc>
        <w:tc>
          <w:tcPr>
            <w:tcW w:w="1176" w:type="dxa"/>
          </w:tcPr>
          <w:p>
            <w:pPr>
              <w:pStyle w:val="TableParagraph"/>
              <w:spacing w:line="202" w:lineRule="exact"/>
              <w:ind w:right="1"/>
              <w:jc w:val="center"/>
              <w:rPr>
                <w:sz w:val="18"/>
              </w:rPr>
            </w:pPr>
            <w:r>
              <w:rPr>
                <w:w w:val="99"/>
                <w:sz w:val="18"/>
              </w:rPr>
              <w:t>1</w:t>
            </w:r>
          </w:p>
        </w:tc>
        <w:tc>
          <w:tcPr>
            <w:tcW w:w="1149" w:type="dxa"/>
          </w:tcPr>
          <w:p>
            <w:pPr>
              <w:pStyle w:val="TableParagraph"/>
              <w:spacing w:line="202" w:lineRule="exact"/>
              <w:ind w:left="325" w:right="325"/>
              <w:jc w:val="center"/>
              <w:rPr>
                <w:sz w:val="18"/>
              </w:rPr>
            </w:pPr>
            <w:r>
              <w:rPr>
                <w:sz w:val="18"/>
              </w:rPr>
              <w:t>13.50</w:t>
            </w:r>
          </w:p>
        </w:tc>
      </w:tr>
      <w:tr>
        <w:trPr>
          <w:trHeight w:val="324" w:hRule="exact"/>
        </w:trPr>
        <w:tc>
          <w:tcPr>
            <w:tcW w:w="1453" w:type="dxa"/>
            <w:vMerge/>
          </w:tcPr>
          <w:p>
            <w:pPr/>
          </w:p>
        </w:tc>
        <w:tc>
          <w:tcPr>
            <w:tcW w:w="617" w:type="dxa"/>
            <w:vMerge/>
          </w:tcPr>
          <w:p>
            <w:pPr/>
          </w:p>
        </w:tc>
        <w:tc>
          <w:tcPr>
            <w:tcW w:w="1652" w:type="dxa"/>
          </w:tcPr>
          <w:p>
            <w:pPr/>
          </w:p>
        </w:tc>
        <w:tc>
          <w:tcPr>
            <w:tcW w:w="1589" w:type="dxa"/>
          </w:tcPr>
          <w:p>
            <w:pPr>
              <w:pStyle w:val="TableParagraph"/>
              <w:spacing w:line="206" w:lineRule="exact"/>
              <w:ind w:left="129" w:right="119"/>
              <w:jc w:val="center"/>
              <w:rPr>
                <w:sz w:val="18"/>
              </w:rPr>
            </w:pPr>
            <w:r>
              <w:rPr>
                <w:sz w:val="18"/>
              </w:rPr>
              <w:t>Fibra de vidrio</w:t>
            </w:r>
          </w:p>
        </w:tc>
        <w:tc>
          <w:tcPr>
            <w:tcW w:w="1000" w:type="dxa"/>
          </w:tcPr>
          <w:p>
            <w:pPr>
              <w:pStyle w:val="TableParagraph"/>
              <w:spacing w:line="206" w:lineRule="exact"/>
              <w:ind w:left="249" w:right="249"/>
              <w:jc w:val="center"/>
              <w:rPr>
                <w:sz w:val="18"/>
              </w:rPr>
            </w:pPr>
            <w:r>
              <w:rPr>
                <w:sz w:val="18"/>
              </w:rPr>
              <w:t>55</w:t>
            </w:r>
          </w:p>
        </w:tc>
        <w:tc>
          <w:tcPr>
            <w:tcW w:w="1176" w:type="dxa"/>
          </w:tcPr>
          <w:p>
            <w:pPr>
              <w:pStyle w:val="TableParagraph"/>
              <w:spacing w:line="206" w:lineRule="exact"/>
              <w:ind w:left="201" w:right="206"/>
              <w:jc w:val="center"/>
              <w:rPr>
                <w:sz w:val="18"/>
              </w:rPr>
            </w:pPr>
            <w:r>
              <w:rPr>
                <w:sz w:val="18"/>
              </w:rPr>
              <w:t>2 kl</w:t>
            </w:r>
          </w:p>
        </w:tc>
        <w:tc>
          <w:tcPr>
            <w:tcW w:w="1149" w:type="dxa"/>
          </w:tcPr>
          <w:p>
            <w:pPr>
              <w:pStyle w:val="TableParagraph"/>
              <w:spacing w:line="206" w:lineRule="exact"/>
              <w:ind w:left="325" w:right="325"/>
              <w:jc w:val="center"/>
              <w:rPr>
                <w:sz w:val="18"/>
              </w:rPr>
            </w:pPr>
            <w:r>
              <w:rPr>
                <w:sz w:val="18"/>
              </w:rPr>
              <w:t>110</w:t>
            </w:r>
          </w:p>
        </w:tc>
      </w:tr>
      <w:tr>
        <w:trPr>
          <w:trHeight w:val="320" w:hRule="exact"/>
        </w:trPr>
        <w:tc>
          <w:tcPr>
            <w:tcW w:w="1453" w:type="dxa"/>
            <w:vMerge/>
          </w:tcPr>
          <w:p>
            <w:pPr/>
          </w:p>
        </w:tc>
        <w:tc>
          <w:tcPr>
            <w:tcW w:w="617" w:type="dxa"/>
            <w:vMerge/>
          </w:tcPr>
          <w:p>
            <w:pPr/>
          </w:p>
        </w:tc>
        <w:tc>
          <w:tcPr>
            <w:tcW w:w="1652" w:type="dxa"/>
          </w:tcPr>
          <w:p>
            <w:pPr/>
          </w:p>
        </w:tc>
        <w:tc>
          <w:tcPr>
            <w:tcW w:w="1589" w:type="dxa"/>
          </w:tcPr>
          <w:p>
            <w:pPr>
              <w:pStyle w:val="TableParagraph"/>
              <w:spacing w:line="202" w:lineRule="exact"/>
              <w:ind w:left="121" w:right="119"/>
              <w:jc w:val="center"/>
              <w:rPr>
                <w:sz w:val="18"/>
              </w:rPr>
            </w:pPr>
            <w:r>
              <w:rPr>
                <w:sz w:val="18"/>
              </w:rPr>
              <w:t>Cabosil 1kl</w:t>
            </w:r>
          </w:p>
        </w:tc>
        <w:tc>
          <w:tcPr>
            <w:tcW w:w="1000" w:type="dxa"/>
          </w:tcPr>
          <w:p>
            <w:pPr>
              <w:pStyle w:val="TableParagraph"/>
              <w:spacing w:line="202" w:lineRule="exact"/>
              <w:ind w:left="248" w:right="251"/>
              <w:jc w:val="center"/>
              <w:rPr>
                <w:sz w:val="18"/>
              </w:rPr>
            </w:pPr>
            <w:r>
              <w:rPr>
                <w:sz w:val="18"/>
              </w:rPr>
              <w:t>217</w:t>
            </w:r>
          </w:p>
        </w:tc>
        <w:tc>
          <w:tcPr>
            <w:tcW w:w="1176" w:type="dxa"/>
          </w:tcPr>
          <w:p>
            <w:pPr>
              <w:pStyle w:val="TableParagraph"/>
              <w:spacing w:line="202" w:lineRule="exact"/>
              <w:ind w:left="201" w:right="206"/>
              <w:jc w:val="center"/>
              <w:rPr>
                <w:sz w:val="18"/>
              </w:rPr>
            </w:pPr>
            <w:r>
              <w:rPr>
                <w:sz w:val="18"/>
              </w:rPr>
              <w:t>1 kl</w:t>
            </w:r>
          </w:p>
        </w:tc>
        <w:tc>
          <w:tcPr>
            <w:tcW w:w="1149" w:type="dxa"/>
          </w:tcPr>
          <w:p>
            <w:pPr>
              <w:pStyle w:val="TableParagraph"/>
              <w:spacing w:line="202" w:lineRule="exact"/>
              <w:ind w:left="325" w:right="325"/>
              <w:jc w:val="center"/>
              <w:rPr>
                <w:sz w:val="18"/>
              </w:rPr>
            </w:pPr>
            <w:r>
              <w:rPr>
                <w:sz w:val="18"/>
              </w:rPr>
              <w:t>217</w:t>
            </w:r>
          </w:p>
        </w:tc>
      </w:tr>
      <w:tr>
        <w:trPr>
          <w:trHeight w:val="628" w:hRule="exact"/>
        </w:trPr>
        <w:tc>
          <w:tcPr>
            <w:tcW w:w="1453" w:type="dxa"/>
            <w:vMerge/>
          </w:tcPr>
          <w:p>
            <w:pPr/>
          </w:p>
        </w:tc>
        <w:tc>
          <w:tcPr>
            <w:tcW w:w="617" w:type="dxa"/>
            <w:vMerge/>
          </w:tcPr>
          <w:p>
            <w:pPr/>
          </w:p>
        </w:tc>
        <w:tc>
          <w:tcPr>
            <w:tcW w:w="1652" w:type="dxa"/>
          </w:tcPr>
          <w:p>
            <w:pPr/>
          </w:p>
        </w:tc>
        <w:tc>
          <w:tcPr>
            <w:tcW w:w="1589" w:type="dxa"/>
          </w:tcPr>
          <w:p>
            <w:pPr>
              <w:pStyle w:val="TableParagraph"/>
              <w:spacing w:line="362" w:lineRule="auto"/>
              <w:ind w:left="216" w:right="193" w:firstLine="156"/>
              <w:rPr>
                <w:sz w:val="18"/>
              </w:rPr>
            </w:pPr>
            <w:r>
              <w:rPr>
                <w:sz w:val="18"/>
              </w:rPr>
              <w:t>Alcohol de polivinil 900 gr</w:t>
            </w:r>
          </w:p>
        </w:tc>
        <w:tc>
          <w:tcPr>
            <w:tcW w:w="1000" w:type="dxa"/>
          </w:tcPr>
          <w:p>
            <w:pPr>
              <w:pStyle w:val="TableParagraph"/>
              <w:spacing w:line="202" w:lineRule="exact"/>
              <w:ind w:left="249" w:right="249"/>
              <w:jc w:val="center"/>
              <w:rPr>
                <w:sz w:val="18"/>
              </w:rPr>
            </w:pPr>
            <w:r>
              <w:rPr>
                <w:sz w:val="18"/>
              </w:rPr>
              <w:t>37</w:t>
            </w:r>
          </w:p>
        </w:tc>
        <w:tc>
          <w:tcPr>
            <w:tcW w:w="1176" w:type="dxa"/>
          </w:tcPr>
          <w:p>
            <w:pPr>
              <w:pStyle w:val="TableParagraph"/>
              <w:spacing w:line="202" w:lineRule="exact"/>
              <w:ind w:left="201" w:right="206"/>
              <w:jc w:val="center"/>
              <w:rPr>
                <w:sz w:val="18"/>
              </w:rPr>
            </w:pPr>
            <w:r>
              <w:rPr>
                <w:sz w:val="18"/>
              </w:rPr>
              <w:t>1 kl</w:t>
            </w:r>
          </w:p>
        </w:tc>
        <w:tc>
          <w:tcPr>
            <w:tcW w:w="1149" w:type="dxa"/>
          </w:tcPr>
          <w:p>
            <w:pPr>
              <w:pStyle w:val="TableParagraph"/>
              <w:spacing w:line="202" w:lineRule="exact"/>
              <w:ind w:left="324" w:right="325"/>
              <w:jc w:val="center"/>
              <w:rPr>
                <w:sz w:val="18"/>
              </w:rPr>
            </w:pPr>
            <w:r>
              <w:rPr>
                <w:sz w:val="18"/>
              </w:rPr>
              <w:t>37</w:t>
            </w:r>
          </w:p>
        </w:tc>
      </w:tr>
      <w:tr>
        <w:trPr>
          <w:trHeight w:val="944" w:hRule="exact"/>
        </w:trPr>
        <w:tc>
          <w:tcPr>
            <w:tcW w:w="1453" w:type="dxa"/>
            <w:vMerge/>
          </w:tcPr>
          <w:p>
            <w:pPr/>
          </w:p>
        </w:tc>
        <w:tc>
          <w:tcPr>
            <w:tcW w:w="617" w:type="dxa"/>
            <w:vMerge/>
          </w:tcPr>
          <w:p>
            <w:pPr/>
          </w:p>
        </w:tc>
        <w:tc>
          <w:tcPr>
            <w:tcW w:w="1652" w:type="dxa"/>
          </w:tcPr>
          <w:p>
            <w:pPr/>
          </w:p>
        </w:tc>
        <w:tc>
          <w:tcPr>
            <w:tcW w:w="1589" w:type="dxa"/>
          </w:tcPr>
          <w:p>
            <w:pPr>
              <w:pStyle w:val="TableParagraph"/>
              <w:spacing w:line="360" w:lineRule="auto"/>
              <w:ind w:left="276" w:right="267"/>
              <w:jc w:val="center"/>
              <w:rPr>
                <w:sz w:val="18"/>
              </w:rPr>
            </w:pPr>
            <w:r>
              <w:rPr>
                <w:sz w:val="18"/>
              </w:rPr>
              <w:t>Cera desmoldante 800 gr</w:t>
            </w:r>
          </w:p>
        </w:tc>
        <w:tc>
          <w:tcPr>
            <w:tcW w:w="1000" w:type="dxa"/>
          </w:tcPr>
          <w:p>
            <w:pPr>
              <w:pStyle w:val="TableParagraph"/>
              <w:spacing w:line="206" w:lineRule="exact"/>
              <w:ind w:left="249" w:right="249"/>
              <w:jc w:val="center"/>
              <w:rPr>
                <w:sz w:val="18"/>
              </w:rPr>
            </w:pPr>
            <w:r>
              <w:rPr>
                <w:sz w:val="18"/>
              </w:rPr>
              <w:t>47</w:t>
            </w:r>
          </w:p>
        </w:tc>
        <w:tc>
          <w:tcPr>
            <w:tcW w:w="1176" w:type="dxa"/>
          </w:tcPr>
          <w:p>
            <w:pPr>
              <w:pStyle w:val="TableParagraph"/>
              <w:spacing w:line="206" w:lineRule="exact"/>
              <w:ind w:left="201" w:right="206"/>
              <w:jc w:val="center"/>
              <w:rPr>
                <w:sz w:val="18"/>
              </w:rPr>
            </w:pPr>
            <w:r>
              <w:rPr>
                <w:sz w:val="18"/>
              </w:rPr>
              <w:t>800 gr</w:t>
            </w:r>
          </w:p>
        </w:tc>
        <w:tc>
          <w:tcPr>
            <w:tcW w:w="1149" w:type="dxa"/>
          </w:tcPr>
          <w:p>
            <w:pPr>
              <w:pStyle w:val="TableParagraph"/>
              <w:spacing w:line="206" w:lineRule="exact"/>
              <w:ind w:left="324" w:right="325"/>
              <w:jc w:val="center"/>
              <w:rPr>
                <w:sz w:val="18"/>
              </w:rPr>
            </w:pPr>
            <w:r>
              <w:rPr>
                <w:sz w:val="18"/>
              </w:rPr>
              <w:t>47</w:t>
            </w:r>
          </w:p>
        </w:tc>
      </w:tr>
      <w:tr>
        <w:trPr>
          <w:trHeight w:val="320" w:hRule="exact"/>
        </w:trPr>
        <w:tc>
          <w:tcPr>
            <w:tcW w:w="1453" w:type="dxa"/>
            <w:vMerge/>
          </w:tcPr>
          <w:p>
            <w:pPr/>
          </w:p>
        </w:tc>
        <w:tc>
          <w:tcPr>
            <w:tcW w:w="617" w:type="dxa"/>
            <w:vMerge/>
          </w:tcPr>
          <w:p>
            <w:pPr/>
          </w:p>
        </w:tc>
        <w:tc>
          <w:tcPr>
            <w:tcW w:w="1652" w:type="dxa"/>
          </w:tcPr>
          <w:p>
            <w:pPr/>
          </w:p>
        </w:tc>
        <w:tc>
          <w:tcPr>
            <w:tcW w:w="1589" w:type="dxa"/>
          </w:tcPr>
          <w:p>
            <w:pPr>
              <w:pStyle w:val="TableParagraph"/>
              <w:spacing w:line="202" w:lineRule="exact"/>
              <w:ind w:left="126" w:right="119"/>
              <w:jc w:val="center"/>
              <w:rPr>
                <w:sz w:val="18"/>
              </w:rPr>
            </w:pPr>
            <w:r>
              <w:rPr>
                <w:sz w:val="18"/>
              </w:rPr>
              <w:t>Brocha</w:t>
            </w:r>
          </w:p>
        </w:tc>
        <w:tc>
          <w:tcPr>
            <w:tcW w:w="1000" w:type="dxa"/>
          </w:tcPr>
          <w:p>
            <w:pPr>
              <w:pStyle w:val="TableParagraph"/>
              <w:spacing w:line="202" w:lineRule="exact"/>
              <w:ind w:left="249" w:right="249"/>
              <w:jc w:val="center"/>
              <w:rPr>
                <w:sz w:val="18"/>
              </w:rPr>
            </w:pPr>
            <w:r>
              <w:rPr>
                <w:sz w:val="18"/>
              </w:rPr>
              <w:t>30</w:t>
            </w:r>
          </w:p>
        </w:tc>
        <w:tc>
          <w:tcPr>
            <w:tcW w:w="1176" w:type="dxa"/>
          </w:tcPr>
          <w:p>
            <w:pPr>
              <w:pStyle w:val="TableParagraph"/>
              <w:spacing w:line="202" w:lineRule="exact"/>
              <w:ind w:right="1"/>
              <w:jc w:val="center"/>
              <w:rPr>
                <w:sz w:val="18"/>
              </w:rPr>
            </w:pPr>
            <w:r>
              <w:rPr>
                <w:w w:val="99"/>
                <w:sz w:val="18"/>
              </w:rPr>
              <w:t>4</w:t>
            </w:r>
          </w:p>
        </w:tc>
        <w:tc>
          <w:tcPr>
            <w:tcW w:w="1149" w:type="dxa"/>
          </w:tcPr>
          <w:p>
            <w:pPr>
              <w:pStyle w:val="TableParagraph"/>
              <w:spacing w:line="202" w:lineRule="exact"/>
              <w:ind w:left="325" w:right="325"/>
              <w:jc w:val="center"/>
              <w:rPr>
                <w:sz w:val="18"/>
              </w:rPr>
            </w:pPr>
            <w:r>
              <w:rPr>
                <w:sz w:val="18"/>
              </w:rPr>
              <w:t>120</w:t>
            </w:r>
          </w:p>
        </w:tc>
      </w:tr>
      <w:tr>
        <w:trPr>
          <w:trHeight w:val="321" w:hRule="exact"/>
        </w:trPr>
        <w:tc>
          <w:tcPr>
            <w:tcW w:w="1453" w:type="dxa"/>
            <w:vMerge/>
          </w:tcPr>
          <w:p>
            <w:pPr/>
          </w:p>
        </w:tc>
        <w:tc>
          <w:tcPr>
            <w:tcW w:w="617" w:type="dxa"/>
            <w:vMerge/>
          </w:tcPr>
          <w:p>
            <w:pPr/>
          </w:p>
        </w:tc>
        <w:tc>
          <w:tcPr>
            <w:tcW w:w="1652" w:type="dxa"/>
          </w:tcPr>
          <w:p>
            <w:pPr/>
          </w:p>
        </w:tc>
        <w:tc>
          <w:tcPr>
            <w:tcW w:w="1589" w:type="dxa"/>
          </w:tcPr>
          <w:p>
            <w:pPr>
              <w:pStyle w:val="TableParagraph"/>
              <w:spacing w:line="202" w:lineRule="exact"/>
              <w:ind w:left="126" w:right="119"/>
              <w:jc w:val="center"/>
              <w:rPr>
                <w:sz w:val="18"/>
              </w:rPr>
            </w:pPr>
            <w:r>
              <w:rPr>
                <w:sz w:val="18"/>
              </w:rPr>
              <w:t>1kl Estopa</w:t>
            </w:r>
          </w:p>
        </w:tc>
        <w:tc>
          <w:tcPr>
            <w:tcW w:w="1000" w:type="dxa"/>
          </w:tcPr>
          <w:p>
            <w:pPr>
              <w:pStyle w:val="TableParagraph"/>
              <w:spacing w:line="202" w:lineRule="exact"/>
              <w:ind w:left="249" w:right="249"/>
              <w:jc w:val="center"/>
              <w:rPr>
                <w:sz w:val="18"/>
              </w:rPr>
            </w:pPr>
            <w:r>
              <w:rPr>
                <w:sz w:val="18"/>
              </w:rPr>
              <w:t>42</w:t>
            </w:r>
          </w:p>
        </w:tc>
        <w:tc>
          <w:tcPr>
            <w:tcW w:w="1176" w:type="dxa"/>
          </w:tcPr>
          <w:p>
            <w:pPr>
              <w:pStyle w:val="TableParagraph"/>
              <w:spacing w:line="202" w:lineRule="exact"/>
              <w:ind w:left="201" w:right="206"/>
              <w:jc w:val="center"/>
              <w:rPr>
                <w:sz w:val="18"/>
              </w:rPr>
            </w:pPr>
            <w:r>
              <w:rPr>
                <w:sz w:val="18"/>
              </w:rPr>
              <w:t>1 kl</w:t>
            </w:r>
          </w:p>
        </w:tc>
        <w:tc>
          <w:tcPr>
            <w:tcW w:w="1149" w:type="dxa"/>
          </w:tcPr>
          <w:p>
            <w:pPr>
              <w:pStyle w:val="TableParagraph"/>
              <w:spacing w:line="202" w:lineRule="exact"/>
              <w:ind w:left="324" w:right="325"/>
              <w:jc w:val="center"/>
              <w:rPr>
                <w:sz w:val="18"/>
              </w:rPr>
            </w:pPr>
            <w:r>
              <w:rPr>
                <w:sz w:val="18"/>
              </w:rPr>
              <w:t>42</w:t>
            </w:r>
          </w:p>
        </w:tc>
      </w:tr>
      <w:tr>
        <w:trPr>
          <w:trHeight w:val="320" w:hRule="exact"/>
        </w:trPr>
        <w:tc>
          <w:tcPr>
            <w:tcW w:w="1453" w:type="dxa"/>
            <w:vMerge/>
          </w:tcPr>
          <w:p>
            <w:pPr/>
          </w:p>
        </w:tc>
        <w:tc>
          <w:tcPr>
            <w:tcW w:w="617" w:type="dxa"/>
            <w:vMerge/>
          </w:tcPr>
          <w:p>
            <w:pPr/>
          </w:p>
        </w:tc>
        <w:tc>
          <w:tcPr>
            <w:tcW w:w="1652" w:type="dxa"/>
          </w:tcPr>
          <w:p>
            <w:pPr/>
          </w:p>
        </w:tc>
        <w:tc>
          <w:tcPr>
            <w:tcW w:w="1589" w:type="dxa"/>
          </w:tcPr>
          <w:p>
            <w:pPr>
              <w:pStyle w:val="TableParagraph"/>
              <w:spacing w:line="202" w:lineRule="exact"/>
              <w:ind w:left="126" w:right="119"/>
              <w:jc w:val="center"/>
              <w:rPr>
                <w:sz w:val="18"/>
              </w:rPr>
            </w:pPr>
            <w:r>
              <w:rPr>
                <w:sz w:val="18"/>
              </w:rPr>
              <w:t>1lt Tinner</w:t>
            </w:r>
          </w:p>
        </w:tc>
        <w:tc>
          <w:tcPr>
            <w:tcW w:w="1000" w:type="dxa"/>
          </w:tcPr>
          <w:p>
            <w:pPr>
              <w:pStyle w:val="TableParagraph"/>
              <w:spacing w:line="202" w:lineRule="exact"/>
              <w:ind w:left="249" w:right="249"/>
              <w:jc w:val="center"/>
              <w:rPr>
                <w:sz w:val="18"/>
              </w:rPr>
            </w:pPr>
            <w:r>
              <w:rPr>
                <w:sz w:val="18"/>
              </w:rPr>
              <w:t>34</w:t>
            </w:r>
          </w:p>
        </w:tc>
        <w:tc>
          <w:tcPr>
            <w:tcW w:w="1176" w:type="dxa"/>
          </w:tcPr>
          <w:p>
            <w:pPr>
              <w:pStyle w:val="TableParagraph"/>
              <w:spacing w:line="202" w:lineRule="exact"/>
              <w:ind w:left="201" w:right="202"/>
              <w:jc w:val="center"/>
              <w:rPr>
                <w:sz w:val="18"/>
              </w:rPr>
            </w:pPr>
            <w:r>
              <w:rPr>
                <w:sz w:val="18"/>
              </w:rPr>
              <w:t>1 litro</w:t>
            </w:r>
          </w:p>
        </w:tc>
        <w:tc>
          <w:tcPr>
            <w:tcW w:w="1149" w:type="dxa"/>
          </w:tcPr>
          <w:p>
            <w:pPr>
              <w:pStyle w:val="TableParagraph"/>
              <w:spacing w:line="202" w:lineRule="exact"/>
              <w:ind w:left="324" w:right="325"/>
              <w:jc w:val="center"/>
              <w:rPr>
                <w:sz w:val="18"/>
              </w:rPr>
            </w:pPr>
            <w:r>
              <w:rPr>
                <w:sz w:val="18"/>
              </w:rPr>
              <w:t>34</w:t>
            </w:r>
          </w:p>
        </w:tc>
      </w:tr>
      <w:tr>
        <w:trPr>
          <w:trHeight w:val="320" w:hRule="exact"/>
        </w:trPr>
        <w:tc>
          <w:tcPr>
            <w:tcW w:w="1453" w:type="dxa"/>
            <w:vMerge/>
          </w:tcPr>
          <w:p>
            <w:pPr/>
          </w:p>
        </w:tc>
        <w:tc>
          <w:tcPr>
            <w:tcW w:w="617" w:type="dxa"/>
            <w:vMerge/>
          </w:tcPr>
          <w:p>
            <w:pPr/>
          </w:p>
        </w:tc>
        <w:tc>
          <w:tcPr>
            <w:tcW w:w="1652" w:type="dxa"/>
          </w:tcPr>
          <w:p>
            <w:pPr/>
          </w:p>
        </w:tc>
        <w:tc>
          <w:tcPr>
            <w:tcW w:w="1589" w:type="dxa"/>
          </w:tcPr>
          <w:p>
            <w:pPr>
              <w:pStyle w:val="TableParagraph"/>
              <w:spacing w:line="206" w:lineRule="exact"/>
              <w:ind w:left="129" w:right="119"/>
              <w:jc w:val="center"/>
              <w:rPr>
                <w:sz w:val="18"/>
              </w:rPr>
            </w:pPr>
            <w:r>
              <w:rPr>
                <w:sz w:val="18"/>
              </w:rPr>
              <w:t>cutter</w:t>
            </w:r>
          </w:p>
        </w:tc>
        <w:tc>
          <w:tcPr>
            <w:tcW w:w="1000" w:type="dxa"/>
          </w:tcPr>
          <w:p>
            <w:pPr>
              <w:pStyle w:val="TableParagraph"/>
              <w:spacing w:line="206" w:lineRule="exact"/>
              <w:ind w:left="249" w:right="249"/>
              <w:jc w:val="center"/>
              <w:rPr>
                <w:sz w:val="18"/>
              </w:rPr>
            </w:pPr>
            <w:r>
              <w:rPr>
                <w:sz w:val="18"/>
              </w:rPr>
              <w:t>30</w:t>
            </w:r>
          </w:p>
        </w:tc>
        <w:tc>
          <w:tcPr>
            <w:tcW w:w="1176" w:type="dxa"/>
          </w:tcPr>
          <w:p>
            <w:pPr>
              <w:pStyle w:val="TableParagraph"/>
              <w:spacing w:line="206" w:lineRule="exact"/>
              <w:ind w:right="1"/>
              <w:jc w:val="center"/>
              <w:rPr>
                <w:sz w:val="18"/>
              </w:rPr>
            </w:pPr>
            <w:r>
              <w:rPr>
                <w:w w:val="99"/>
                <w:sz w:val="18"/>
              </w:rPr>
              <w:t>1</w:t>
            </w:r>
          </w:p>
        </w:tc>
        <w:tc>
          <w:tcPr>
            <w:tcW w:w="1149" w:type="dxa"/>
          </w:tcPr>
          <w:p>
            <w:pPr>
              <w:pStyle w:val="TableParagraph"/>
              <w:spacing w:line="206" w:lineRule="exact"/>
              <w:ind w:left="324" w:right="325"/>
              <w:jc w:val="center"/>
              <w:rPr>
                <w:sz w:val="18"/>
              </w:rPr>
            </w:pPr>
            <w:r>
              <w:rPr>
                <w:sz w:val="18"/>
              </w:rPr>
              <w:t>30</w:t>
            </w:r>
          </w:p>
        </w:tc>
      </w:tr>
      <w:tr>
        <w:trPr>
          <w:trHeight w:val="320" w:hRule="exact"/>
        </w:trPr>
        <w:tc>
          <w:tcPr>
            <w:tcW w:w="1453" w:type="dxa"/>
            <w:vMerge/>
          </w:tcPr>
          <w:p>
            <w:pPr/>
          </w:p>
        </w:tc>
        <w:tc>
          <w:tcPr>
            <w:tcW w:w="617" w:type="dxa"/>
            <w:vMerge/>
          </w:tcPr>
          <w:p>
            <w:pPr/>
          </w:p>
        </w:tc>
        <w:tc>
          <w:tcPr>
            <w:tcW w:w="1652" w:type="dxa"/>
          </w:tcPr>
          <w:p>
            <w:pPr>
              <w:pStyle w:val="TableParagraph"/>
              <w:spacing w:line="206" w:lineRule="exact"/>
              <w:ind w:left="101" w:right="99"/>
              <w:jc w:val="center"/>
              <w:rPr>
                <w:sz w:val="18"/>
              </w:rPr>
            </w:pPr>
            <w:r>
              <w:rPr>
                <w:sz w:val="18"/>
              </w:rPr>
              <w:t>Pistola de aire</w:t>
            </w:r>
          </w:p>
        </w:tc>
        <w:tc>
          <w:tcPr>
            <w:tcW w:w="1589" w:type="dxa"/>
          </w:tcPr>
          <w:p>
            <w:pPr/>
          </w:p>
        </w:tc>
        <w:tc>
          <w:tcPr>
            <w:tcW w:w="1000" w:type="dxa"/>
          </w:tcPr>
          <w:p>
            <w:pPr>
              <w:pStyle w:val="TableParagraph"/>
              <w:spacing w:line="206" w:lineRule="exact"/>
              <w:ind w:left="248" w:right="251"/>
              <w:jc w:val="center"/>
              <w:rPr>
                <w:sz w:val="18"/>
              </w:rPr>
            </w:pPr>
            <w:r>
              <w:rPr>
                <w:sz w:val="18"/>
              </w:rPr>
              <w:t>500</w:t>
            </w:r>
          </w:p>
        </w:tc>
        <w:tc>
          <w:tcPr>
            <w:tcW w:w="1176" w:type="dxa"/>
          </w:tcPr>
          <w:p>
            <w:pPr>
              <w:pStyle w:val="TableParagraph"/>
              <w:spacing w:line="206" w:lineRule="exact"/>
              <w:ind w:right="1"/>
              <w:jc w:val="center"/>
              <w:rPr>
                <w:sz w:val="18"/>
              </w:rPr>
            </w:pPr>
            <w:r>
              <w:rPr>
                <w:w w:val="99"/>
                <w:sz w:val="18"/>
              </w:rPr>
              <w:t>1</w:t>
            </w:r>
          </w:p>
        </w:tc>
        <w:tc>
          <w:tcPr>
            <w:tcW w:w="1149" w:type="dxa"/>
          </w:tcPr>
          <w:p>
            <w:pPr>
              <w:pStyle w:val="TableParagraph"/>
              <w:spacing w:line="206" w:lineRule="exact"/>
              <w:ind w:left="325" w:right="325"/>
              <w:jc w:val="center"/>
              <w:rPr>
                <w:sz w:val="18"/>
              </w:rPr>
            </w:pPr>
            <w:r>
              <w:rPr>
                <w:sz w:val="18"/>
              </w:rPr>
              <w:t>500</w:t>
            </w:r>
          </w:p>
        </w:tc>
      </w:tr>
      <w:tr>
        <w:trPr>
          <w:trHeight w:val="330" w:hRule="exact"/>
        </w:trPr>
        <w:tc>
          <w:tcPr>
            <w:tcW w:w="1453" w:type="dxa"/>
            <w:vMerge/>
            <w:tcBorders>
              <w:bottom w:val="single" w:sz="11" w:space="0" w:color="000000"/>
            </w:tcBorders>
          </w:tcPr>
          <w:p>
            <w:pPr/>
          </w:p>
        </w:tc>
        <w:tc>
          <w:tcPr>
            <w:tcW w:w="617" w:type="dxa"/>
            <w:vMerge/>
            <w:tcBorders>
              <w:bottom w:val="single" w:sz="11" w:space="0" w:color="000000"/>
            </w:tcBorders>
          </w:tcPr>
          <w:p>
            <w:pPr/>
          </w:p>
        </w:tc>
        <w:tc>
          <w:tcPr>
            <w:tcW w:w="1652" w:type="dxa"/>
            <w:tcBorders>
              <w:bottom w:val="single" w:sz="11" w:space="0" w:color="000000"/>
            </w:tcBorders>
          </w:tcPr>
          <w:p>
            <w:pPr>
              <w:pStyle w:val="TableParagraph"/>
              <w:spacing w:line="206" w:lineRule="exact"/>
              <w:ind w:left="101" w:right="98"/>
              <w:jc w:val="center"/>
              <w:rPr>
                <w:sz w:val="18"/>
              </w:rPr>
            </w:pPr>
            <w:r>
              <w:rPr>
                <w:sz w:val="18"/>
              </w:rPr>
              <w:t>Moto tool</w:t>
            </w:r>
          </w:p>
        </w:tc>
        <w:tc>
          <w:tcPr>
            <w:tcW w:w="1589" w:type="dxa"/>
            <w:tcBorders>
              <w:bottom w:val="single" w:sz="11" w:space="0" w:color="000000"/>
            </w:tcBorders>
          </w:tcPr>
          <w:p>
            <w:pPr/>
          </w:p>
        </w:tc>
        <w:tc>
          <w:tcPr>
            <w:tcW w:w="1000" w:type="dxa"/>
            <w:tcBorders>
              <w:bottom w:val="single" w:sz="11" w:space="0" w:color="000000"/>
            </w:tcBorders>
          </w:tcPr>
          <w:p>
            <w:pPr>
              <w:pStyle w:val="TableParagraph"/>
              <w:spacing w:line="206" w:lineRule="exact"/>
              <w:ind w:left="248" w:right="251"/>
              <w:jc w:val="center"/>
              <w:rPr>
                <w:sz w:val="18"/>
              </w:rPr>
            </w:pPr>
            <w:r>
              <w:rPr>
                <w:sz w:val="18"/>
              </w:rPr>
              <w:t>900</w:t>
            </w:r>
          </w:p>
        </w:tc>
        <w:tc>
          <w:tcPr>
            <w:tcW w:w="1176" w:type="dxa"/>
            <w:tcBorders>
              <w:bottom w:val="single" w:sz="11" w:space="0" w:color="000000"/>
            </w:tcBorders>
          </w:tcPr>
          <w:p>
            <w:pPr>
              <w:pStyle w:val="TableParagraph"/>
              <w:spacing w:line="206" w:lineRule="exact"/>
              <w:ind w:right="1"/>
              <w:jc w:val="center"/>
              <w:rPr>
                <w:sz w:val="18"/>
              </w:rPr>
            </w:pPr>
            <w:r>
              <w:rPr>
                <w:w w:val="99"/>
                <w:sz w:val="18"/>
              </w:rPr>
              <w:t>1</w:t>
            </w:r>
          </w:p>
        </w:tc>
        <w:tc>
          <w:tcPr>
            <w:tcW w:w="1149" w:type="dxa"/>
            <w:tcBorders>
              <w:bottom w:val="single" w:sz="11" w:space="0" w:color="000000"/>
            </w:tcBorders>
          </w:tcPr>
          <w:p>
            <w:pPr>
              <w:pStyle w:val="TableParagraph"/>
              <w:spacing w:line="206" w:lineRule="exact"/>
              <w:ind w:left="325" w:right="325"/>
              <w:jc w:val="center"/>
              <w:rPr>
                <w:sz w:val="18"/>
              </w:rPr>
            </w:pPr>
            <w:r>
              <w:rPr>
                <w:sz w:val="18"/>
              </w:rPr>
              <w:t>900</w:t>
            </w:r>
          </w:p>
        </w:tc>
      </w:tr>
      <w:tr>
        <w:trPr>
          <w:trHeight w:val="334" w:hRule="exact"/>
        </w:trPr>
        <w:tc>
          <w:tcPr>
            <w:tcW w:w="1453" w:type="dxa"/>
            <w:vMerge w:val="restart"/>
            <w:tcBorders>
              <w:top w:val="single" w:sz="11" w:space="0" w:color="000000"/>
            </w:tcBorders>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103"/>
              <w:ind w:left="400" w:right="247"/>
              <w:rPr>
                <w:sz w:val="18"/>
              </w:rPr>
            </w:pPr>
            <w:r>
              <w:rPr>
                <w:sz w:val="18"/>
              </w:rPr>
              <w:t>Vaciado</w:t>
            </w:r>
          </w:p>
        </w:tc>
        <w:tc>
          <w:tcPr>
            <w:tcW w:w="617" w:type="dxa"/>
            <w:vMerge w:val="restart"/>
            <w:tcBorders>
              <w:top w:val="single" w:sz="11" w:space="0" w:color="000000"/>
            </w:tcBorders>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103"/>
              <w:ind w:left="184" w:right="184"/>
              <w:jc w:val="center"/>
              <w:rPr>
                <w:sz w:val="18"/>
              </w:rPr>
            </w:pPr>
            <w:r>
              <w:rPr>
                <w:sz w:val="18"/>
              </w:rPr>
              <w:t>16</w:t>
            </w:r>
          </w:p>
        </w:tc>
        <w:tc>
          <w:tcPr>
            <w:tcW w:w="1652" w:type="dxa"/>
            <w:tcBorders>
              <w:top w:val="single" w:sz="11" w:space="0" w:color="000000"/>
            </w:tcBorders>
          </w:tcPr>
          <w:p>
            <w:pPr/>
          </w:p>
        </w:tc>
        <w:tc>
          <w:tcPr>
            <w:tcW w:w="1589" w:type="dxa"/>
            <w:tcBorders>
              <w:top w:val="single" w:sz="11" w:space="0" w:color="000000"/>
            </w:tcBorders>
          </w:tcPr>
          <w:p>
            <w:pPr>
              <w:pStyle w:val="TableParagraph"/>
              <w:spacing w:line="206" w:lineRule="exact"/>
              <w:ind w:left="125" w:right="119"/>
              <w:jc w:val="center"/>
              <w:rPr>
                <w:sz w:val="18"/>
              </w:rPr>
            </w:pPr>
            <w:r>
              <w:rPr>
                <w:sz w:val="18"/>
              </w:rPr>
              <w:t>Detergente</w:t>
            </w:r>
          </w:p>
        </w:tc>
        <w:tc>
          <w:tcPr>
            <w:tcW w:w="1000" w:type="dxa"/>
            <w:tcBorders>
              <w:top w:val="single" w:sz="11" w:space="0" w:color="000000"/>
            </w:tcBorders>
          </w:tcPr>
          <w:p>
            <w:pPr>
              <w:pStyle w:val="TableParagraph"/>
              <w:spacing w:line="206" w:lineRule="exact"/>
              <w:ind w:left="249" w:right="249"/>
              <w:jc w:val="center"/>
              <w:rPr>
                <w:sz w:val="18"/>
              </w:rPr>
            </w:pPr>
            <w:r>
              <w:rPr>
                <w:sz w:val="18"/>
              </w:rPr>
              <w:t>10</w:t>
            </w:r>
          </w:p>
        </w:tc>
        <w:tc>
          <w:tcPr>
            <w:tcW w:w="1176" w:type="dxa"/>
            <w:tcBorders>
              <w:top w:val="single" w:sz="11" w:space="0" w:color="000000"/>
            </w:tcBorders>
          </w:tcPr>
          <w:p>
            <w:pPr>
              <w:pStyle w:val="TableParagraph"/>
              <w:spacing w:line="206" w:lineRule="exact"/>
              <w:ind w:left="201" w:right="206"/>
              <w:jc w:val="center"/>
              <w:rPr>
                <w:sz w:val="18"/>
              </w:rPr>
            </w:pPr>
            <w:r>
              <w:rPr>
                <w:sz w:val="18"/>
              </w:rPr>
              <w:t>200 gr</w:t>
            </w:r>
          </w:p>
        </w:tc>
        <w:tc>
          <w:tcPr>
            <w:tcW w:w="1149" w:type="dxa"/>
            <w:tcBorders>
              <w:top w:val="single" w:sz="11" w:space="0" w:color="000000"/>
            </w:tcBorders>
          </w:tcPr>
          <w:p>
            <w:pPr>
              <w:pStyle w:val="TableParagraph"/>
              <w:spacing w:line="206" w:lineRule="exact"/>
              <w:ind w:left="324" w:right="325"/>
              <w:jc w:val="center"/>
              <w:rPr>
                <w:sz w:val="18"/>
              </w:rPr>
            </w:pPr>
            <w:r>
              <w:rPr>
                <w:sz w:val="18"/>
              </w:rPr>
              <w:t>10</w:t>
            </w:r>
          </w:p>
        </w:tc>
      </w:tr>
      <w:tr>
        <w:trPr>
          <w:trHeight w:val="320" w:hRule="exact"/>
        </w:trPr>
        <w:tc>
          <w:tcPr>
            <w:tcW w:w="1453" w:type="dxa"/>
            <w:vMerge/>
          </w:tcPr>
          <w:p>
            <w:pPr/>
          </w:p>
        </w:tc>
        <w:tc>
          <w:tcPr>
            <w:tcW w:w="617" w:type="dxa"/>
            <w:vMerge/>
          </w:tcPr>
          <w:p>
            <w:pPr/>
          </w:p>
        </w:tc>
        <w:tc>
          <w:tcPr>
            <w:tcW w:w="1652" w:type="dxa"/>
            <w:tcBorders>
              <w:bottom w:val="single" w:sz="3" w:space="0" w:color="000000"/>
            </w:tcBorders>
          </w:tcPr>
          <w:p>
            <w:pPr/>
          </w:p>
        </w:tc>
        <w:tc>
          <w:tcPr>
            <w:tcW w:w="1589" w:type="dxa"/>
            <w:tcBorders>
              <w:bottom w:val="single" w:sz="3" w:space="0" w:color="000000"/>
            </w:tcBorders>
          </w:tcPr>
          <w:p>
            <w:pPr>
              <w:pStyle w:val="TableParagraph"/>
              <w:spacing w:line="202" w:lineRule="exact"/>
              <w:ind w:left="128" w:right="119"/>
              <w:jc w:val="center"/>
              <w:rPr>
                <w:sz w:val="18"/>
              </w:rPr>
            </w:pPr>
            <w:r>
              <w:rPr>
                <w:sz w:val="18"/>
              </w:rPr>
              <w:t>Agua 20 lt</w:t>
            </w:r>
          </w:p>
        </w:tc>
        <w:tc>
          <w:tcPr>
            <w:tcW w:w="1000" w:type="dxa"/>
            <w:tcBorders>
              <w:bottom w:val="single" w:sz="3" w:space="0" w:color="000000"/>
            </w:tcBorders>
          </w:tcPr>
          <w:p>
            <w:pPr>
              <w:pStyle w:val="TableParagraph"/>
              <w:spacing w:line="202" w:lineRule="exact"/>
              <w:ind w:left="249" w:right="249"/>
              <w:jc w:val="center"/>
              <w:rPr>
                <w:sz w:val="18"/>
              </w:rPr>
            </w:pPr>
            <w:r>
              <w:rPr>
                <w:sz w:val="18"/>
              </w:rPr>
              <w:t>60</w:t>
            </w:r>
          </w:p>
        </w:tc>
        <w:tc>
          <w:tcPr>
            <w:tcW w:w="1176" w:type="dxa"/>
            <w:tcBorders>
              <w:bottom w:val="single" w:sz="3" w:space="0" w:color="000000"/>
            </w:tcBorders>
          </w:tcPr>
          <w:p>
            <w:pPr>
              <w:pStyle w:val="TableParagraph"/>
              <w:spacing w:line="202" w:lineRule="exact"/>
              <w:ind w:left="201" w:right="202"/>
              <w:jc w:val="center"/>
              <w:rPr>
                <w:sz w:val="18"/>
              </w:rPr>
            </w:pPr>
            <w:r>
              <w:rPr>
                <w:sz w:val="18"/>
              </w:rPr>
              <w:t>20 lt</w:t>
            </w:r>
          </w:p>
        </w:tc>
        <w:tc>
          <w:tcPr>
            <w:tcW w:w="1149" w:type="dxa"/>
            <w:tcBorders>
              <w:bottom w:val="single" w:sz="3" w:space="0" w:color="000000"/>
            </w:tcBorders>
          </w:tcPr>
          <w:p>
            <w:pPr>
              <w:pStyle w:val="TableParagraph"/>
              <w:spacing w:line="202" w:lineRule="exact"/>
              <w:ind w:left="324" w:right="325"/>
              <w:jc w:val="center"/>
              <w:rPr>
                <w:sz w:val="18"/>
              </w:rPr>
            </w:pPr>
            <w:r>
              <w:rPr>
                <w:sz w:val="18"/>
              </w:rPr>
              <w:t>60</w:t>
            </w:r>
          </w:p>
        </w:tc>
      </w:tr>
      <w:tr>
        <w:trPr>
          <w:trHeight w:val="628" w:hRule="exact"/>
        </w:trPr>
        <w:tc>
          <w:tcPr>
            <w:tcW w:w="1453" w:type="dxa"/>
            <w:vMerge/>
          </w:tcPr>
          <w:p>
            <w:pPr/>
          </w:p>
        </w:tc>
        <w:tc>
          <w:tcPr>
            <w:tcW w:w="617" w:type="dxa"/>
            <w:vMerge/>
          </w:tcPr>
          <w:p>
            <w:pPr/>
          </w:p>
        </w:tc>
        <w:tc>
          <w:tcPr>
            <w:tcW w:w="1652" w:type="dxa"/>
            <w:tcBorders>
              <w:top w:val="single" w:sz="3" w:space="0" w:color="000000"/>
            </w:tcBorders>
          </w:tcPr>
          <w:p>
            <w:pPr/>
          </w:p>
        </w:tc>
        <w:tc>
          <w:tcPr>
            <w:tcW w:w="1589" w:type="dxa"/>
            <w:tcBorders>
              <w:top w:val="single" w:sz="3" w:space="0" w:color="000000"/>
            </w:tcBorders>
          </w:tcPr>
          <w:p>
            <w:pPr>
              <w:pStyle w:val="TableParagraph"/>
              <w:spacing w:line="362" w:lineRule="auto"/>
              <w:ind w:left="284" w:right="256" w:hanging="4"/>
              <w:rPr>
                <w:sz w:val="18"/>
              </w:rPr>
            </w:pPr>
            <w:r>
              <w:rPr>
                <w:sz w:val="18"/>
              </w:rPr>
              <w:t>Tornillos con mariposa 1kl</w:t>
            </w:r>
          </w:p>
        </w:tc>
        <w:tc>
          <w:tcPr>
            <w:tcW w:w="1000" w:type="dxa"/>
            <w:tcBorders>
              <w:top w:val="single" w:sz="3" w:space="0" w:color="000000"/>
            </w:tcBorders>
          </w:tcPr>
          <w:p>
            <w:pPr>
              <w:pStyle w:val="TableParagraph"/>
              <w:spacing w:line="202" w:lineRule="exact"/>
              <w:ind w:left="248" w:right="251"/>
              <w:jc w:val="center"/>
              <w:rPr>
                <w:sz w:val="18"/>
              </w:rPr>
            </w:pPr>
            <w:r>
              <w:rPr>
                <w:sz w:val="18"/>
              </w:rPr>
              <w:t>150</w:t>
            </w:r>
          </w:p>
        </w:tc>
        <w:tc>
          <w:tcPr>
            <w:tcW w:w="1176" w:type="dxa"/>
            <w:tcBorders>
              <w:top w:val="single" w:sz="3" w:space="0" w:color="000000"/>
            </w:tcBorders>
          </w:tcPr>
          <w:p>
            <w:pPr>
              <w:pStyle w:val="TableParagraph"/>
              <w:spacing w:line="202" w:lineRule="exact"/>
              <w:ind w:left="201" w:right="206"/>
              <w:jc w:val="center"/>
              <w:rPr>
                <w:sz w:val="18"/>
              </w:rPr>
            </w:pPr>
            <w:r>
              <w:rPr>
                <w:sz w:val="18"/>
              </w:rPr>
              <w:t>1 kl</w:t>
            </w:r>
          </w:p>
        </w:tc>
        <w:tc>
          <w:tcPr>
            <w:tcW w:w="1149" w:type="dxa"/>
            <w:tcBorders>
              <w:top w:val="single" w:sz="3" w:space="0" w:color="000000"/>
            </w:tcBorders>
          </w:tcPr>
          <w:p>
            <w:pPr>
              <w:pStyle w:val="TableParagraph"/>
              <w:spacing w:line="202" w:lineRule="exact"/>
              <w:ind w:left="325" w:right="325"/>
              <w:jc w:val="center"/>
              <w:rPr>
                <w:sz w:val="18"/>
              </w:rPr>
            </w:pPr>
            <w:r>
              <w:rPr>
                <w:sz w:val="18"/>
              </w:rPr>
              <w:t>150</w:t>
            </w:r>
          </w:p>
        </w:tc>
      </w:tr>
      <w:tr>
        <w:trPr>
          <w:trHeight w:val="324" w:hRule="exact"/>
        </w:trPr>
        <w:tc>
          <w:tcPr>
            <w:tcW w:w="1453" w:type="dxa"/>
            <w:vMerge/>
          </w:tcPr>
          <w:p>
            <w:pPr/>
          </w:p>
        </w:tc>
        <w:tc>
          <w:tcPr>
            <w:tcW w:w="617" w:type="dxa"/>
            <w:vMerge/>
          </w:tcPr>
          <w:p>
            <w:pPr/>
          </w:p>
        </w:tc>
        <w:tc>
          <w:tcPr>
            <w:tcW w:w="1652" w:type="dxa"/>
          </w:tcPr>
          <w:p>
            <w:pPr/>
          </w:p>
        </w:tc>
        <w:tc>
          <w:tcPr>
            <w:tcW w:w="1589" w:type="dxa"/>
          </w:tcPr>
          <w:p>
            <w:pPr>
              <w:pStyle w:val="TableParagraph"/>
              <w:spacing w:line="206" w:lineRule="exact"/>
              <w:ind w:left="129" w:right="119"/>
              <w:jc w:val="center"/>
              <w:rPr>
                <w:sz w:val="18"/>
              </w:rPr>
            </w:pPr>
            <w:r>
              <w:rPr>
                <w:sz w:val="18"/>
              </w:rPr>
              <w:t>Resina poliéster</w:t>
            </w:r>
          </w:p>
        </w:tc>
        <w:tc>
          <w:tcPr>
            <w:tcW w:w="1000" w:type="dxa"/>
          </w:tcPr>
          <w:p>
            <w:pPr>
              <w:pStyle w:val="TableParagraph"/>
              <w:spacing w:line="206" w:lineRule="exact"/>
              <w:ind w:left="249" w:right="249"/>
              <w:jc w:val="center"/>
              <w:rPr>
                <w:sz w:val="18"/>
              </w:rPr>
            </w:pPr>
            <w:r>
              <w:rPr>
                <w:sz w:val="18"/>
              </w:rPr>
              <w:t>63</w:t>
            </w:r>
          </w:p>
        </w:tc>
        <w:tc>
          <w:tcPr>
            <w:tcW w:w="1176" w:type="dxa"/>
          </w:tcPr>
          <w:p>
            <w:pPr>
              <w:pStyle w:val="TableParagraph"/>
              <w:spacing w:line="206" w:lineRule="exact"/>
              <w:ind w:left="197" w:right="206"/>
              <w:jc w:val="center"/>
              <w:rPr>
                <w:sz w:val="18"/>
              </w:rPr>
            </w:pPr>
            <w:r>
              <w:rPr>
                <w:sz w:val="18"/>
              </w:rPr>
              <w:t>1kl</w:t>
            </w:r>
          </w:p>
        </w:tc>
        <w:tc>
          <w:tcPr>
            <w:tcW w:w="1149" w:type="dxa"/>
          </w:tcPr>
          <w:p>
            <w:pPr>
              <w:pStyle w:val="TableParagraph"/>
              <w:spacing w:line="206" w:lineRule="exact"/>
              <w:ind w:left="324" w:right="325"/>
              <w:jc w:val="center"/>
              <w:rPr>
                <w:sz w:val="18"/>
              </w:rPr>
            </w:pPr>
            <w:r>
              <w:rPr>
                <w:sz w:val="18"/>
              </w:rPr>
              <w:t>63</w:t>
            </w:r>
          </w:p>
        </w:tc>
      </w:tr>
      <w:tr>
        <w:trPr>
          <w:trHeight w:val="628" w:hRule="exact"/>
        </w:trPr>
        <w:tc>
          <w:tcPr>
            <w:tcW w:w="1453" w:type="dxa"/>
            <w:vMerge/>
          </w:tcPr>
          <w:p>
            <w:pPr/>
          </w:p>
        </w:tc>
        <w:tc>
          <w:tcPr>
            <w:tcW w:w="617" w:type="dxa"/>
            <w:vMerge/>
          </w:tcPr>
          <w:p>
            <w:pPr/>
          </w:p>
        </w:tc>
        <w:tc>
          <w:tcPr>
            <w:tcW w:w="1652" w:type="dxa"/>
          </w:tcPr>
          <w:p>
            <w:pPr/>
          </w:p>
        </w:tc>
        <w:tc>
          <w:tcPr>
            <w:tcW w:w="1589" w:type="dxa"/>
          </w:tcPr>
          <w:p>
            <w:pPr>
              <w:pStyle w:val="TableParagraph"/>
              <w:spacing w:line="362" w:lineRule="auto"/>
              <w:ind w:left="408" w:right="221" w:hanging="160"/>
              <w:rPr>
                <w:sz w:val="18"/>
              </w:rPr>
            </w:pPr>
            <w:r>
              <w:rPr>
                <w:sz w:val="18"/>
              </w:rPr>
              <w:t>Carbonato de calcio 1Kl</w:t>
            </w:r>
          </w:p>
        </w:tc>
        <w:tc>
          <w:tcPr>
            <w:tcW w:w="1000" w:type="dxa"/>
          </w:tcPr>
          <w:p>
            <w:pPr>
              <w:pStyle w:val="TableParagraph"/>
              <w:spacing w:line="202" w:lineRule="exact"/>
              <w:ind w:left="248" w:right="251"/>
              <w:jc w:val="center"/>
              <w:rPr>
                <w:sz w:val="18"/>
              </w:rPr>
            </w:pPr>
            <w:r>
              <w:rPr>
                <w:sz w:val="18"/>
              </w:rPr>
              <w:t>200</w:t>
            </w:r>
          </w:p>
        </w:tc>
        <w:tc>
          <w:tcPr>
            <w:tcW w:w="1176" w:type="dxa"/>
          </w:tcPr>
          <w:p>
            <w:pPr>
              <w:pStyle w:val="TableParagraph"/>
              <w:spacing w:line="202" w:lineRule="exact"/>
              <w:ind w:left="201" w:right="206"/>
              <w:jc w:val="center"/>
              <w:rPr>
                <w:sz w:val="18"/>
              </w:rPr>
            </w:pPr>
            <w:r>
              <w:rPr>
                <w:sz w:val="18"/>
              </w:rPr>
              <w:t>1 Kl</w:t>
            </w:r>
          </w:p>
        </w:tc>
        <w:tc>
          <w:tcPr>
            <w:tcW w:w="1149" w:type="dxa"/>
          </w:tcPr>
          <w:p>
            <w:pPr>
              <w:pStyle w:val="TableParagraph"/>
              <w:spacing w:line="202" w:lineRule="exact"/>
              <w:ind w:left="325" w:right="325"/>
              <w:jc w:val="center"/>
              <w:rPr>
                <w:sz w:val="18"/>
              </w:rPr>
            </w:pPr>
            <w:r>
              <w:rPr>
                <w:sz w:val="18"/>
              </w:rPr>
              <w:t>200</w:t>
            </w:r>
          </w:p>
        </w:tc>
      </w:tr>
      <w:tr>
        <w:trPr>
          <w:trHeight w:val="330" w:hRule="exact"/>
        </w:trPr>
        <w:tc>
          <w:tcPr>
            <w:tcW w:w="1453" w:type="dxa"/>
            <w:vMerge/>
            <w:tcBorders>
              <w:bottom w:val="single" w:sz="11" w:space="0" w:color="000000"/>
            </w:tcBorders>
          </w:tcPr>
          <w:p>
            <w:pPr/>
          </w:p>
        </w:tc>
        <w:tc>
          <w:tcPr>
            <w:tcW w:w="617" w:type="dxa"/>
            <w:tcBorders>
              <w:bottom w:val="single" w:sz="11" w:space="0" w:color="000000"/>
            </w:tcBorders>
          </w:tcPr>
          <w:p>
            <w:pPr/>
          </w:p>
        </w:tc>
        <w:tc>
          <w:tcPr>
            <w:tcW w:w="1652" w:type="dxa"/>
            <w:tcBorders>
              <w:bottom w:val="single" w:sz="11" w:space="0" w:color="000000"/>
            </w:tcBorders>
          </w:tcPr>
          <w:p>
            <w:pPr>
              <w:pStyle w:val="TableParagraph"/>
              <w:spacing w:line="206" w:lineRule="exact"/>
              <w:ind w:left="101" w:right="99"/>
              <w:jc w:val="center"/>
              <w:rPr>
                <w:sz w:val="18"/>
              </w:rPr>
            </w:pPr>
            <w:r>
              <w:rPr>
                <w:sz w:val="18"/>
              </w:rPr>
              <w:t>Pistola de aire</w:t>
            </w:r>
          </w:p>
        </w:tc>
        <w:tc>
          <w:tcPr>
            <w:tcW w:w="1589" w:type="dxa"/>
            <w:tcBorders>
              <w:bottom w:val="single" w:sz="11" w:space="0" w:color="000000"/>
            </w:tcBorders>
          </w:tcPr>
          <w:p>
            <w:pPr/>
          </w:p>
        </w:tc>
        <w:tc>
          <w:tcPr>
            <w:tcW w:w="1000" w:type="dxa"/>
            <w:tcBorders>
              <w:bottom w:val="single" w:sz="11" w:space="0" w:color="000000"/>
            </w:tcBorders>
          </w:tcPr>
          <w:p>
            <w:pPr>
              <w:pStyle w:val="TableParagraph"/>
              <w:spacing w:line="206" w:lineRule="exact"/>
              <w:ind w:left="248" w:right="251"/>
              <w:jc w:val="center"/>
              <w:rPr>
                <w:sz w:val="18"/>
              </w:rPr>
            </w:pPr>
            <w:r>
              <w:rPr>
                <w:sz w:val="18"/>
              </w:rPr>
              <w:t>500</w:t>
            </w:r>
          </w:p>
        </w:tc>
        <w:tc>
          <w:tcPr>
            <w:tcW w:w="1176" w:type="dxa"/>
            <w:tcBorders>
              <w:bottom w:val="single" w:sz="11" w:space="0" w:color="000000"/>
            </w:tcBorders>
          </w:tcPr>
          <w:p>
            <w:pPr/>
          </w:p>
        </w:tc>
        <w:tc>
          <w:tcPr>
            <w:tcW w:w="1149" w:type="dxa"/>
            <w:tcBorders>
              <w:bottom w:val="single" w:sz="11" w:space="0" w:color="000000"/>
            </w:tcBorders>
          </w:tcPr>
          <w:p>
            <w:pPr>
              <w:pStyle w:val="TableParagraph"/>
              <w:spacing w:line="206" w:lineRule="exact"/>
              <w:ind w:left="325" w:right="325"/>
              <w:jc w:val="center"/>
              <w:rPr>
                <w:sz w:val="18"/>
              </w:rPr>
            </w:pPr>
            <w:r>
              <w:rPr>
                <w:sz w:val="18"/>
              </w:rPr>
              <w:t>500</w:t>
            </w:r>
          </w:p>
        </w:tc>
      </w:tr>
      <w:tr>
        <w:trPr>
          <w:trHeight w:val="955" w:hRule="exact"/>
        </w:trPr>
        <w:tc>
          <w:tcPr>
            <w:tcW w:w="1453" w:type="dxa"/>
            <w:vMerge w:val="restart"/>
            <w:tcBorders>
              <w:top w:val="single" w:sz="11" w:space="0" w:color="000000"/>
            </w:tcBorders>
          </w:tcPr>
          <w:p>
            <w:pPr>
              <w:pStyle w:val="TableParagraph"/>
              <w:rPr>
                <w:sz w:val="18"/>
              </w:rPr>
            </w:pPr>
          </w:p>
          <w:p>
            <w:pPr>
              <w:pStyle w:val="TableParagraph"/>
              <w:spacing w:before="104"/>
              <w:ind w:left="324" w:right="247"/>
              <w:rPr>
                <w:sz w:val="18"/>
              </w:rPr>
            </w:pPr>
            <w:r>
              <w:rPr>
                <w:sz w:val="18"/>
              </w:rPr>
              <w:t>Acabados</w:t>
            </w:r>
          </w:p>
        </w:tc>
        <w:tc>
          <w:tcPr>
            <w:tcW w:w="617" w:type="dxa"/>
            <w:tcBorders>
              <w:top w:val="single" w:sz="11" w:space="0" w:color="000000"/>
            </w:tcBorders>
          </w:tcPr>
          <w:p>
            <w:pPr>
              <w:pStyle w:val="TableParagraph"/>
              <w:spacing w:line="207" w:lineRule="exact"/>
              <w:ind w:left="184" w:right="184"/>
              <w:jc w:val="center"/>
              <w:rPr>
                <w:sz w:val="18"/>
              </w:rPr>
            </w:pPr>
            <w:r>
              <w:rPr>
                <w:sz w:val="18"/>
              </w:rPr>
              <w:t>10</w:t>
            </w:r>
          </w:p>
        </w:tc>
        <w:tc>
          <w:tcPr>
            <w:tcW w:w="1652" w:type="dxa"/>
            <w:tcBorders>
              <w:top w:val="single" w:sz="11" w:space="0" w:color="000000"/>
            </w:tcBorders>
          </w:tcPr>
          <w:p>
            <w:pPr>
              <w:pStyle w:val="TableParagraph"/>
              <w:spacing w:line="362" w:lineRule="auto"/>
              <w:ind w:left="451" w:right="448"/>
              <w:jc w:val="center"/>
              <w:rPr>
                <w:sz w:val="18"/>
              </w:rPr>
            </w:pPr>
            <w:r>
              <w:rPr>
                <w:sz w:val="18"/>
              </w:rPr>
              <w:t>Moto toul (10%</w:t>
            </w:r>
          </w:p>
          <w:p>
            <w:pPr>
              <w:pStyle w:val="TableParagraph"/>
              <w:spacing w:line="205" w:lineRule="exact"/>
              <w:ind w:left="101" w:right="101"/>
              <w:jc w:val="center"/>
              <w:rPr>
                <w:sz w:val="18"/>
              </w:rPr>
            </w:pPr>
            <w:r>
              <w:rPr>
                <w:sz w:val="18"/>
              </w:rPr>
              <w:t>depreciación)</w:t>
            </w:r>
          </w:p>
        </w:tc>
        <w:tc>
          <w:tcPr>
            <w:tcW w:w="1589" w:type="dxa"/>
            <w:tcBorders>
              <w:top w:val="single" w:sz="11" w:space="0" w:color="000000"/>
            </w:tcBorders>
          </w:tcPr>
          <w:p>
            <w:pPr/>
          </w:p>
        </w:tc>
        <w:tc>
          <w:tcPr>
            <w:tcW w:w="1000" w:type="dxa"/>
            <w:tcBorders>
              <w:top w:val="single" w:sz="11" w:space="0" w:color="000000"/>
            </w:tcBorders>
          </w:tcPr>
          <w:p>
            <w:pPr/>
          </w:p>
        </w:tc>
        <w:tc>
          <w:tcPr>
            <w:tcW w:w="1176" w:type="dxa"/>
            <w:tcBorders>
              <w:top w:val="single" w:sz="11" w:space="0" w:color="000000"/>
            </w:tcBorders>
          </w:tcPr>
          <w:p>
            <w:pPr/>
          </w:p>
        </w:tc>
        <w:tc>
          <w:tcPr>
            <w:tcW w:w="1149" w:type="dxa"/>
            <w:tcBorders>
              <w:top w:val="single" w:sz="11" w:space="0" w:color="000000"/>
            </w:tcBorders>
          </w:tcPr>
          <w:p>
            <w:pPr/>
          </w:p>
        </w:tc>
      </w:tr>
      <w:tr>
        <w:trPr>
          <w:trHeight w:val="340" w:hRule="exact"/>
        </w:trPr>
        <w:tc>
          <w:tcPr>
            <w:tcW w:w="1453" w:type="dxa"/>
            <w:vMerge/>
          </w:tcPr>
          <w:p>
            <w:pPr/>
          </w:p>
        </w:tc>
        <w:tc>
          <w:tcPr>
            <w:tcW w:w="617" w:type="dxa"/>
          </w:tcPr>
          <w:p>
            <w:pPr>
              <w:pStyle w:val="TableParagraph"/>
              <w:spacing w:before="15"/>
              <w:ind w:left="184" w:right="184"/>
              <w:jc w:val="center"/>
              <w:rPr>
                <w:sz w:val="18"/>
              </w:rPr>
            </w:pPr>
            <w:r>
              <w:rPr>
                <w:sz w:val="18"/>
              </w:rPr>
              <w:t>10</w:t>
            </w:r>
          </w:p>
        </w:tc>
        <w:tc>
          <w:tcPr>
            <w:tcW w:w="1652" w:type="dxa"/>
          </w:tcPr>
          <w:p>
            <w:pPr>
              <w:pStyle w:val="TableParagraph"/>
              <w:spacing w:before="15"/>
              <w:ind w:left="101" w:right="101"/>
              <w:jc w:val="center"/>
              <w:rPr>
                <w:sz w:val="18"/>
              </w:rPr>
            </w:pPr>
            <w:r>
              <w:rPr>
                <w:sz w:val="18"/>
              </w:rPr>
              <w:t>Estuche de lijas</w:t>
            </w:r>
          </w:p>
        </w:tc>
        <w:tc>
          <w:tcPr>
            <w:tcW w:w="1589" w:type="dxa"/>
          </w:tcPr>
          <w:p>
            <w:pPr/>
          </w:p>
        </w:tc>
        <w:tc>
          <w:tcPr>
            <w:tcW w:w="1000" w:type="dxa"/>
          </w:tcPr>
          <w:p>
            <w:pPr>
              <w:pStyle w:val="TableParagraph"/>
              <w:spacing w:before="15"/>
              <w:ind w:left="248" w:right="251"/>
              <w:jc w:val="center"/>
              <w:rPr>
                <w:sz w:val="18"/>
              </w:rPr>
            </w:pPr>
            <w:r>
              <w:rPr>
                <w:sz w:val="18"/>
              </w:rPr>
              <w:t>700</w:t>
            </w:r>
          </w:p>
        </w:tc>
        <w:tc>
          <w:tcPr>
            <w:tcW w:w="1176" w:type="dxa"/>
          </w:tcPr>
          <w:p>
            <w:pPr>
              <w:pStyle w:val="TableParagraph"/>
              <w:spacing w:before="15"/>
              <w:ind w:right="1"/>
              <w:jc w:val="center"/>
              <w:rPr>
                <w:sz w:val="18"/>
              </w:rPr>
            </w:pPr>
            <w:r>
              <w:rPr>
                <w:w w:val="99"/>
                <w:sz w:val="18"/>
              </w:rPr>
              <w:t>1</w:t>
            </w:r>
          </w:p>
        </w:tc>
        <w:tc>
          <w:tcPr>
            <w:tcW w:w="1149" w:type="dxa"/>
          </w:tcPr>
          <w:p>
            <w:pPr>
              <w:pStyle w:val="TableParagraph"/>
              <w:spacing w:before="15"/>
              <w:ind w:left="325" w:right="325"/>
              <w:jc w:val="center"/>
              <w:rPr>
                <w:sz w:val="18"/>
              </w:rPr>
            </w:pPr>
            <w:r>
              <w:rPr>
                <w:sz w:val="18"/>
              </w:rPr>
              <w:t>700</w:t>
            </w:r>
          </w:p>
        </w:tc>
      </w:tr>
    </w:tbl>
    <w:p>
      <w:pPr>
        <w:spacing w:after="0"/>
        <w:jc w:val="center"/>
        <w:rPr>
          <w:sz w:val="18"/>
        </w:rPr>
        <w:sectPr>
          <w:pgSz w:w="12240" w:h="15840"/>
          <w:pgMar w:header="0" w:footer="1031" w:top="1360" w:bottom="1220" w:left="1720" w:right="1480"/>
        </w:sectPr>
      </w:pPr>
    </w:p>
    <w:tbl>
      <w:tblPr>
        <w:tblW w:w="0" w:type="auto"/>
        <w:jc w:val="left"/>
        <w:tblInd w:w="432"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453"/>
        <w:gridCol w:w="617"/>
        <w:gridCol w:w="1652"/>
        <w:gridCol w:w="1589"/>
        <w:gridCol w:w="1000"/>
        <w:gridCol w:w="1176"/>
        <w:gridCol w:w="1149"/>
      </w:tblGrid>
      <w:tr>
        <w:trPr>
          <w:trHeight w:val="320" w:hRule="exact"/>
        </w:trPr>
        <w:tc>
          <w:tcPr>
            <w:tcW w:w="1453" w:type="dxa"/>
          </w:tcPr>
          <w:p>
            <w:pPr>
              <w:pStyle w:val="TableParagraph"/>
              <w:spacing w:line="203" w:lineRule="exact"/>
              <w:ind w:left="436" w:right="247"/>
              <w:rPr>
                <w:sz w:val="18"/>
              </w:rPr>
            </w:pPr>
            <w:r>
              <w:rPr>
                <w:sz w:val="18"/>
              </w:rPr>
              <w:t>TOTAL</w:t>
            </w:r>
          </w:p>
        </w:tc>
        <w:tc>
          <w:tcPr>
            <w:tcW w:w="617" w:type="dxa"/>
          </w:tcPr>
          <w:p>
            <w:pPr/>
          </w:p>
        </w:tc>
        <w:tc>
          <w:tcPr>
            <w:tcW w:w="1652" w:type="dxa"/>
          </w:tcPr>
          <w:p>
            <w:pPr/>
          </w:p>
        </w:tc>
        <w:tc>
          <w:tcPr>
            <w:tcW w:w="1589" w:type="dxa"/>
          </w:tcPr>
          <w:p>
            <w:pPr/>
          </w:p>
        </w:tc>
        <w:tc>
          <w:tcPr>
            <w:tcW w:w="1000" w:type="dxa"/>
          </w:tcPr>
          <w:p>
            <w:pPr/>
          </w:p>
        </w:tc>
        <w:tc>
          <w:tcPr>
            <w:tcW w:w="1176" w:type="dxa"/>
          </w:tcPr>
          <w:p>
            <w:pPr/>
          </w:p>
        </w:tc>
        <w:tc>
          <w:tcPr>
            <w:tcW w:w="1149" w:type="dxa"/>
          </w:tcPr>
          <w:p>
            <w:pPr>
              <w:pStyle w:val="TableParagraph"/>
              <w:spacing w:line="203" w:lineRule="exact"/>
              <w:ind w:left="220"/>
              <w:rPr>
                <w:sz w:val="18"/>
              </w:rPr>
            </w:pPr>
            <w:r>
              <w:rPr>
                <w:sz w:val="18"/>
              </w:rPr>
              <w:t>4,420.50</w:t>
            </w:r>
          </w:p>
        </w:tc>
      </w:tr>
    </w:tbl>
    <w:p>
      <w:pPr>
        <w:spacing w:line="203" w:lineRule="exact" w:before="0"/>
        <w:ind w:left="3012" w:right="3113" w:firstLine="0"/>
        <w:jc w:val="center"/>
        <w:rPr>
          <w:sz w:val="18"/>
        </w:rPr>
      </w:pPr>
      <w:r>
        <w:rPr>
          <w:sz w:val="18"/>
        </w:rPr>
        <w:t>(Fuente: Elaboración propia, 2015).</w:t>
      </w:r>
    </w:p>
    <w:p>
      <w:pPr>
        <w:pStyle w:val="BodyText"/>
        <w:rPr>
          <w:sz w:val="18"/>
        </w:rPr>
      </w:pPr>
    </w:p>
    <w:p>
      <w:pPr>
        <w:pStyle w:val="BodyText"/>
        <w:spacing w:before="10"/>
        <w:rPr>
          <w:sz w:val="17"/>
        </w:rPr>
      </w:pPr>
    </w:p>
    <w:p>
      <w:pPr>
        <w:pStyle w:val="BodyText"/>
        <w:spacing w:line="362" w:lineRule="auto"/>
        <w:ind w:left="120" w:right="222"/>
        <w:jc w:val="both"/>
      </w:pPr>
      <w:r>
        <w:rPr/>
        <w:t>El costo de materiales es de </w:t>
      </w:r>
      <w:r>
        <w:rPr>
          <w:b/>
        </w:rPr>
        <w:t>$4,420.50</w:t>
      </w:r>
      <w:r>
        <w:rPr/>
        <w:t>, pero se suma el costo de mano de obra (costo variable) de 72 horas de trabajo, de renta de taller (costo fijo) que incluye la luz, la instalación, y agua, por seis semanas donde se trabaja y el costo del diseño propuesta, como se muestra en la siguiente  </w:t>
      </w:r>
      <w:hyperlink w:history="true" w:anchor="_bookmark169">
        <w:r>
          <w:rPr/>
          <w:t>Tabla 5.9</w:t>
        </w:r>
      </w:hyperlink>
      <w:r>
        <w:rPr/>
        <w:t>.</w:t>
      </w:r>
    </w:p>
    <w:p>
      <w:pPr>
        <w:pStyle w:val="BodyText"/>
        <w:spacing w:before="9"/>
        <w:rPr>
          <w:sz w:val="35"/>
        </w:rPr>
      </w:pPr>
    </w:p>
    <w:p>
      <w:pPr>
        <w:spacing w:before="0" w:after="6"/>
        <w:ind w:left="2945" w:right="65" w:firstLine="0"/>
        <w:jc w:val="left"/>
        <w:rPr>
          <w:sz w:val="18"/>
        </w:rPr>
      </w:pPr>
      <w:bookmarkStart w:name="_bookmark169" w:id="265"/>
      <w:bookmarkEnd w:id="265"/>
      <w:r>
        <w:rPr/>
      </w:r>
      <w:r>
        <w:rPr>
          <w:sz w:val="18"/>
        </w:rPr>
        <w:t>Tabla 5.9. Costos de fabricación artesanal.</w:t>
      </w:r>
    </w:p>
    <w:tbl>
      <w:tblPr>
        <w:tblW w:w="0" w:type="auto"/>
        <w:jc w:val="left"/>
        <w:tblInd w:w="1109"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561"/>
        <w:gridCol w:w="1984"/>
        <w:gridCol w:w="1421"/>
        <w:gridCol w:w="1416"/>
      </w:tblGrid>
      <w:tr>
        <w:trPr>
          <w:trHeight w:val="320" w:hRule="exact"/>
        </w:trPr>
        <w:tc>
          <w:tcPr>
            <w:tcW w:w="1561" w:type="dxa"/>
          </w:tcPr>
          <w:p>
            <w:pPr>
              <w:pStyle w:val="TableParagraph"/>
              <w:spacing w:line="202" w:lineRule="exact"/>
              <w:ind w:left="170" w:right="170"/>
              <w:jc w:val="center"/>
              <w:rPr>
                <w:sz w:val="18"/>
              </w:rPr>
            </w:pPr>
            <w:r>
              <w:rPr>
                <w:sz w:val="18"/>
              </w:rPr>
              <w:t>Costos Fijos</w:t>
            </w:r>
          </w:p>
        </w:tc>
        <w:tc>
          <w:tcPr>
            <w:tcW w:w="1984" w:type="dxa"/>
          </w:tcPr>
          <w:p>
            <w:pPr>
              <w:pStyle w:val="TableParagraph"/>
              <w:spacing w:line="202" w:lineRule="exact"/>
              <w:ind w:left="302" w:right="302"/>
              <w:jc w:val="center"/>
              <w:rPr>
                <w:sz w:val="18"/>
              </w:rPr>
            </w:pPr>
            <w:r>
              <w:rPr>
                <w:sz w:val="18"/>
              </w:rPr>
              <w:t>Costos variables</w:t>
            </w:r>
          </w:p>
        </w:tc>
        <w:tc>
          <w:tcPr>
            <w:tcW w:w="1421" w:type="dxa"/>
          </w:tcPr>
          <w:p>
            <w:pPr>
              <w:pStyle w:val="TableParagraph"/>
              <w:spacing w:line="202" w:lineRule="exact"/>
              <w:ind w:left="245" w:right="245"/>
              <w:jc w:val="center"/>
              <w:rPr>
                <w:sz w:val="18"/>
              </w:rPr>
            </w:pPr>
            <w:r>
              <w:rPr>
                <w:sz w:val="18"/>
              </w:rPr>
              <w:t>Tiempo</w:t>
            </w:r>
          </w:p>
        </w:tc>
        <w:tc>
          <w:tcPr>
            <w:tcW w:w="1416" w:type="dxa"/>
          </w:tcPr>
          <w:p>
            <w:pPr>
              <w:pStyle w:val="TableParagraph"/>
              <w:spacing w:line="202" w:lineRule="exact"/>
              <w:ind w:left="467" w:right="271"/>
              <w:rPr>
                <w:sz w:val="18"/>
              </w:rPr>
            </w:pPr>
            <w:r>
              <w:rPr>
                <w:sz w:val="18"/>
              </w:rPr>
              <w:t>Costo</w:t>
            </w:r>
          </w:p>
        </w:tc>
      </w:tr>
      <w:tr>
        <w:trPr>
          <w:trHeight w:val="320" w:hRule="exact"/>
        </w:trPr>
        <w:tc>
          <w:tcPr>
            <w:tcW w:w="1561" w:type="dxa"/>
          </w:tcPr>
          <w:p>
            <w:pPr/>
          </w:p>
        </w:tc>
        <w:tc>
          <w:tcPr>
            <w:tcW w:w="1984" w:type="dxa"/>
          </w:tcPr>
          <w:p>
            <w:pPr>
              <w:pStyle w:val="TableParagraph"/>
              <w:spacing w:line="203" w:lineRule="exact"/>
              <w:ind w:left="301" w:right="302"/>
              <w:jc w:val="center"/>
              <w:rPr>
                <w:sz w:val="18"/>
              </w:rPr>
            </w:pPr>
            <w:r>
              <w:rPr>
                <w:sz w:val="18"/>
              </w:rPr>
              <w:t>Material</w:t>
            </w:r>
          </w:p>
        </w:tc>
        <w:tc>
          <w:tcPr>
            <w:tcW w:w="1421" w:type="dxa"/>
          </w:tcPr>
          <w:p>
            <w:pPr/>
          </w:p>
        </w:tc>
        <w:tc>
          <w:tcPr>
            <w:tcW w:w="1416" w:type="dxa"/>
          </w:tcPr>
          <w:p>
            <w:pPr>
              <w:pStyle w:val="TableParagraph"/>
              <w:spacing w:line="203" w:lineRule="exact"/>
              <w:ind w:left="352" w:right="271"/>
              <w:rPr>
                <w:sz w:val="18"/>
              </w:rPr>
            </w:pPr>
            <w:r>
              <w:rPr>
                <w:sz w:val="18"/>
              </w:rPr>
              <w:t>4,420.50</w:t>
            </w:r>
          </w:p>
        </w:tc>
      </w:tr>
      <w:tr>
        <w:trPr>
          <w:trHeight w:val="632" w:hRule="exact"/>
        </w:trPr>
        <w:tc>
          <w:tcPr>
            <w:tcW w:w="1561" w:type="dxa"/>
          </w:tcPr>
          <w:p>
            <w:pPr/>
          </w:p>
        </w:tc>
        <w:tc>
          <w:tcPr>
            <w:tcW w:w="1984" w:type="dxa"/>
          </w:tcPr>
          <w:p>
            <w:pPr>
              <w:pStyle w:val="TableParagraph"/>
              <w:spacing w:line="362" w:lineRule="auto"/>
              <w:ind w:left="367" w:right="348" w:firstLine="64"/>
              <w:rPr>
                <w:sz w:val="18"/>
              </w:rPr>
            </w:pPr>
            <w:r>
              <w:rPr>
                <w:sz w:val="18"/>
              </w:rPr>
              <w:t>Mano de obra ($350 por hora)</w:t>
            </w:r>
          </w:p>
        </w:tc>
        <w:tc>
          <w:tcPr>
            <w:tcW w:w="1421" w:type="dxa"/>
          </w:tcPr>
          <w:p>
            <w:pPr>
              <w:pStyle w:val="TableParagraph"/>
              <w:spacing w:before="8"/>
              <w:rPr>
                <w:sz w:val="26"/>
              </w:rPr>
            </w:pPr>
          </w:p>
          <w:p>
            <w:pPr>
              <w:pStyle w:val="TableParagraph"/>
              <w:ind w:left="244" w:right="246"/>
              <w:jc w:val="center"/>
              <w:rPr>
                <w:sz w:val="18"/>
              </w:rPr>
            </w:pPr>
            <w:r>
              <w:rPr>
                <w:sz w:val="18"/>
              </w:rPr>
              <w:t>72 h</w:t>
            </w:r>
          </w:p>
        </w:tc>
        <w:tc>
          <w:tcPr>
            <w:tcW w:w="1416" w:type="dxa"/>
          </w:tcPr>
          <w:p>
            <w:pPr>
              <w:pStyle w:val="TableParagraph"/>
              <w:spacing w:line="202" w:lineRule="exact"/>
              <w:ind w:left="304"/>
              <w:rPr>
                <w:sz w:val="18"/>
              </w:rPr>
            </w:pPr>
            <w:r>
              <w:rPr>
                <w:sz w:val="18"/>
              </w:rPr>
              <w:t>25,200.00</w:t>
            </w:r>
          </w:p>
        </w:tc>
      </w:tr>
      <w:tr>
        <w:trPr>
          <w:trHeight w:val="320" w:hRule="exact"/>
        </w:trPr>
        <w:tc>
          <w:tcPr>
            <w:tcW w:w="1561" w:type="dxa"/>
          </w:tcPr>
          <w:p>
            <w:pPr/>
          </w:p>
        </w:tc>
        <w:tc>
          <w:tcPr>
            <w:tcW w:w="1984" w:type="dxa"/>
          </w:tcPr>
          <w:p>
            <w:pPr>
              <w:pStyle w:val="TableParagraph"/>
              <w:spacing w:line="202" w:lineRule="exact"/>
              <w:ind w:left="302" w:right="302"/>
              <w:jc w:val="center"/>
              <w:rPr>
                <w:sz w:val="18"/>
              </w:rPr>
            </w:pPr>
            <w:r>
              <w:rPr>
                <w:sz w:val="18"/>
              </w:rPr>
              <w:t>Diseño</w:t>
            </w:r>
          </w:p>
        </w:tc>
        <w:tc>
          <w:tcPr>
            <w:tcW w:w="1421" w:type="dxa"/>
          </w:tcPr>
          <w:p>
            <w:pPr>
              <w:pStyle w:val="TableParagraph"/>
              <w:spacing w:line="202" w:lineRule="exact"/>
              <w:ind w:left="244" w:right="246"/>
              <w:jc w:val="center"/>
              <w:rPr>
                <w:sz w:val="18"/>
              </w:rPr>
            </w:pPr>
            <w:r>
              <w:rPr>
                <w:sz w:val="18"/>
              </w:rPr>
              <w:t>10</w:t>
            </w:r>
          </w:p>
        </w:tc>
        <w:tc>
          <w:tcPr>
            <w:tcW w:w="1416" w:type="dxa"/>
          </w:tcPr>
          <w:p>
            <w:pPr>
              <w:pStyle w:val="TableParagraph"/>
              <w:spacing w:line="202" w:lineRule="exact"/>
              <w:ind w:left="352" w:right="271"/>
              <w:rPr>
                <w:sz w:val="18"/>
              </w:rPr>
            </w:pPr>
            <w:r>
              <w:rPr>
                <w:sz w:val="18"/>
              </w:rPr>
              <w:t>3,500.00</w:t>
            </w:r>
          </w:p>
        </w:tc>
      </w:tr>
      <w:tr>
        <w:trPr>
          <w:trHeight w:val="320" w:hRule="exact"/>
        </w:trPr>
        <w:tc>
          <w:tcPr>
            <w:tcW w:w="1561" w:type="dxa"/>
          </w:tcPr>
          <w:p>
            <w:pPr>
              <w:pStyle w:val="TableParagraph"/>
              <w:spacing w:line="202" w:lineRule="exact"/>
              <w:ind w:left="170" w:right="171"/>
              <w:jc w:val="center"/>
              <w:rPr>
                <w:sz w:val="18"/>
              </w:rPr>
            </w:pPr>
            <w:r>
              <w:rPr>
                <w:sz w:val="18"/>
              </w:rPr>
              <w:t>Renta de taller</w:t>
            </w:r>
          </w:p>
        </w:tc>
        <w:tc>
          <w:tcPr>
            <w:tcW w:w="1984" w:type="dxa"/>
          </w:tcPr>
          <w:p>
            <w:pPr/>
          </w:p>
        </w:tc>
        <w:tc>
          <w:tcPr>
            <w:tcW w:w="1421" w:type="dxa"/>
          </w:tcPr>
          <w:p>
            <w:pPr>
              <w:pStyle w:val="TableParagraph"/>
              <w:spacing w:line="202" w:lineRule="exact"/>
              <w:ind w:left="245" w:right="246"/>
              <w:jc w:val="center"/>
              <w:rPr>
                <w:sz w:val="18"/>
              </w:rPr>
            </w:pPr>
            <w:r>
              <w:rPr>
                <w:sz w:val="18"/>
              </w:rPr>
              <w:t>6 semanas</w:t>
            </w:r>
          </w:p>
        </w:tc>
        <w:tc>
          <w:tcPr>
            <w:tcW w:w="1416" w:type="dxa"/>
          </w:tcPr>
          <w:p>
            <w:pPr>
              <w:pStyle w:val="TableParagraph"/>
              <w:spacing w:line="202" w:lineRule="exact"/>
              <w:ind w:left="352" w:right="271"/>
              <w:rPr>
                <w:sz w:val="18"/>
              </w:rPr>
            </w:pPr>
            <w:r>
              <w:rPr>
                <w:sz w:val="18"/>
              </w:rPr>
              <w:t>3,000.00</w:t>
            </w:r>
          </w:p>
        </w:tc>
      </w:tr>
      <w:tr>
        <w:trPr>
          <w:trHeight w:val="320" w:hRule="exact"/>
        </w:trPr>
        <w:tc>
          <w:tcPr>
            <w:tcW w:w="4966" w:type="dxa"/>
            <w:gridSpan w:val="3"/>
          </w:tcPr>
          <w:p>
            <w:pPr>
              <w:pStyle w:val="TableParagraph"/>
              <w:spacing w:line="202" w:lineRule="exact"/>
              <w:ind w:left="2258" w:right="2258"/>
              <w:jc w:val="center"/>
              <w:rPr>
                <w:sz w:val="18"/>
              </w:rPr>
            </w:pPr>
            <w:r>
              <w:rPr>
                <w:sz w:val="18"/>
              </w:rPr>
              <w:t>Total</w:t>
            </w:r>
          </w:p>
        </w:tc>
        <w:tc>
          <w:tcPr>
            <w:tcW w:w="1416" w:type="dxa"/>
          </w:tcPr>
          <w:p>
            <w:pPr>
              <w:pStyle w:val="TableParagraph"/>
              <w:spacing w:line="202" w:lineRule="exact"/>
              <w:ind w:left="304"/>
              <w:rPr>
                <w:sz w:val="18"/>
              </w:rPr>
            </w:pPr>
            <w:r>
              <w:rPr>
                <w:sz w:val="18"/>
              </w:rPr>
              <w:t>36,120.50</w:t>
            </w:r>
          </w:p>
        </w:tc>
      </w:tr>
    </w:tbl>
    <w:p>
      <w:pPr>
        <w:spacing w:line="203" w:lineRule="exact" w:before="0"/>
        <w:ind w:left="3012" w:right="3113" w:firstLine="0"/>
        <w:jc w:val="center"/>
        <w:rPr>
          <w:sz w:val="18"/>
        </w:rPr>
      </w:pPr>
      <w:r>
        <w:rPr>
          <w:sz w:val="18"/>
        </w:rPr>
        <w:t>(Fuente: Elaboración propia, 2015).</w:t>
      </w:r>
    </w:p>
    <w:p>
      <w:pPr>
        <w:pStyle w:val="BodyText"/>
        <w:rPr>
          <w:sz w:val="18"/>
        </w:rPr>
      </w:pPr>
    </w:p>
    <w:p>
      <w:pPr>
        <w:pStyle w:val="BodyText"/>
        <w:spacing w:before="6"/>
        <w:rPr>
          <w:sz w:val="18"/>
        </w:rPr>
      </w:pPr>
    </w:p>
    <w:p>
      <w:pPr>
        <w:pStyle w:val="BodyText"/>
        <w:spacing w:line="360" w:lineRule="auto"/>
        <w:ind w:left="120" w:right="214"/>
        <w:jc w:val="both"/>
      </w:pPr>
      <w:r>
        <w:rPr/>
        <w:t>Ahora se muestran los costos del proceso de impresión en 3D en FDM. El costo  de una pieza impresa es de </w:t>
      </w:r>
      <w:r>
        <w:rPr>
          <w:b/>
        </w:rPr>
        <w:t>$ 840.00 </w:t>
      </w:r>
      <w:r>
        <w:rPr/>
        <w:t>en una impresora RepRap, en un despacho de impresión, como se muestra en la </w:t>
      </w:r>
      <w:hyperlink w:history="true" w:anchor="_bookmark170">
        <w:r>
          <w:rPr/>
          <w:t>Tabla</w:t>
        </w:r>
        <w:r>
          <w:rPr>
            <w:spacing w:val="-18"/>
          </w:rPr>
          <w:t> </w:t>
        </w:r>
        <w:r>
          <w:rPr/>
          <w:t>5.10</w:t>
        </w:r>
      </w:hyperlink>
    </w:p>
    <w:p>
      <w:pPr>
        <w:pStyle w:val="BodyText"/>
      </w:pPr>
    </w:p>
    <w:p>
      <w:pPr>
        <w:spacing w:before="139"/>
        <w:ind w:left="3103" w:right="2971" w:firstLine="0"/>
        <w:jc w:val="center"/>
        <w:rPr>
          <w:sz w:val="18"/>
        </w:rPr>
      </w:pPr>
      <w:bookmarkStart w:name="_bookmark170" w:id="266"/>
      <w:bookmarkEnd w:id="266"/>
      <w:r>
        <w:rPr/>
      </w:r>
      <w:r>
        <w:rPr>
          <w:sz w:val="18"/>
        </w:rPr>
        <w:t>Tabla 5.10.Costo de impresión 3D.</w:t>
      </w:r>
    </w:p>
    <w:tbl>
      <w:tblPr>
        <w:tblW w:w="0" w:type="auto"/>
        <w:jc w:val="left"/>
        <w:tblInd w:w="2269"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236"/>
        <w:gridCol w:w="881"/>
        <w:gridCol w:w="1420"/>
      </w:tblGrid>
      <w:tr>
        <w:trPr>
          <w:trHeight w:val="320" w:hRule="exact"/>
        </w:trPr>
        <w:tc>
          <w:tcPr>
            <w:tcW w:w="2236" w:type="dxa"/>
          </w:tcPr>
          <w:p>
            <w:pPr/>
          </w:p>
        </w:tc>
        <w:tc>
          <w:tcPr>
            <w:tcW w:w="881" w:type="dxa"/>
          </w:tcPr>
          <w:p>
            <w:pPr>
              <w:pStyle w:val="TableParagraph"/>
              <w:spacing w:line="206" w:lineRule="exact"/>
              <w:ind w:left="117" w:right="114"/>
              <w:jc w:val="center"/>
              <w:rPr>
                <w:sz w:val="18"/>
              </w:rPr>
            </w:pPr>
            <w:r>
              <w:rPr>
                <w:sz w:val="18"/>
              </w:rPr>
              <w:t>Tiempo</w:t>
            </w:r>
          </w:p>
        </w:tc>
        <w:tc>
          <w:tcPr>
            <w:tcW w:w="1420" w:type="dxa"/>
          </w:tcPr>
          <w:p>
            <w:pPr>
              <w:pStyle w:val="TableParagraph"/>
              <w:spacing w:line="206" w:lineRule="exact"/>
              <w:ind w:left="283" w:right="285"/>
              <w:jc w:val="center"/>
              <w:rPr>
                <w:sz w:val="18"/>
              </w:rPr>
            </w:pPr>
            <w:r>
              <w:rPr>
                <w:sz w:val="18"/>
              </w:rPr>
              <w:t>Costo</w:t>
            </w:r>
          </w:p>
        </w:tc>
      </w:tr>
      <w:tr>
        <w:trPr>
          <w:trHeight w:val="324" w:hRule="exact"/>
        </w:trPr>
        <w:tc>
          <w:tcPr>
            <w:tcW w:w="2236" w:type="dxa"/>
          </w:tcPr>
          <w:p>
            <w:pPr>
              <w:pStyle w:val="TableParagraph"/>
              <w:spacing w:line="206" w:lineRule="exact"/>
              <w:ind w:left="253" w:right="254"/>
              <w:jc w:val="center"/>
              <w:rPr>
                <w:sz w:val="18"/>
              </w:rPr>
            </w:pPr>
            <w:r>
              <w:rPr>
                <w:sz w:val="18"/>
              </w:rPr>
              <w:t>1.Diseño del escultor</w:t>
            </w:r>
          </w:p>
        </w:tc>
        <w:tc>
          <w:tcPr>
            <w:tcW w:w="881" w:type="dxa"/>
          </w:tcPr>
          <w:p>
            <w:pPr>
              <w:pStyle w:val="TableParagraph"/>
              <w:spacing w:line="206" w:lineRule="exact"/>
              <w:ind w:left="114" w:right="114"/>
              <w:jc w:val="center"/>
              <w:rPr>
                <w:sz w:val="18"/>
              </w:rPr>
            </w:pPr>
            <w:r>
              <w:rPr>
                <w:sz w:val="18"/>
              </w:rPr>
              <w:t>10 h</w:t>
            </w:r>
          </w:p>
        </w:tc>
        <w:tc>
          <w:tcPr>
            <w:tcW w:w="1420" w:type="dxa"/>
          </w:tcPr>
          <w:p>
            <w:pPr>
              <w:pStyle w:val="TableParagraph"/>
              <w:spacing w:line="206" w:lineRule="exact"/>
              <w:ind w:left="285" w:right="285"/>
              <w:jc w:val="center"/>
              <w:rPr>
                <w:sz w:val="18"/>
              </w:rPr>
            </w:pPr>
            <w:r>
              <w:rPr>
                <w:sz w:val="18"/>
              </w:rPr>
              <w:t>15,000.00</w:t>
            </w:r>
          </w:p>
        </w:tc>
      </w:tr>
      <w:tr>
        <w:trPr>
          <w:trHeight w:val="320" w:hRule="exact"/>
        </w:trPr>
        <w:tc>
          <w:tcPr>
            <w:tcW w:w="2236" w:type="dxa"/>
          </w:tcPr>
          <w:p>
            <w:pPr>
              <w:pStyle w:val="TableParagraph"/>
              <w:spacing w:line="202" w:lineRule="exact"/>
              <w:ind w:left="253" w:right="251"/>
              <w:jc w:val="center"/>
              <w:rPr>
                <w:sz w:val="18"/>
              </w:rPr>
            </w:pPr>
            <w:r>
              <w:rPr>
                <w:sz w:val="18"/>
              </w:rPr>
              <w:t>2.Dibujo digital</w:t>
            </w:r>
          </w:p>
        </w:tc>
        <w:tc>
          <w:tcPr>
            <w:tcW w:w="881" w:type="dxa"/>
          </w:tcPr>
          <w:p>
            <w:pPr>
              <w:pStyle w:val="TableParagraph"/>
              <w:spacing w:line="202" w:lineRule="exact"/>
              <w:ind w:left="114" w:right="114"/>
              <w:jc w:val="center"/>
              <w:rPr>
                <w:sz w:val="18"/>
              </w:rPr>
            </w:pPr>
            <w:r>
              <w:rPr>
                <w:sz w:val="18"/>
              </w:rPr>
              <w:t>10 h</w:t>
            </w:r>
          </w:p>
        </w:tc>
        <w:tc>
          <w:tcPr>
            <w:tcW w:w="1420" w:type="dxa"/>
          </w:tcPr>
          <w:p>
            <w:pPr>
              <w:pStyle w:val="TableParagraph"/>
              <w:spacing w:line="202" w:lineRule="exact"/>
              <w:ind w:left="285" w:right="285"/>
              <w:jc w:val="center"/>
              <w:rPr>
                <w:sz w:val="18"/>
              </w:rPr>
            </w:pPr>
            <w:r>
              <w:rPr>
                <w:sz w:val="18"/>
              </w:rPr>
              <w:t>15,000.00</w:t>
            </w:r>
          </w:p>
        </w:tc>
      </w:tr>
      <w:tr>
        <w:trPr>
          <w:trHeight w:val="320" w:hRule="exact"/>
        </w:trPr>
        <w:tc>
          <w:tcPr>
            <w:tcW w:w="2236" w:type="dxa"/>
          </w:tcPr>
          <w:p>
            <w:pPr>
              <w:pStyle w:val="TableParagraph"/>
              <w:spacing w:line="202" w:lineRule="exact"/>
              <w:ind w:left="253" w:right="250"/>
              <w:jc w:val="center"/>
              <w:rPr>
                <w:sz w:val="18"/>
              </w:rPr>
            </w:pPr>
            <w:r>
              <w:rPr>
                <w:sz w:val="18"/>
              </w:rPr>
              <w:t>3.Impresión</w:t>
            </w:r>
          </w:p>
        </w:tc>
        <w:tc>
          <w:tcPr>
            <w:tcW w:w="881" w:type="dxa"/>
          </w:tcPr>
          <w:p>
            <w:pPr>
              <w:pStyle w:val="TableParagraph"/>
              <w:spacing w:line="202" w:lineRule="exact"/>
              <w:ind w:left="114" w:right="114"/>
              <w:jc w:val="center"/>
              <w:rPr>
                <w:sz w:val="18"/>
              </w:rPr>
            </w:pPr>
            <w:r>
              <w:rPr>
                <w:sz w:val="18"/>
              </w:rPr>
              <w:t>14 h</w:t>
            </w:r>
          </w:p>
        </w:tc>
        <w:tc>
          <w:tcPr>
            <w:tcW w:w="1420" w:type="dxa"/>
          </w:tcPr>
          <w:p>
            <w:pPr>
              <w:pStyle w:val="TableParagraph"/>
              <w:spacing w:line="202" w:lineRule="exact"/>
              <w:ind w:left="284" w:right="285"/>
              <w:jc w:val="center"/>
              <w:rPr>
                <w:sz w:val="18"/>
              </w:rPr>
            </w:pPr>
            <w:r>
              <w:rPr>
                <w:sz w:val="18"/>
              </w:rPr>
              <w:t>840.00</w:t>
            </w:r>
          </w:p>
        </w:tc>
      </w:tr>
      <w:tr>
        <w:trPr>
          <w:trHeight w:val="320" w:hRule="exact"/>
        </w:trPr>
        <w:tc>
          <w:tcPr>
            <w:tcW w:w="2236" w:type="dxa"/>
          </w:tcPr>
          <w:p>
            <w:pPr>
              <w:pStyle w:val="TableParagraph"/>
              <w:spacing w:line="202" w:lineRule="exact"/>
              <w:ind w:left="253" w:right="251"/>
              <w:jc w:val="center"/>
              <w:rPr>
                <w:sz w:val="18"/>
              </w:rPr>
            </w:pPr>
            <w:r>
              <w:rPr>
                <w:sz w:val="18"/>
              </w:rPr>
              <w:t>4.Eliminar soporte</w:t>
            </w:r>
          </w:p>
        </w:tc>
        <w:tc>
          <w:tcPr>
            <w:tcW w:w="881" w:type="dxa"/>
          </w:tcPr>
          <w:p>
            <w:pPr>
              <w:pStyle w:val="TableParagraph"/>
              <w:spacing w:line="202" w:lineRule="exact"/>
              <w:ind w:left="117" w:right="114"/>
              <w:jc w:val="center"/>
              <w:rPr>
                <w:sz w:val="18"/>
              </w:rPr>
            </w:pPr>
            <w:r>
              <w:rPr>
                <w:sz w:val="18"/>
              </w:rPr>
              <w:t>3 h</w:t>
            </w:r>
          </w:p>
        </w:tc>
        <w:tc>
          <w:tcPr>
            <w:tcW w:w="1420" w:type="dxa"/>
          </w:tcPr>
          <w:p>
            <w:pPr>
              <w:pStyle w:val="TableParagraph"/>
              <w:spacing w:line="202" w:lineRule="exact"/>
              <w:ind w:left="285" w:right="285"/>
              <w:jc w:val="center"/>
              <w:rPr>
                <w:sz w:val="18"/>
              </w:rPr>
            </w:pPr>
            <w:r>
              <w:rPr>
                <w:sz w:val="18"/>
              </w:rPr>
              <w:t>1050.00</w:t>
            </w:r>
          </w:p>
        </w:tc>
      </w:tr>
      <w:tr>
        <w:trPr>
          <w:trHeight w:val="324" w:hRule="exact"/>
        </w:trPr>
        <w:tc>
          <w:tcPr>
            <w:tcW w:w="3117" w:type="dxa"/>
            <w:gridSpan w:val="2"/>
          </w:tcPr>
          <w:p>
            <w:pPr>
              <w:pStyle w:val="TableParagraph"/>
              <w:spacing w:line="202" w:lineRule="exact"/>
              <w:ind w:left="1337" w:right="1331"/>
              <w:jc w:val="center"/>
              <w:rPr>
                <w:sz w:val="18"/>
              </w:rPr>
            </w:pPr>
            <w:r>
              <w:rPr>
                <w:sz w:val="18"/>
              </w:rPr>
              <w:t>Total</w:t>
            </w:r>
          </w:p>
        </w:tc>
        <w:tc>
          <w:tcPr>
            <w:tcW w:w="1420" w:type="dxa"/>
          </w:tcPr>
          <w:p>
            <w:pPr>
              <w:pStyle w:val="TableParagraph"/>
              <w:spacing w:line="202" w:lineRule="exact"/>
              <w:ind w:left="285" w:right="285"/>
              <w:jc w:val="center"/>
              <w:rPr>
                <w:sz w:val="18"/>
              </w:rPr>
            </w:pPr>
            <w:r>
              <w:rPr>
                <w:sz w:val="18"/>
              </w:rPr>
              <w:t>31,890.00</w:t>
            </w:r>
          </w:p>
        </w:tc>
      </w:tr>
    </w:tbl>
    <w:p>
      <w:pPr>
        <w:spacing w:line="202" w:lineRule="exact" w:before="0"/>
        <w:ind w:left="3012" w:right="3113" w:firstLine="0"/>
        <w:jc w:val="center"/>
        <w:rPr>
          <w:sz w:val="18"/>
        </w:rPr>
      </w:pPr>
      <w:r>
        <w:rPr>
          <w:sz w:val="18"/>
        </w:rPr>
        <w:t>(Fuente: Elaboración propia, 2015).</w:t>
      </w:r>
    </w:p>
    <w:p>
      <w:pPr>
        <w:pStyle w:val="BodyText"/>
        <w:rPr>
          <w:sz w:val="18"/>
        </w:rPr>
      </w:pPr>
    </w:p>
    <w:p>
      <w:pPr>
        <w:pStyle w:val="BodyText"/>
        <w:spacing w:before="2"/>
        <w:rPr>
          <w:sz w:val="15"/>
        </w:rPr>
      </w:pPr>
    </w:p>
    <w:p>
      <w:pPr>
        <w:pStyle w:val="BodyText"/>
        <w:spacing w:line="357" w:lineRule="auto"/>
        <w:ind w:left="120" w:right="65"/>
      </w:pPr>
      <w:r>
        <w:rPr/>
        <w:t>En este caso se cobra $1500.00 por hora</w:t>
      </w:r>
      <w:r>
        <w:rPr>
          <w:position w:val="11"/>
          <w:sz w:val="16"/>
        </w:rPr>
        <w:t>5</w:t>
      </w:r>
      <w:r>
        <w:rPr/>
        <w:t>, en la </w:t>
      </w:r>
      <w:hyperlink w:history="true" w:anchor="_bookmark170">
        <w:r>
          <w:rPr/>
          <w:t>Tabla 5.10</w:t>
        </w:r>
      </w:hyperlink>
      <w:r>
        <w:rPr/>
        <w:t> se menciona el costo por el tiempo invertido en dicha pieza como:</w:t>
      </w:r>
    </w:p>
    <w:p>
      <w:pPr>
        <w:pStyle w:val="BodyText"/>
      </w:pPr>
    </w:p>
    <w:p>
      <w:pPr>
        <w:pStyle w:val="ListParagraph"/>
        <w:numPr>
          <w:ilvl w:val="2"/>
          <w:numId w:val="57"/>
        </w:numPr>
        <w:tabs>
          <w:tab w:pos="828" w:val="left" w:leader="none"/>
          <w:tab w:pos="829" w:val="left" w:leader="none"/>
        </w:tabs>
        <w:spacing w:line="240" w:lineRule="auto" w:before="145" w:after="0"/>
        <w:ind w:left="244" w:right="0" w:firstLine="8"/>
        <w:jc w:val="left"/>
        <w:rPr>
          <w:sz w:val="24"/>
        </w:rPr>
      </w:pPr>
      <w:r>
        <w:rPr>
          <w:sz w:val="24"/>
        </w:rPr>
        <w:t>Diseño del escultor, tiempo de bocetar varias</w:t>
      </w:r>
      <w:r>
        <w:rPr>
          <w:spacing w:val="-25"/>
          <w:sz w:val="24"/>
        </w:rPr>
        <w:t> </w:t>
      </w:r>
      <w:r>
        <w:rPr>
          <w:sz w:val="24"/>
        </w:rPr>
        <w:t>piezas</w:t>
      </w:r>
    </w:p>
    <w:p>
      <w:pPr>
        <w:pStyle w:val="BodyText"/>
        <w:rPr>
          <w:sz w:val="20"/>
        </w:rPr>
      </w:pPr>
    </w:p>
    <w:p>
      <w:pPr>
        <w:pStyle w:val="BodyText"/>
        <w:spacing w:before="6"/>
        <w:rPr>
          <w:sz w:val="21"/>
        </w:rPr>
      </w:pPr>
      <w:r>
        <w:rPr/>
        <w:pict>
          <v:line style="position:absolute;mso-position-horizontal-relative:page;mso-position-vertical-relative:paragraph;z-index:2344;mso-wrap-distance-left:0;mso-wrap-distance-right:0" from="85.025002pt,14.652989pt" to="229.075002pt,14.652989pt" stroked="true" strokeweight=".60004pt" strokecolor="#000000">
            <w10:wrap type="topAndBottom"/>
          </v:line>
        </w:pict>
      </w:r>
    </w:p>
    <w:p>
      <w:pPr>
        <w:pStyle w:val="BodyText"/>
        <w:spacing w:before="9"/>
        <w:rPr>
          <w:sz w:val="7"/>
        </w:rPr>
      </w:pPr>
    </w:p>
    <w:p>
      <w:pPr>
        <w:spacing w:before="87"/>
        <w:ind w:left="120" w:right="65" w:firstLine="0"/>
        <w:jc w:val="left"/>
        <w:rPr>
          <w:sz w:val="18"/>
        </w:rPr>
      </w:pPr>
      <w:r>
        <w:rPr>
          <w:position w:val="9"/>
          <w:sz w:val="12"/>
        </w:rPr>
        <w:t>5  </w:t>
      </w:r>
      <w:r>
        <w:rPr>
          <w:sz w:val="18"/>
        </w:rPr>
        <w:t>Consultado en Diciembre de 2016.</w:t>
      </w:r>
    </w:p>
    <w:p>
      <w:pPr>
        <w:spacing w:after="0"/>
        <w:jc w:val="left"/>
        <w:rPr>
          <w:sz w:val="18"/>
        </w:rPr>
        <w:sectPr>
          <w:pgSz w:w="12240" w:h="15840"/>
          <w:pgMar w:header="0" w:footer="1031" w:top="1420" w:bottom="1220" w:left="1580" w:right="1480"/>
        </w:sectPr>
      </w:pPr>
    </w:p>
    <w:p>
      <w:pPr>
        <w:pStyle w:val="ListParagraph"/>
        <w:numPr>
          <w:ilvl w:val="2"/>
          <w:numId w:val="57"/>
        </w:numPr>
        <w:tabs>
          <w:tab w:pos="808" w:val="left" w:leader="none"/>
          <w:tab w:pos="809" w:val="left" w:leader="none"/>
        </w:tabs>
        <w:spacing w:line="362" w:lineRule="auto" w:before="55" w:after="0"/>
        <w:ind w:left="244" w:right="126" w:hanging="12"/>
        <w:jc w:val="left"/>
        <w:rPr>
          <w:sz w:val="24"/>
        </w:rPr>
      </w:pPr>
      <w:r>
        <w:rPr>
          <w:sz w:val="24"/>
        </w:rPr>
        <w:t>Dibujo digital, se realizan pruebas de diversos diseños paramétricos o texturas digitales,</w:t>
      </w:r>
      <w:r>
        <w:rPr>
          <w:spacing w:val="-15"/>
          <w:sz w:val="24"/>
        </w:rPr>
        <w:t> </w:t>
      </w:r>
      <w:r>
        <w:rPr>
          <w:sz w:val="24"/>
        </w:rPr>
        <w:t>etc.</w:t>
      </w:r>
    </w:p>
    <w:p>
      <w:pPr>
        <w:pStyle w:val="ListParagraph"/>
        <w:numPr>
          <w:ilvl w:val="2"/>
          <w:numId w:val="57"/>
        </w:numPr>
        <w:tabs>
          <w:tab w:pos="808" w:val="left" w:leader="none"/>
          <w:tab w:pos="809" w:val="left" w:leader="none"/>
        </w:tabs>
        <w:spacing w:line="362" w:lineRule="auto" w:before="0" w:after="0"/>
        <w:ind w:left="244" w:right="118" w:hanging="12"/>
        <w:jc w:val="left"/>
        <w:rPr>
          <w:sz w:val="24"/>
        </w:rPr>
      </w:pPr>
      <w:r>
        <w:rPr>
          <w:sz w:val="24"/>
        </w:rPr>
        <w:t>Impresión, lo que cuesta imprimir en un despacho (el escultor no es propietario del</w:t>
      </w:r>
      <w:r>
        <w:rPr>
          <w:spacing w:val="-17"/>
          <w:sz w:val="24"/>
        </w:rPr>
        <w:t> </w:t>
      </w:r>
      <w:r>
        <w:rPr>
          <w:sz w:val="24"/>
        </w:rPr>
        <w:t>equipo)</w:t>
      </w:r>
    </w:p>
    <w:p>
      <w:pPr>
        <w:pStyle w:val="ListParagraph"/>
        <w:numPr>
          <w:ilvl w:val="2"/>
          <w:numId w:val="57"/>
        </w:numPr>
        <w:tabs>
          <w:tab w:pos="808" w:val="left" w:leader="none"/>
          <w:tab w:pos="809" w:val="left" w:leader="none"/>
        </w:tabs>
        <w:spacing w:line="240" w:lineRule="auto" w:before="0" w:after="0"/>
        <w:ind w:left="809" w:right="0" w:hanging="577"/>
        <w:jc w:val="left"/>
        <w:rPr>
          <w:sz w:val="24"/>
        </w:rPr>
      </w:pPr>
      <w:r>
        <w:rPr>
          <w:sz w:val="24"/>
        </w:rPr>
        <w:t>El tiempo invertido al eliminar el soporte, así como uso de</w:t>
      </w:r>
      <w:r>
        <w:rPr>
          <w:spacing w:val="-36"/>
          <w:sz w:val="24"/>
        </w:rPr>
        <w:t> </w:t>
      </w:r>
      <w:r>
        <w:rPr>
          <w:sz w:val="24"/>
        </w:rPr>
        <w:t>pinzas</w:t>
      </w:r>
    </w:p>
    <w:p>
      <w:pPr>
        <w:pStyle w:val="BodyText"/>
      </w:pPr>
    </w:p>
    <w:p>
      <w:pPr>
        <w:pStyle w:val="BodyText"/>
        <w:spacing w:before="7"/>
        <w:rPr>
          <w:sz w:val="23"/>
        </w:rPr>
      </w:pPr>
    </w:p>
    <w:p>
      <w:pPr>
        <w:pStyle w:val="BodyText"/>
        <w:spacing w:line="362" w:lineRule="auto"/>
        <w:ind w:left="100" w:right="122"/>
        <w:jc w:val="both"/>
      </w:pPr>
      <w:r>
        <w:rPr/>
        <w:t>Como conclusión el costo total de la fabricación artesanal es de </w:t>
      </w:r>
      <w:r>
        <w:rPr>
          <w:b/>
        </w:rPr>
        <w:t>$36,120.50</w:t>
      </w:r>
      <w:r>
        <w:rPr/>
        <w:t>; y de la impresión 3D un total de</w:t>
      </w:r>
      <w:r>
        <w:rPr>
          <w:spacing w:val="-18"/>
        </w:rPr>
        <w:t> </w:t>
      </w:r>
      <w:r>
        <w:rPr>
          <w:b/>
        </w:rPr>
        <w:t>$31,890.00</w:t>
      </w:r>
      <w:r>
        <w:rPr/>
        <w:t>.</w:t>
      </w:r>
    </w:p>
    <w:p>
      <w:pPr>
        <w:pStyle w:val="BodyText"/>
      </w:pPr>
    </w:p>
    <w:p>
      <w:pPr>
        <w:pStyle w:val="BodyText"/>
        <w:spacing w:before="4"/>
        <w:rPr>
          <w:sz w:val="29"/>
        </w:rPr>
      </w:pPr>
    </w:p>
    <w:p>
      <w:pPr>
        <w:pStyle w:val="Heading2"/>
        <w:numPr>
          <w:ilvl w:val="1"/>
          <w:numId w:val="57"/>
        </w:numPr>
        <w:tabs>
          <w:tab w:pos="753" w:val="left" w:leader="none"/>
        </w:tabs>
        <w:spacing w:line="240" w:lineRule="auto" w:before="1" w:after="0"/>
        <w:ind w:left="753" w:right="0" w:hanging="653"/>
        <w:jc w:val="both"/>
      </w:pPr>
      <w:bookmarkStart w:name="5.4.  Fundamentos del análisis de ciclo " w:id="267"/>
      <w:bookmarkEnd w:id="267"/>
      <w:r>
        <w:rPr/>
      </w:r>
      <w:bookmarkStart w:name="_bookmark171" w:id="268"/>
      <w:bookmarkEnd w:id="268"/>
      <w:r>
        <w:rPr/>
        <w:t>F</w:t>
      </w:r>
      <w:r>
        <w:rPr/>
        <w:t>undamentos del análisis de ciclo de</w:t>
      </w:r>
      <w:r>
        <w:rPr>
          <w:spacing w:val="-10"/>
        </w:rPr>
        <w:t> </w:t>
      </w:r>
      <w:r>
        <w:rPr/>
        <w:t>vida</w:t>
      </w:r>
    </w:p>
    <w:p>
      <w:pPr>
        <w:pStyle w:val="BodyText"/>
        <w:rPr>
          <w:sz w:val="28"/>
        </w:rPr>
      </w:pPr>
    </w:p>
    <w:p>
      <w:pPr>
        <w:pStyle w:val="BodyText"/>
        <w:spacing w:before="4"/>
        <w:rPr>
          <w:sz w:val="22"/>
        </w:rPr>
      </w:pPr>
    </w:p>
    <w:p>
      <w:pPr>
        <w:pStyle w:val="BodyText"/>
        <w:spacing w:line="360" w:lineRule="auto"/>
        <w:ind w:left="100" w:right="123"/>
        <w:jc w:val="both"/>
      </w:pPr>
      <w:r>
        <w:rPr/>
        <w:t>El ACV es una herramienta de análisis y gestión medioambiental el uso de la cual ha ido creciendo durante los últimos veinte años en un amplio abanico de  sectores. Se trata de una herramienta de análisis objetiva, que muestra con transparencia cuales son las cargas ambientales asociadas a un producto o a un sistema a lo largo de todo su ciclo de vida (producción, uso, mantenimiento y fin  de</w:t>
      </w:r>
      <w:r>
        <w:rPr>
          <w:spacing w:val="-7"/>
        </w:rPr>
        <w:t> </w:t>
      </w:r>
      <w:r>
        <w:rPr/>
        <w:t>vida).</w:t>
      </w:r>
    </w:p>
    <w:p>
      <w:pPr>
        <w:pStyle w:val="BodyText"/>
      </w:pPr>
    </w:p>
    <w:p>
      <w:pPr>
        <w:pStyle w:val="BodyText"/>
        <w:spacing w:line="360" w:lineRule="auto" w:before="142"/>
        <w:ind w:left="100" w:right="113"/>
        <w:jc w:val="both"/>
      </w:pPr>
      <w:r>
        <w:rPr/>
        <w:t>La utilidad de esta herramienta se ha reconocido a nivel internacional, siendo objeto de normalización mediante un conjunto de normas ISO y UNE-EN. La metodología para realizar este ACV está en conformidad con las normas siguientes:</w:t>
      </w:r>
    </w:p>
    <w:p>
      <w:pPr>
        <w:pStyle w:val="BodyText"/>
      </w:pPr>
    </w:p>
    <w:p>
      <w:pPr>
        <w:pStyle w:val="ListParagraph"/>
        <w:numPr>
          <w:ilvl w:val="0"/>
          <w:numId w:val="58"/>
        </w:numPr>
        <w:tabs>
          <w:tab w:pos="820" w:val="left" w:leader="none"/>
          <w:tab w:pos="821" w:val="left" w:leader="none"/>
        </w:tabs>
        <w:spacing w:line="360" w:lineRule="auto" w:before="142" w:after="0"/>
        <w:ind w:left="821" w:right="118" w:hanging="361"/>
        <w:jc w:val="left"/>
        <w:rPr>
          <w:sz w:val="24"/>
        </w:rPr>
      </w:pPr>
      <w:r>
        <w:rPr>
          <w:sz w:val="24"/>
        </w:rPr>
        <w:t>UNE-EN ISO 14040:2006 – Gestión Medioambiental – Análisis del ciclo de vida – Principios y marco de</w:t>
      </w:r>
      <w:r>
        <w:rPr>
          <w:spacing w:val="-22"/>
          <w:sz w:val="24"/>
        </w:rPr>
        <w:t> </w:t>
      </w:r>
      <w:r>
        <w:rPr>
          <w:sz w:val="24"/>
        </w:rPr>
        <w:t>referencia.</w:t>
      </w:r>
    </w:p>
    <w:p>
      <w:pPr>
        <w:pStyle w:val="BodyText"/>
      </w:pPr>
    </w:p>
    <w:p>
      <w:pPr>
        <w:pStyle w:val="ListParagraph"/>
        <w:numPr>
          <w:ilvl w:val="0"/>
          <w:numId w:val="58"/>
        </w:numPr>
        <w:tabs>
          <w:tab w:pos="820" w:val="left" w:leader="none"/>
          <w:tab w:pos="821" w:val="left" w:leader="none"/>
        </w:tabs>
        <w:spacing w:line="357" w:lineRule="auto" w:before="142" w:after="0"/>
        <w:ind w:left="821" w:right="118" w:hanging="361"/>
        <w:jc w:val="left"/>
        <w:rPr>
          <w:sz w:val="24"/>
        </w:rPr>
      </w:pPr>
      <w:r>
        <w:rPr>
          <w:sz w:val="24"/>
        </w:rPr>
        <w:t>UNE-EN ISO 14044:2006 – Gestión Medioambiental – Análisis del ciclo de vida – Requisitos y</w:t>
      </w:r>
      <w:r>
        <w:rPr>
          <w:spacing w:val="-20"/>
          <w:sz w:val="24"/>
        </w:rPr>
        <w:t> </w:t>
      </w:r>
      <w:r>
        <w:rPr>
          <w:sz w:val="24"/>
        </w:rPr>
        <w:t>directrices.</w:t>
      </w:r>
    </w:p>
    <w:p>
      <w:pPr>
        <w:pStyle w:val="BodyText"/>
      </w:pPr>
    </w:p>
    <w:p>
      <w:pPr>
        <w:pStyle w:val="ListParagraph"/>
        <w:numPr>
          <w:ilvl w:val="0"/>
          <w:numId w:val="58"/>
        </w:numPr>
        <w:tabs>
          <w:tab w:pos="820" w:val="left" w:leader="none"/>
          <w:tab w:pos="821" w:val="left" w:leader="none"/>
        </w:tabs>
        <w:spacing w:line="240" w:lineRule="auto" w:before="144" w:after="0"/>
        <w:ind w:left="821" w:right="0" w:hanging="361"/>
        <w:jc w:val="left"/>
        <w:rPr>
          <w:sz w:val="24"/>
        </w:rPr>
      </w:pPr>
      <w:r>
        <w:rPr>
          <w:sz w:val="24"/>
        </w:rPr>
        <w:t>ISO/TR 14047: 2003 – Gestión Medioambiental – Análisis del ciclo de  </w:t>
      </w:r>
      <w:r>
        <w:rPr>
          <w:spacing w:val="34"/>
          <w:sz w:val="24"/>
        </w:rPr>
        <w:t> </w:t>
      </w:r>
      <w:r>
        <w:rPr>
          <w:sz w:val="24"/>
        </w:rPr>
        <w:t>vida</w:t>
      </w:r>
    </w:p>
    <w:p>
      <w:pPr>
        <w:pStyle w:val="ListParagraph"/>
        <w:numPr>
          <w:ilvl w:val="1"/>
          <w:numId w:val="58"/>
        </w:numPr>
        <w:tabs>
          <w:tab w:pos="1021" w:val="left" w:leader="none"/>
        </w:tabs>
        <w:spacing w:line="240" w:lineRule="auto" w:before="134" w:after="0"/>
        <w:ind w:left="1021" w:right="0" w:hanging="200"/>
        <w:jc w:val="left"/>
        <w:rPr>
          <w:sz w:val="24"/>
        </w:rPr>
      </w:pPr>
      <w:r>
        <w:rPr>
          <w:sz w:val="24"/>
        </w:rPr>
        <w:t>Ejemplos de aplicación de LCI (Inventario del Ciclo de</w:t>
      </w:r>
      <w:r>
        <w:rPr>
          <w:spacing w:val="-35"/>
          <w:sz w:val="24"/>
        </w:rPr>
        <w:t> </w:t>
      </w:r>
      <w:r>
        <w:rPr>
          <w:sz w:val="24"/>
        </w:rPr>
        <w:t>Vida).</w:t>
      </w:r>
    </w:p>
    <w:p>
      <w:pPr>
        <w:spacing w:after="0" w:line="240" w:lineRule="auto"/>
        <w:jc w:val="left"/>
        <w:rPr>
          <w:sz w:val="24"/>
        </w:rPr>
        <w:sectPr>
          <w:pgSz w:w="12240" w:h="15840"/>
          <w:pgMar w:header="0" w:footer="1031" w:top="1360" w:bottom="1220" w:left="1600" w:right="1580"/>
        </w:sectPr>
      </w:pPr>
    </w:p>
    <w:p>
      <w:pPr>
        <w:pStyle w:val="BodyText"/>
        <w:spacing w:before="9"/>
        <w:rPr>
          <w:sz w:val="22"/>
        </w:rPr>
      </w:pPr>
    </w:p>
    <w:p>
      <w:pPr>
        <w:pStyle w:val="ListParagraph"/>
        <w:numPr>
          <w:ilvl w:val="0"/>
          <w:numId w:val="58"/>
        </w:numPr>
        <w:tabs>
          <w:tab w:pos="820" w:val="left" w:leader="none"/>
          <w:tab w:pos="821" w:val="left" w:leader="none"/>
        </w:tabs>
        <w:spacing w:line="240" w:lineRule="auto" w:before="69" w:after="0"/>
        <w:ind w:left="821" w:right="0" w:hanging="361"/>
        <w:jc w:val="left"/>
        <w:rPr>
          <w:sz w:val="24"/>
        </w:rPr>
      </w:pPr>
      <w:r>
        <w:rPr>
          <w:sz w:val="24"/>
        </w:rPr>
        <w:t>ISO/TS 14048: 2003 – Gestión Medioambiental –  Análisis del ciclo de </w:t>
      </w:r>
      <w:r>
        <w:rPr>
          <w:spacing w:val="41"/>
          <w:sz w:val="24"/>
        </w:rPr>
        <w:t> </w:t>
      </w:r>
      <w:r>
        <w:rPr>
          <w:sz w:val="24"/>
        </w:rPr>
        <w:t>vida</w:t>
      </w:r>
    </w:p>
    <w:p>
      <w:pPr>
        <w:pStyle w:val="ListParagraph"/>
        <w:numPr>
          <w:ilvl w:val="1"/>
          <w:numId w:val="58"/>
        </w:numPr>
        <w:tabs>
          <w:tab w:pos="1021" w:val="left" w:leader="none"/>
        </w:tabs>
        <w:spacing w:line="240" w:lineRule="auto" w:before="134" w:after="0"/>
        <w:ind w:left="1021" w:right="0" w:hanging="200"/>
        <w:jc w:val="left"/>
        <w:rPr>
          <w:sz w:val="24"/>
        </w:rPr>
      </w:pPr>
      <w:r>
        <w:rPr>
          <w:sz w:val="24"/>
        </w:rPr>
        <w:t>Formatos de datos de</w:t>
      </w:r>
      <w:r>
        <w:rPr>
          <w:spacing w:val="-20"/>
          <w:sz w:val="24"/>
        </w:rPr>
        <w:t> </w:t>
      </w:r>
      <w:r>
        <w:rPr>
          <w:sz w:val="24"/>
        </w:rPr>
        <w:t>Inventario.</w:t>
      </w:r>
    </w:p>
    <w:p>
      <w:pPr>
        <w:pStyle w:val="BodyText"/>
      </w:pPr>
    </w:p>
    <w:p>
      <w:pPr>
        <w:pStyle w:val="BodyText"/>
      </w:pPr>
    </w:p>
    <w:p>
      <w:pPr>
        <w:pStyle w:val="ListParagraph"/>
        <w:numPr>
          <w:ilvl w:val="0"/>
          <w:numId w:val="58"/>
        </w:numPr>
        <w:tabs>
          <w:tab w:pos="820" w:val="left" w:leader="none"/>
          <w:tab w:pos="821" w:val="left" w:leader="none"/>
        </w:tabs>
        <w:spacing w:line="240" w:lineRule="auto" w:before="0" w:after="0"/>
        <w:ind w:left="821" w:right="0" w:hanging="361"/>
        <w:jc w:val="left"/>
        <w:rPr>
          <w:sz w:val="24"/>
        </w:rPr>
      </w:pPr>
      <w:r>
        <w:rPr>
          <w:sz w:val="24"/>
        </w:rPr>
        <w:t>ISO/TR 14049: 2000 – Gestión Medioambiental –  Análisis del ciclo de </w:t>
      </w:r>
      <w:r>
        <w:rPr>
          <w:spacing w:val="28"/>
          <w:sz w:val="24"/>
        </w:rPr>
        <w:t> </w:t>
      </w:r>
      <w:r>
        <w:rPr>
          <w:sz w:val="24"/>
        </w:rPr>
        <w:t>vida</w:t>
      </w:r>
    </w:p>
    <w:p>
      <w:pPr>
        <w:pStyle w:val="ListParagraph"/>
        <w:numPr>
          <w:ilvl w:val="1"/>
          <w:numId w:val="58"/>
        </w:numPr>
        <w:tabs>
          <w:tab w:pos="1021" w:val="left" w:leader="none"/>
        </w:tabs>
        <w:spacing w:line="240" w:lineRule="auto" w:before="138" w:after="0"/>
        <w:ind w:left="1021" w:right="0" w:hanging="200"/>
        <w:jc w:val="left"/>
        <w:rPr>
          <w:sz w:val="24"/>
        </w:rPr>
      </w:pPr>
      <w:r>
        <w:rPr>
          <w:sz w:val="24"/>
        </w:rPr>
        <w:t>Ejemplos de aplicación de objetivos y alcance y análisis de</w:t>
      </w:r>
      <w:r>
        <w:rPr>
          <w:spacing w:val="-44"/>
          <w:sz w:val="24"/>
        </w:rPr>
        <w:t> </w:t>
      </w:r>
      <w:r>
        <w:rPr>
          <w:sz w:val="24"/>
        </w:rPr>
        <w:t>inventario.</w:t>
      </w:r>
    </w:p>
    <w:p>
      <w:pPr>
        <w:pStyle w:val="BodyText"/>
      </w:pPr>
    </w:p>
    <w:p>
      <w:pPr>
        <w:pStyle w:val="BodyText"/>
      </w:pPr>
    </w:p>
    <w:p>
      <w:pPr>
        <w:pStyle w:val="Heading2"/>
        <w:numPr>
          <w:ilvl w:val="2"/>
          <w:numId w:val="59"/>
        </w:numPr>
        <w:tabs>
          <w:tab w:pos="901" w:val="left" w:leader="none"/>
        </w:tabs>
        <w:spacing w:line="240" w:lineRule="auto" w:before="194" w:after="0"/>
        <w:ind w:left="901" w:right="0" w:hanging="801"/>
        <w:jc w:val="both"/>
      </w:pPr>
      <w:bookmarkStart w:name="5.4.1.  Metodología" w:id="269"/>
      <w:bookmarkEnd w:id="269"/>
      <w:r>
        <w:rPr/>
      </w:r>
      <w:bookmarkStart w:name="_bookmark172" w:id="270"/>
      <w:bookmarkEnd w:id="270"/>
      <w:r>
        <w:rPr/>
        <w:t>M</w:t>
      </w:r>
      <w:r>
        <w:rPr/>
        <w:t>etodología</w:t>
      </w:r>
    </w:p>
    <w:p>
      <w:pPr>
        <w:pStyle w:val="BodyText"/>
        <w:rPr>
          <w:sz w:val="28"/>
        </w:rPr>
      </w:pPr>
    </w:p>
    <w:p>
      <w:pPr>
        <w:pStyle w:val="BodyText"/>
        <w:spacing w:before="5"/>
        <w:rPr>
          <w:sz w:val="22"/>
        </w:rPr>
      </w:pPr>
    </w:p>
    <w:p>
      <w:pPr>
        <w:pStyle w:val="BodyText"/>
        <w:spacing w:line="360" w:lineRule="auto" w:after="5"/>
        <w:ind w:left="100" w:right="101"/>
        <w:jc w:val="both"/>
      </w:pPr>
      <w:r>
        <w:rPr/>
        <w:t>La siguiente </w:t>
      </w:r>
      <w:hyperlink w:history="true" w:anchor="_bookmark173">
        <w:r>
          <w:rPr/>
          <w:t>Figura 5.7</w:t>
        </w:r>
      </w:hyperlink>
      <w:r>
        <w:rPr/>
        <w:t> muestra las principales etapas en las que se puede dividir un ACV: definición de objetivos y alcance, análisis de inventario, evaluación de impactos e interpretación de resultados. En el Anexo A se detalla la metodología establecida por la normativa ISO para llevar a cabo el ACV de un producto o proceso.</w:t>
      </w:r>
    </w:p>
    <w:p>
      <w:pPr>
        <w:pStyle w:val="BodyText"/>
        <w:ind w:left="101"/>
        <w:rPr>
          <w:sz w:val="20"/>
        </w:rPr>
      </w:pPr>
      <w:r>
        <w:rPr>
          <w:sz w:val="20"/>
        </w:rPr>
        <w:drawing>
          <wp:inline distT="0" distB="0" distL="0" distR="0">
            <wp:extent cx="5322041" cy="2721197"/>
            <wp:effectExtent l="0" t="0" r="0" b="0"/>
            <wp:docPr id="255" name="image132.jpeg" descr=""/>
            <wp:cNvGraphicFramePr>
              <a:graphicFrameLocks noChangeAspect="1"/>
            </wp:cNvGraphicFramePr>
            <a:graphic>
              <a:graphicData uri="http://schemas.openxmlformats.org/drawingml/2006/picture">
                <pic:pic>
                  <pic:nvPicPr>
                    <pic:cNvPr id="256" name="image132.jpeg"/>
                    <pic:cNvPicPr/>
                  </pic:nvPicPr>
                  <pic:blipFill>
                    <a:blip r:embed="rId205" cstate="print"/>
                    <a:stretch>
                      <a:fillRect/>
                    </a:stretch>
                  </pic:blipFill>
                  <pic:spPr>
                    <a:xfrm>
                      <a:off x="0" y="0"/>
                      <a:ext cx="5322041" cy="2721197"/>
                    </a:xfrm>
                    <a:prstGeom prst="rect">
                      <a:avLst/>
                    </a:prstGeom>
                  </pic:spPr>
                </pic:pic>
              </a:graphicData>
            </a:graphic>
          </wp:inline>
        </w:drawing>
      </w:r>
      <w:r>
        <w:rPr>
          <w:sz w:val="20"/>
        </w:rPr>
      </w:r>
    </w:p>
    <w:p>
      <w:pPr>
        <w:spacing w:line="242" w:lineRule="auto" w:before="140"/>
        <w:ind w:left="3321" w:right="1210" w:hanging="1865"/>
        <w:jc w:val="left"/>
        <w:rPr>
          <w:rFonts w:ascii="Calibri" w:hAnsi="Calibri"/>
          <w:sz w:val="18"/>
        </w:rPr>
      </w:pPr>
      <w:bookmarkStart w:name="_bookmark173" w:id="271"/>
      <w:bookmarkEnd w:id="271"/>
      <w:r>
        <w:rPr/>
      </w:r>
      <w:r>
        <w:rPr>
          <w:sz w:val="18"/>
        </w:rPr>
        <w:t>Figura 5.7 Marco de referencia y etapas de un análisis de ciclo de vida (Fuente: Norma UNE-</w:t>
      </w:r>
      <w:r>
        <w:rPr>
          <w:rFonts w:ascii="Calibri" w:hAnsi="Calibri"/>
          <w:sz w:val="18"/>
        </w:rPr>
        <w:t>-EN ISO 14040: 2006).</w:t>
      </w:r>
    </w:p>
    <w:p>
      <w:pPr>
        <w:pStyle w:val="BodyText"/>
        <w:rPr>
          <w:rFonts w:ascii="Calibri"/>
          <w:sz w:val="18"/>
        </w:rPr>
      </w:pPr>
    </w:p>
    <w:p>
      <w:pPr>
        <w:pStyle w:val="BodyText"/>
        <w:rPr>
          <w:rFonts w:ascii="Calibri"/>
          <w:sz w:val="18"/>
        </w:rPr>
      </w:pPr>
    </w:p>
    <w:p>
      <w:pPr>
        <w:pStyle w:val="BodyText"/>
        <w:spacing w:before="10"/>
        <w:rPr>
          <w:rFonts w:ascii="Calibri"/>
          <w:sz w:val="14"/>
        </w:rPr>
      </w:pPr>
    </w:p>
    <w:p>
      <w:pPr>
        <w:pStyle w:val="BodyText"/>
        <w:spacing w:line="362" w:lineRule="auto"/>
        <w:ind w:left="100" w:right="101"/>
        <w:jc w:val="both"/>
      </w:pPr>
      <w:r>
        <w:rPr/>
        <w:t>Como se mostró primero se define el objetivo y alcance, posteriormente se realiza el análisis del inventario y se evalúa el impacto en este caso utilizando el Sima Pro</w:t>
      </w:r>
    </w:p>
    <w:p>
      <w:pPr>
        <w:pStyle w:val="BodyText"/>
        <w:spacing w:line="275" w:lineRule="exact"/>
        <w:ind w:left="100"/>
        <w:jc w:val="both"/>
      </w:pPr>
      <w:r>
        <w:rPr/>
        <w:t>8.0 y se interpretan los datos.</w:t>
      </w:r>
    </w:p>
    <w:p>
      <w:pPr>
        <w:spacing w:after="0" w:line="275" w:lineRule="exact"/>
        <w:jc w:val="both"/>
        <w:sectPr>
          <w:pgSz w:w="12240" w:h="15840"/>
          <w:pgMar w:header="0" w:footer="1031" w:top="1500" w:bottom="1220" w:left="1600" w:right="1600"/>
        </w:sectPr>
      </w:pPr>
    </w:p>
    <w:p>
      <w:pPr>
        <w:pStyle w:val="Heading2"/>
        <w:numPr>
          <w:ilvl w:val="2"/>
          <w:numId w:val="59"/>
        </w:numPr>
        <w:tabs>
          <w:tab w:pos="897" w:val="left" w:leader="none"/>
        </w:tabs>
        <w:spacing w:line="240" w:lineRule="auto" w:before="49" w:after="0"/>
        <w:ind w:left="897" w:right="0" w:hanging="797"/>
        <w:jc w:val="both"/>
      </w:pPr>
      <w:bookmarkStart w:name="5.4.2.  Objetivos y alcance de estudio" w:id="272"/>
      <w:bookmarkEnd w:id="272"/>
      <w:r>
        <w:rPr/>
      </w:r>
      <w:bookmarkStart w:name="_bookmark174" w:id="273"/>
      <w:bookmarkEnd w:id="273"/>
      <w:r>
        <w:rPr/>
        <w:t>O</w:t>
      </w:r>
      <w:r>
        <w:rPr/>
        <w:t>bjetivos y alcance de</w:t>
      </w:r>
      <w:r>
        <w:rPr>
          <w:spacing w:val="-7"/>
        </w:rPr>
        <w:t> </w:t>
      </w:r>
      <w:r>
        <w:rPr/>
        <w:t>estudio</w:t>
      </w:r>
    </w:p>
    <w:p>
      <w:pPr>
        <w:pStyle w:val="BodyText"/>
        <w:rPr>
          <w:sz w:val="28"/>
        </w:rPr>
      </w:pPr>
    </w:p>
    <w:p>
      <w:pPr>
        <w:pStyle w:val="BodyText"/>
        <w:spacing w:before="10"/>
        <w:rPr>
          <w:sz w:val="34"/>
        </w:rPr>
      </w:pPr>
    </w:p>
    <w:p>
      <w:pPr>
        <w:pStyle w:val="BodyText"/>
        <w:spacing w:before="1"/>
        <w:ind w:left="100" w:right="99"/>
        <w:jc w:val="both"/>
      </w:pPr>
      <w:r>
        <w:rPr/>
        <w:t>El objetivo de este estudio es desarrollar un análisis comparativo del impacto ambiental en el proceso de fabricación de una escultura, mediante dos tecnologías diferentes:</w:t>
      </w:r>
    </w:p>
    <w:p>
      <w:pPr>
        <w:pStyle w:val="ListParagraph"/>
        <w:numPr>
          <w:ilvl w:val="3"/>
          <w:numId w:val="59"/>
        </w:numPr>
        <w:tabs>
          <w:tab w:pos="896" w:val="left" w:leader="none"/>
          <w:tab w:pos="897" w:val="left" w:leader="none"/>
        </w:tabs>
        <w:spacing w:line="240" w:lineRule="auto" w:before="148" w:after="0"/>
        <w:ind w:left="100" w:right="0" w:firstLine="360"/>
        <w:jc w:val="left"/>
        <w:rPr>
          <w:sz w:val="24"/>
        </w:rPr>
      </w:pPr>
      <w:r>
        <w:rPr>
          <w:sz w:val="24"/>
        </w:rPr>
        <w:t>el proceso de modelado tradicional (resina poliéster con fibra de</w:t>
      </w:r>
      <w:r>
        <w:rPr>
          <w:spacing w:val="-38"/>
          <w:sz w:val="24"/>
        </w:rPr>
        <w:t> </w:t>
      </w:r>
      <w:r>
        <w:rPr>
          <w:sz w:val="24"/>
        </w:rPr>
        <w:t>vidrio)</w:t>
      </w:r>
    </w:p>
    <w:p>
      <w:pPr>
        <w:pStyle w:val="ListParagraph"/>
        <w:numPr>
          <w:ilvl w:val="3"/>
          <w:numId w:val="59"/>
        </w:numPr>
        <w:tabs>
          <w:tab w:pos="964" w:val="left" w:leader="none"/>
          <w:tab w:pos="965" w:val="left" w:leader="none"/>
        </w:tabs>
        <w:spacing w:line="717" w:lineRule="auto" w:before="134" w:after="0"/>
        <w:ind w:left="100" w:right="2940" w:firstLine="360"/>
        <w:jc w:val="left"/>
        <w:rPr>
          <w:sz w:val="24"/>
        </w:rPr>
      </w:pPr>
      <w:r>
        <w:rPr>
          <w:sz w:val="24"/>
        </w:rPr>
        <w:t>el proceso tecnológico (impresión 3D en PLA) El alcance y unidad funcional del estudio es el</w:t>
      </w:r>
      <w:r>
        <w:rPr>
          <w:spacing w:val="-34"/>
          <w:sz w:val="24"/>
        </w:rPr>
        <w:t> </w:t>
      </w:r>
      <w:r>
        <w:rPr>
          <w:sz w:val="24"/>
        </w:rPr>
        <w:t>siguiente:</w:t>
      </w:r>
    </w:p>
    <w:p>
      <w:pPr>
        <w:pStyle w:val="ListParagraph"/>
        <w:numPr>
          <w:ilvl w:val="0"/>
          <w:numId w:val="60"/>
        </w:numPr>
        <w:tabs>
          <w:tab w:pos="821" w:val="left" w:leader="none"/>
        </w:tabs>
        <w:spacing w:line="355" w:lineRule="auto" w:before="19" w:after="0"/>
        <w:ind w:left="821" w:right="105" w:hanging="361"/>
        <w:jc w:val="both"/>
        <w:rPr>
          <w:sz w:val="24"/>
        </w:rPr>
      </w:pPr>
      <w:r>
        <w:rPr>
          <w:sz w:val="24"/>
        </w:rPr>
        <w:t>Evaluar el impacto ambiental de una pieza de iguales características y dimensiones desde la etapa de diseño/modelado inicial hasta la obtención final de la pieza</w:t>
      </w:r>
      <w:r>
        <w:rPr>
          <w:spacing w:val="-18"/>
          <w:sz w:val="24"/>
        </w:rPr>
        <w:t> </w:t>
      </w:r>
      <w:r>
        <w:rPr>
          <w:sz w:val="24"/>
        </w:rPr>
        <w:t>(acabados).</w:t>
      </w:r>
    </w:p>
    <w:p>
      <w:pPr>
        <w:pStyle w:val="BodyText"/>
        <w:spacing w:before="11"/>
        <w:ind w:left="100"/>
        <w:jc w:val="both"/>
      </w:pPr>
      <w:r>
        <w:rPr/>
        <w:t>En concreto sería lo siguiente, ver </w:t>
      </w:r>
      <w:hyperlink w:history="true" w:anchor="_bookmark175">
        <w:r>
          <w:rPr/>
          <w:t>Figura 5.8</w:t>
        </w:r>
      </w:hyperlink>
    </w:p>
    <w:p>
      <w:pPr>
        <w:pStyle w:val="BodyText"/>
        <w:rPr>
          <w:sz w:val="20"/>
        </w:rPr>
      </w:pPr>
    </w:p>
    <w:p>
      <w:pPr>
        <w:pStyle w:val="BodyText"/>
        <w:spacing w:before="6"/>
      </w:pPr>
      <w:r>
        <w:rPr/>
        <w:drawing>
          <wp:anchor distT="0" distB="0" distL="0" distR="0" allowOverlap="1" layoutInCell="1" locked="0" behindDoc="0" simplePos="0" relativeHeight="2368">
            <wp:simplePos x="0" y="0"/>
            <wp:positionH relativeFrom="page">
              <wp:posOffset>2130425</wp:posOffset>
            </wp:positionH>
            <wp:positionV relativeFrom="paragraph">
              <wp:posOffset>203936</wp:posOffset>
            </wp:positionV>
            <wp:extent cx="3492588" cy="2350960"/>
            <wp:effectExtent l="0" t="0" r="0" b="0"/>
            <wp:wrapTopAndBottom/>
            <wp:docPr id="257" name="image133.jpeg" descr=""/>
            <wp:cNvGraphicFramePr>
              <a:graphicFrameLocks noChangeAspect="1"/>
            </wp:cNvGraphicFramePr>
            <a:graphic>
              <a:graphicData uri="http://schemas.openxmlformats.org/drawingml/2006/picture">
                <pic:pic>
                  <pic:nvPicPr>
                    <pic:cNvPr id="258" name="image133.jpeg"/>
                    <pic:cNvPicPr/>
                  </pic:nvPicPr>
                  <pic:blipFill>
                    <a:blip r:embed="rId206" cstate="print"/>
                    <a:stretch>
                      <a:fillRect/>
                    </a:stretch>
                  </pic:blipFill>
                  <pic:spPr>
                    <a:xfrm>
                      <a:off x="0" y="0"/>
                      <a:ext cx="3492588" cy="2350960"/>
                    </a:xfrm>
                    <a:prstGeom prst="rect">
                      <a:avLst/>
                    </a:prstGeom>
                  </pic:spPr>
                </pic:pic>
              </a:graphicData>
            </a:graphic>
          </wp:anchor>
        </w:drawing>
      </w:r>
    </w:p>
    <w:p>
      <w:pPr>
        <w:spacing w:line="204" w:lineRule="exact" w:before="100"/>
        <w:ind w:left="2829" w:right="1342" w:hanging="1245"/>
        <w:jc w:val="left"/>
        <w:rPr>
          <w:sz w:val="18"/>
        </w:rPr>
      </w:pPr>
      <w:bookmarkStart w:name="_bookmark175" w:id="274"/>
      <w:bookmarkEnd w:id="274"/>
      <w:r>
        <w:rPr/>
      </w:r>
      <w:r>
        <w:rPr>
          <w:sz w:val="18"/>
        </w:rPr>
        <w:t>Figura 5.8. Comparativo de procesos de modelado de la escultura Banda de Moebius. (Fuente: Elaboración propia, 2015).</w:t>
      </w:r>
    </w:p>
    <w:p>
      <w:pPr>
        <w:spacing w:after="0" w:line="204" w:lineRule="exact"/>
        <w:jc w:val="left"/>
        <w:rPr>
          <w:sz w:val="18"/>
        </w:rPr>
        <w:sectPr>
          <w:pgSz w:w="12240" w:h="15840"/>
          <w:pgMar w:header="0" w:footer="1031" w:top="1360" w:bottom="1220" w:left="1600" w:right="1600"/>
        </w:sectPr>
      </w:pPr>
    </w:p>
    <w:p>
      <w:pPr>
        <w:pStyle w:val="Heading2"/>
        <w:numPr>
          <w:ilvl w:val="2"/>
          <w:numId w:val="59"/>
        </w:numPr>
        <w:tabs>
          <w:tab w:pos="937" w:val="left" w:leader="none"/>
        </w:tabs>
        <w:spacing w:line="240" w:lineRule="auto" w:before="49" w:after="0"/>
        <w:ind w:left="937" w:right="0" w:hanging="797"/>
        <w:jc w:val="both"/>
      </w:pPr>
      <w:bookmarkStart w:name="5.4.3.  Datos de inventario" w:id="275"/>
      <w:bookmarkEnd w:id="275"/>
      <w:r>
        <w:rPr/>
      </w:r>
      <w:bookmarkStart w:name="_bookmark176" w:id="276"/>
      <w:bookmarkEnd w:id="276"/>
      <w:r>
        <w:rPr/>
        <w:t>D</w:t>
      </w:r>
      <w:r>
        <w:rPr/>
        <w:t>atos de</w:t>
      </w:r>
      <w:r>
        <w:rPr>
          <w:spacing w:val="-7"/>
        </w:rPr>
        <w:t> </w:t>
      </w:r>
      <w:r>
        <w:rPr/>
        <w:t>inventario</w:t>
      </w:r>
    </w:p>
    <w:p>
      <w:pPr>
        <w:pStyle w:val="BodyText"/>
        <w:rPr>
          <w:sz w:val="28"/>
        </w:rPr>
      </w:pPr>
    </w:p>
    <w:p>
      <w:pPr>
        <w:pStyle w:val="BodyText"/>
        <w:spacing w:before="8"/>
        <w:rPr>
          <w:sz w:val="22"/>
        </w:rPr>
      </w:pPr>
    </w:p>
    <w:p>
      <w:pPr>
        <w:pStyle w:val="BodyText"/>
        <w:spacing w:line="360" w:lineRule="auto"/>
        <w:ind w:left="140" w:right="137"/>
        <w:jc w:val="both"/>
      </w:pPr>
      <w:r>
        <w:rPr/>
        <w:t>En los datos del inventario se presentan los del proceso artesanal y del proceso de impresión 3D. Se enuncian las herramientas de medición como: consumo de energía, consumo de material, y residuos.</w:t>
      </w:r>
    </w:p>
    <w:p>
      <w:pPr>
        <w:pStyle w:val="BodyText"/>
      </w:pPr>
    </w:p>
    <w:p>
      <w:pPr>
        <w:pStyle w:val="BodyText"/>
        <w:spacing w:before="3"/>
        <w:rPr>
          <w:sz w:val="29"/>
        </w:rPr>
      </w:pPr>
    </w:p>
    <w:p>
      <w:pPr>
        <w:pStyle w:val="Heading2"/>
        <w:numPr>
          <w:ilvl w:val="3"/>
          <w:numId w:val="61"/>
        </w:numPr>
        <w:tabs>
          <w:tab w:pos="1637" w:val="left" w:leader="none"/>
        </w:tabs>
        <w:spacing w:line="240" w:lineRule="auto" w:before="0" w:after="0"/>
        <w:ind w:left="1637" w:right="0" w:hanging="1497"/>
        <w:jc w:val="both"/>
      </w:pPr>
      <w:bookmarkStart w:name="5.4.3.1.  Modelado artesanal" w:id="277"/>
      <w:bookmarkEnd w:id="277"/>
      <w:r>
        <w:rPr/>
      </w:r>
      <w:bookmarkStart w:name="_bookmark177" w:id="278"/>
      <w:bookmarkEnd w:id="278"/>
      <w:r>
        <w:rPr/>
        <w:t>M</w:t>
      </w:r>
      <w:r>
        <w:rPr/>
        <w:t>odelado</w:t>
      </w:r>
      <w:r>
        <w:rPr>
          <w:spacing w:val="-9"/>
        </w:rPr>
        <w:t> </w:t>
      </w:r>
      <w:r>
        <w:rPr/>
        <w:t>artesanal</w:t>
      </w:r>
    </w:p>
    <w:p>
      <w:pPr>
        <w:pStyle w:val="BodyText"/>
        <w:rPr>
          <w:sz w:val="28"/>
        </w:rPr>
      </w:pPr>
    </w:p>
    <w:p>
      <w:pPr>
        <w:pStyle w:val="BodyText"/>
        <w:spacing w:before="1"/>
        <w:rPr>
          <w:sz w:val="22"/>
        </w:rPr>
      </w:pPr>
    </w:p>
    <w:p>
      <w:pPr>
        <w:spacing w:line="360" w:lineRule="auto" w:before="0"/>
        <w:ind w:left="140" w:right="136" w:firstLine="0"/>
        <w:jc w:val="both"/>
        <w:rPr>
          <w:i/>
          <w:sz w:val="24"/>
        </w:rPr>
      </w:pPr>
      <w:r>
        <w:rPr>
          <w:sz w:val="24"/>
        </w:rPr>
        <w:t>A continuación veremos la </w:t>
      </w:r>
      <w:hyperlink w:history="true" w:anchor="_bookmark178">
        <w:r>
          <w:rPr>
            <w:sz w:val="24"/>
          </w:rPr>
          <w:t>Tabla 5.11</w:t>
        </w:r>
      </w:hyperlink>
      <w:r>
        <w:rPr>
          <w:sz w:val="24"/>
        </w:rPr>
        <w:t>, donde veremos el </w:t>
      </w:r>
      <w:r>
        <w:rPr>
          <w:b/>
          <w:sz w:val="24"/>
        </w:rPr>
        <w:t>consumo de energía </w:t>
      </w:r>
      <w:r>
        <w:rPr>
          <w:sz w:val="24"/>
        </w:rPr>
        <w:t>con el Proceso Ecoinvent utilizado: </w:t>
      </w:r>
      <w:r>
        <w:rPr>
          <w:i/>
          <w:sz w:val="24"/>
        </w:rPr>
        <w:t>Electricity, low voltage {ES}| market for | Alloc </w:t>
      </w:r>
      <w:r>
        <w:rPr>
          <w:i/>
          <w:sz w:val="24"/>
        </w:rPr>
        <w:t>Def, U.</w:t>
      </w:r>
    </w:p>
    <w:p>
      <w:pPr>
        <w:pStyle w:val="BodyText"/>
        <w:rPr>
          <w:i/>
        </w:rPr>
      </w:pPr>
    </w:p>
    <w:p>
      <w:pPr>
        <w:spacing w:before="142" w:after="4"/>
        <w:ind w:left="4090" w:right="1040" w:hanging="2805"/>
        <w:jc w:val="left"/>
        <w:rPr>
          <w:sz w:val="18"/>
        </w:rPr>
      </w:pPr>
      <w:bookmarkStart w:name="_bookmark178" w:id="279"/>
      <w:bookmarkEnd w:id="279"/>
      <w:r>
        <w:rPr/>
      </w:r>
      <w:r>
        <w:rPr>
          <w:sz w:val="18"/>
        </w:rPr>
        <w:t>Tabla 5.11. Tabla que muestra el equipo eléctrico utilizado en cada paso del proceso de fabricación.</w:t>
      </w: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104"/>
        <w:gridCol w:w="1825"/>
        <w:gridCol w:w="696"/>
        <w:gridCol w:w="1589"/>
        <w:gridCol w:w="2024"/>
        <w:gridCol w:w="1656"/>
      </w:tblGrid>
      <w:tr>
        <w:trPr>
          <w:trHeight w:val="630" w:hRule="exact"/>
        </w:trPr>
        <w:tc>
          <w:tcPr>
            <w:tcW w:w="1104" w:type="dxa"/>
            <w:shd w:val="clear" w:color="auto" w:fill="A6A6A6"/>
          </w:tcPr>
          <w:p>
            <w:pPr/>
          </w:p>
        </w:tc>
        <w:tc>
          <w:tcPr>
            <w:tcW w:w="1825" w:type="dxa"/>
            <w:shd w:val="clear" w:color="auto" w:fill="A6A6A6"/>
          </w:tcPr>
          <w:p>
            <w:pPr>
              <w:pStyle w:val="TableParagraph"/>
              <w:spacing w:before="10"/>
              <w:rPr>
                <w:sz w:val="26"/>
              </w:rPr>
            </w:pPr>
          </w:p>
          <w:p>
            <w:pPr>
              <w:pStyle w:val="TableParagraph"/>
              <w:ind w:left="189" w:right="182"/>
              <w:jc w:val="center"/>
              <w:rPr>
                <w:sz w:val="18"/>
              </w:rPr>
            </w:pPr>
            <w:r>
              <w:rPr>
                <w:sz w:val="18"/>
              </w:rPr>
              <w:t>Equipo</w:t>
            </w:r>
          </w:p>
        </w:tc>
        <w:tc>
          <w:tcPr>
            <w:tcW w:w="696" w:type="dxa"/>
            <w:shd w:val="clear" w:color="auto" w:fill="A6A6A6"/>
          </w:tcPr>
          <w:p>
            <w:pPr>
              <w:pStyle w:val="TableParagraph"/>
              <w:spacing w:before="10"/>
              <w:rPr>
                <w:sz w:val="26"/>
              </w:rPr>
            </w:pPr>
          </w:p>
          <w:p>
            <w:pPr>
              <w:pStyle w:val="TableParagraph"/>
              <w:ind w:left="1"/>
              <w:jc w:val="center"/>
              <w:rPr>
                <w:sz w:val="18"/>
              </w:rPr>
            </w:pPr>
            <w:r>
              <w:rPr>
                <w:w w:val="99"/>
                <w:sz w:val="18"/>
              </w:rPr>
              <w:t>w</w:t>
            </w:r>
          </w:p>
        </w:tc>
        <w:tc>
          <w:tcPr>
            <w:tcW w:w="1589" w:type="dxa"/>
            <w:shd w:val="clear" w:color="auto" w:fill="A6A6A6"/>
          </w:tcPr>
          <w:p>
            <w:pPr>
              <w:pStyle w:val="TableParagraph"/>
              <w:spacing w:before="10"/>
              <w:rPr>
                <w:sz w:val="26"/>
              </w:rPr>
            </w:pPr>
          </w:p>
          <w:p>
            <w:pPr>
              <w:pStyle w:val="TableParagraph"/>
              <w:jc w:val="center"/>
              <w:rPr>
                <w:sz w:val="18"/>
              </w:rPr>
            </w:pPr>
            <w:r>
              <w:rPr>
                <w:w w:val="99"/>
                <w:sz w:val="18"/>
              </w:rPr>
              <w:t>h</w:t>
            </w:r>
          </w:p>
        </w:tc>
        <w:tc>
          <w:tcPr>
            <w:tcW w:w="2024" w:type="dxa"/>
            <w:shd w:val="clear" w:color="auto" w:fill="A6A6A6"/>
          </w:tcPr>
          <w:p>
            <w:pPr>
              <w:pStyle w:val="TableParagraph"/>
              <w:spacing w:line="362" w:lineRule="auto"/>
              <w:ind w:left="452" w:right="273" w:hanging="160"/>
              <w:rPr>
                <w:sz w:val="18"/>
              </w:rPr>
            </w:pPr>
            <w:r>
              <w:rPr>
                <w:sz w:val="18"/>
              </w:rPr>
              <w:t>Consumo energía eléctrica (Wh)</w:t>
            </w:r>
          </w:p>
        </w:tc>
        <w:tc>
          <w:tcPr>
            <w:tcW w:w="1656" w:type="dxa"/>
            <w:shd w:val="clear" w:color="auto" w:fill="A6A6A6"/>
          </w:tcPr>
          <w:p>
            <w:pPr>
              <w:pStyle w:val="TableParagraph"/>
              <w:spacing w:before="10"/>
              <w:rPr>
                <w:sz w:val="26"/>
              </w:rPr>
            </w:pPr>
          </w:p>
          <w:p>
            <w:pPr>
              <w:pStyle w:val="TableParagraph"/>
              <w:ind w:left="125" w:right="123"/>
              <w:jc w:val="center"/>
              <w:rPr>
                <w:sz w:val="18"/>
              </w:rPr>
            </w:pPr>
            <w:r>
              <w:rPr>
                <w:sz w:val="18"/>
              </w:rPr>
              <w:t>Total FASE (Wh)</w:t>
            </w:r>
          </w:p>
        </w:tc>
      </w:tr>
      <w:tr>
        <w:trPr>
          <w:trHeight w:val="616" w:hRule="exact"/>
        </w:trPr>
        <w:tc>
          <w:tcPr>
            <w:tcW w:w="1104" w:type="dxa"/>
            <w:vMerge w:val="restart"/>
            <w:shd w:val="clear" w:color="auto" w:fill="A6A6A6"/>
          </w:tcPr>
          <w:p>
            <w:pPr>
              <w:pStyle w:val="TableParagraph"/>
              <w:spacing w:line="360" w:lineRule="auto"/>
              <w:ind w:left="127" w:right="126" w:hanging="3"/>
              <w:jc w:val="center"/>
              <w:rPr>
                <w:sz w:val="18"/>
              </w:rPr>
            </w:pPr>
            <w:r>
              <w:rPr>
                <w:sz w:val="18"/>
              </w:rPr>
              <w:t>Paso 1. Modelar la pieza</w:t>
            </w:r>
          </w:p>
        </w:tc>
        <w:tc>
          <w:tcPr>
            <w:tcW w:w="1825" w:type="dxa"/>
          </w:tcPr>
          <w:p>
            <w:pPr>
              <w:pStyle w:val="TableParagraph"/>
              <w:spacing w:before="3"/>
              <w:rPr>
                <w:sz w:val="25"/>
              </w:rPr>
            </w:pPr>
          </w:p>
          <w:p>
            <w:pPr>
              <w:pStyle w:val="TableParagraph"/>
              <w:ind w:left="193" w:right="182"/>
              <w:jc w:val="center"/>
              <w:rPr>
                <w:sz w:val="18"/>
              </w:rPr>
            </w:pPr>
            <w:r>
              <w:rPr>
                <w:sz w:val="18"/>
              </w:rPr>
              <w:t>Lampara de calor</w:t>
            </w:r>
          </w:p>
        </w:tc>
        <w:tc>
          <w:tcPr>
            <w:tcW w:w="696" w:type="dxa"/>
          </w:tcPr>
          <w:p>
            <w:pPr>
              <w:pStyle w:val="TableParagraph"/>
              <w:spacing w:before="3"/>
              <w:rPr>
                <w:sz w:val="25"/>
              </w:rPr>
            </w:pPr>
          </w:p>
          <w:p>
            <w:pPr>
              <w:pStyle w:val="TableParagraph"/>
              <w:ind w:left="123" w:right="123"/>
              <w:jc w:val="center"/>
              <w:rPr>
                <w:sz w:val="18"/>
              </w:rPr>
            </w:pPr>
            <w:r>
              <w:rPr>
                <w:sz w:val="18"/>
              </w:rPr>
              <w:t>60</w:t>
            </w:r>
          </w:p>
        </w:tc>
        <w:tc>
          <w:tcPr>
            <w:tcW w:w="1589" w:type="dxa"/>
          </w:tcPr>
          <w:p>
            <w:pPr>
              <w:pStyle w:val="TableParagraph"/>
              <w:spacing w:before="3"/>
              <w:rPr>
                <w:sz w:val="25"/>
              </w:rPr>
            </w:pPr>
          </w:p>
          <w:p>
            <w:pPr>
              <w:pStyle w:val="TableParagraph"/>
              <w:jc w:val="center"/>
              <w:rPr>
                <w:sz w:val="18"/>
              </w:rPr>
            </w:pPr>
            <w:r>
              <w:rPr>
                <w:w w:val="99"/>
                <w:sz w:val="18"/>
              </w:rPr>
              <w:t>5</w:t>
            </w:r>
          </w:p>
        </w:tc>
        <w:tc>
          <w:tcPr>
            <w:tcW w:w="2024" w:type="dxa"/>
          </w:tcPr>
          <w:p>
            <w:pPr>
              <w:pStyle w:val="TableParagraph"/>
              <w:spacing w:before="3"/>
              <w:rPr>
                <w:sz w:val="25"/>
              </w:rPr>
            </w:pPr>
          </w:p>
          <w:p>
            <w:pPr>
              <w:pStyle w:val="TableParagraph"/>
              <w:ind w:left="739" w:right="736"/>
              <w:jc w:val="center"/>
              <w:rPr>
                <w:sz w:val="18"/>
              </w:rPr>
            </w:pPr>
            <w:r>
              <w:rPr>
                <w:sz w:val="18"/>
              </w:rPr>
              <w:t>300</w:t>
            </w:r>
          </w:p>
        </w:tc>
        <w:tc>
          <w:tcPr>
            <w:tcW w:w="1656" w:type="dxa"/>
          </w:tcPr>
          <w:p>
            <w:pPr/>
          </w:p>
        </w:tc>
      </w:tr>
      <w:tr>
        <w:trPr>
          <w:trHeight w:val="324" w:hRule="exact"/>
        </w:trPr>
        <w:tc>
          <w:tcPr>
            <w:tcW w:w="1104" w:type="dxa"/>
            <w:vMerge/>
            <w:shd w:val="clear" w:color="auto" w:fill="A6A6A6"/>
          </w:tcPr>
          <w:p>
            <w:pPr/>
          </w:p>
        </w:tc>
        <w:tc>
          <w:tcPr>
            <w:tcW w:w="1825" w:type="dxa"/>
          </w:tcPr>
          <w:p>
            <w:pPr>
              <w:pStyle w:val="TableParagraph"/>
              <w:spacing w:before="3"/>
              <w:ind w:left="188" w:right="182"/>
              <w:jc w:val="center"/>
              <w:rPr>
                <w:sz w:val="18"/>
              </w:rPr>
            </w:pPr>
            <w:r>
              <w:rPr>
                <w:sz w:val="18"/>
              </w:rPr>
              <w:t>Luz del taller</w:t>
            </w:r>
          </w:p>
        </w:tc>
        <w:tc>
          <w:tcPr>
            <w:tcW w:w="696" w:type="dxa"/>
          </w:tcPr>
          <w:p>
            <w:pPr>
              <w:pStyle w:val="TableParagraph"/>
              <w:spacing w:before="3"/>
              <w:ind w:left="121" w:right="123"/>
              <w:jc w:val="center"/>
              <w:rPr>
                <w:sz w:val="18"/>
              </w:rPr>
            </w:pPr>
            <w:r>
              <w:rPr>
                <w:sz w:val="18"/>
              </w:rPr>
              <w:t>120</w:t>
            </w:r>
          </w:p>
        </w:tc>
        <w:tc>
          <w:tcPr>
            <w:tcW w:w="1589" w:type="dxa"/>
          </w:tcPr>
          <w:p>
            <w:pPr>
              <w:pStyle w:val="TableParagraph"/>
              <w:spacing w:before="3"/>
              <w:ind w:left="594" w:right="596"/>
              <w:jc w:val="center"/>
              <w:rPr>
                <w:sz w:val="18"/>
              </w:rPr>
            </w:pPr>
            <w:r>
              <w:rPr>
                <w:sz w:val="18"/>
              </w:rPr>
              <w:t>18</w:t>
            </w:r>
          </w:p>
        </w:tc>
        <w:tc>
          <w:tcPr>
            <w:tcW w:w="2024" w:type="dxa"/>
          </w:tcPr>
          <w:p>
            <w:pPr>
              <w:pStyle w:val="TableParagraph"/>
              <w:spacing w:before="3"/>
              <w:ind w:left="736" w:right="736"/>
              <w:jc w:val="center"/>
              <w:rPr>
                <w:sz w:val="18"/>
              </w:rPr>
            </w:pPr>
            <w:r>
              <w:rPr>
                <w:sz w:val="18"/>
              </w:rPr>
              <w:t>2160</w:t>
            </w:r>
          </w:p>
        </w:tc>
        <w:tc>
          <w:tcPr>
            <w:tcW w:w="1656" w:type="dxa"/>
          </w:tcPr>
          <w:p>
            <w:pPr>
              <w:pStyle w:val="TableParagraph"/>
              <w:spacing w:before="3"/>
              <w:ind w:left="123" w:right="123"/>
              <w:jc w:val="center"/>
              <w:rPr>
                <w:sz w:val="18"/>
              </w:rPr>
            </w:pPr>
            <w:r>
              <w:rPr>
                <w:sz w:val="18"/>
              </w:rPr>
              <w:t>2460</w:t>
            </w:r>
          </w:p>
        </w:tc>
      </w:tr>
      <w:tr>
        <w:trPr>
          <w:trHeight w:val="617" w:hRule="exact"/>
        </w:trPr>
        <w:tc>
          <w:tcPr>
            <w:tcW w:w="1104" w:type="dxa"/>
            <w:vMerge w:val="restart"/>
            <w:shd w:val="clear" w:color="auto" w:fill="A6A6A6"/>
          </w:tcPr>
          <w:p>
            <w:pPr>
              <w:pStyle w:val="TableParagraph"/>
              <w:spacing w:line="362" w:lineRule="auto" w:before="155"/>
              <w:ind w:left="119" w:right="122" w:firstLine="1"/>
              <w:jc w:val="center"/>
              <w:rPr>
                <w:sz w:val="18"/>
              </w:rPr>
            </w:pPr>
            <w:r>
              <w:rPr>
                <w:sz w:val="18"/>
              </w:rPr>
              <w:t>Paso 2. Fabricar el molde</w:t>
            </w:r>
          </w:p>
        </w:tc>
        <w:tc>
          <w:tcPr>
            <w:tcW w:w="1825" w:type="dxa"/>
          </w:tcPr>
          <w:p>
            <w:pPr>
              <w:pStyle w:val="TableParagraph"/>
              <w:spacing w:before="8"/>
              <w:rPr>
                <w:sz w:val="25"/>
              </w:rPr>
            </w:pPr>
          </w:p>
          <w:p>
            <w:pPr>
              <w:pStyle w:val="TableParagraph"/>
              <w:ind w:left="188" w:right="182"/>
              <w:jc w:val="center"/>
              <w:rPr>
                <w:sz w:val="18"/>
              </w:rPr>
            </w:pPr>
            <w:r>
              <w:rPr>
                <w:sz w:val="18"/>
              </w:rPr>
              <w:t>Secadora de aire</w:t>
            </w:r>
          </w:p>
        </w:tc>
        <w:tc>
          <w:tcPr>
            <w:tcW w:w="696" w:type="dxa"/>
          </w:tcPr>
          <w:p>
            <w:pPr>
              <w:pStyle w:val="TableParagraph"/>
              <w:spacing w:before="8"/>
              <w:rPr>
                <w:sz w:val="25"/>
              </w:rPr>
            </w:pPr>
          </w:p>
          <w:p>
            <w:pPr>
              <w:pStyle w:val="TableParagraph"/>
              <w:ind w:left="123" w:right="123"/>
              <w:jc w:val="center"/>
              <w:rPr>
                <w:sz w:val="18"/>
              </w:rPr>
            </w:pPr>
            <w:r>
              <w:rPr>
                <w:sz w:val="18"/>
              </w:rPr>
              <w:t>1875</w:t>
            </w:r>
          </w:p>
        </w:tc>
        <w:tc>
          <w:tcPr>
            <w:tcW w:w="1589" w:type="dxa"/>
          </w:tcPr>
          <w:p>
            <w:pPr>
              <w:pStyle w:val="TableParagraph"/>
              <w:spacing w:before="8"/>
              <w:rPr>
                <w:sz w:val="25"/>
              </w:rPr>
            </w:pPr>
          </w:p>
          <w:p>
            <w:pPr>
              <w:pStyle w:val="TableParagraph"/>
              <w:jc w:val="center"/>
              <w:rPr>
                <w:sz w:val="18"/>
              </w:rPr>
            </w:pPr>
            <w:r>
              <w:rPr>
                <w:w w:val="99"/>
                <w:sz w:val="18"/>
              </w:rPr>
              <w:t>3</w:t>
            </w:r>
          </w:p>
        </w:tc>
        <w:tc>
          <w:tcPr>
            <w:tcW w:w="2024" w:type="dxa"/>
          </w:tcPr>
          <w:p>
            <w:pPr>
              <w:pStyle w:val="TableParagraph"/>
              <w:spacing w:before="8"/>
              <w:rPr>
                <w:sz w:val="25"/>
              </w:rPr>
            </w:pPr>
          </w:p>
          <w:p>
            <w:pPr>
              <w:pStyle w:val="TableParagraph"/>
              <w:ind w:left="736" w:right="736"/>
              <w:jc w:val="center"/>
              <w:rPr>
                <w:sz w:val="18"/>
              </w:rPr>
            </w:pPr>
            <w:r>
              <w:rPr>
                <w:sz w:val="18"/>
              </w:rPr>
              <w:t>5625</w:t>
            </w:r>
          </w:p>
        </w:tc>
        <w:tc>
          <w:tcPr>
            <w:tcW w:w="1656" w:type="dxa"/>
          </w:tcPr>
          <w:p>
            <w:pPr/>
          </w:p>
        </w:tc>
      </w:tr>
      <w:tr>
        <w:trPr>
          <w:trHeight w:val="320" w:hRule="exact"/>
        </w:trPr>
        <w:tc>
          <w:tcPr>
            <w:tcW w:w="1104" w:type="dxa"/>
            <w:vMerge/>
            <w:shd w:val="clear" w:color="auto" w:fill="A6A6A6"/>
          </w:tcPr>
          <w:p>
            <w:pPr/>
          </w:p>
        </w:tc>
        <w:tc>
          <w:tcPr>
            <w:tcW w:w="1825" w:type="dxa"/>
          </w:tcPr>
          <w:p>
            <w:pPr>
              <w:pStyle w:val="TableParagraph"/>
              <w:spacing w:line="206" w:lineRule="exact"/>
              <w:ind w:left="188" w:right="182"/>
              <w:jc w:val="center"/>
              <w:rPr>
                <w:sz w:val="18"/>
              </w:rPr>
            </w:pPr>
            <w:r>
              <w:rPr>
                <w:sz w:val="18"/>
              </w:rPr>
              <w:t>Moto toul</w:t>
            </w:r>
          </w:p>
        </w:tc>
        <w:tc>
          <w:tcPr>
            <w:tcW w:w="696" w:type="dxa"/>
          </w:tcPr>
          <w:p>
            <w:pPr>
              <w:pStyle w:val="TableParagraph"/>
              <w:spacing w:line="206" w:lineRule="exact"/>
              <w:ind w:left="121" w:right="123"/>
              <w:jc w:val="center"/>
              <w:rPr>
                <w:sz w:val="18"/>
              </w:rPr>
            </w:pPr>
            <w:r>
              <w:rPr>
                <w:sz w:val="18"/>
              </w:rPr>
              <w:t>138</w:t>
            </w:r>
          </w:p>
        </w:tc>
        <w:tc>
          <w:tcPr>
            <w:tcW w:w="1589" w:type="dxa"/>
          </w:tcPr>
          <w:p>
            <w:pPr>
              <w:pStyle w:val="TableParagraph"/>
              <w:spacing w:line="206" w:lineRule="exact"/>
              <w:ind w:left="594" w:right="596"/>
              <w:jc w:val="center"/>
              <w:rPr>
                <w:sz w:val="18"/>
              </w:rPr>
            </w:pPr>
            <w:r>
              <w:rPr>
                <w:sz w:val="18"/>
              </w:rPr>
              <w:t>0,25</w:t>
            </w:r>
          </w:p>
        </w:tc>
        <w:tc>
          <w:tcPr>
            <w:tcW w:w="2024" w:type="dxa"/>
          </w:tcPr>
          <w:p>
            <w:pPr>
              <w:pStyle w:val="TableParagraph"/>
              <w:spacing w:line="206" w:lineRule="exact"/>
              <w:ind w:left="736" w:right="736"/>
              <w:jc w:val="center"/>
              <w:rPr>
                <w:sz w:val="18"/>
              </w:rPr>
            </w:pPr>
            <w:r>
              <w:rPr>
                <w:sz w:val="18"/>
              </w:rPr>
              <w:t>34,5</w:t>
            </w:r>
          </w:p>
        </w:tc>
        <w:tc>
          <w:tcPr>
            <w:tcW w:w="1656" w:type="dxa"/>
          </w:tcPr>
          <w:p>
            <w:pPr/>
          </w:p>
        </w:tc>
      </w:tr>
      <w:tr>
        <w:trPr>
          <w:trHeight w:val="320" w:hRule="exact"/>
        </w:trPr>
        <w:tc>
          <w:tcPr>
            <w:tcW w:w="1104" w:type="dxa"/>
            <w:vMerge/>
            <w:shd w:val="clear" w:color="auto" w:fill="A6A6A6"/>
          </w:tcPr>
          <w:p>
            <w:pPr/>
          </w:p>
        </w:tc>
        <w:tc>
          <w:tcPr>
            <w:tcW w:w="1825" w:type="dxa"/>
          </w:tcPr>
          <w:p>
            <w:pPr>
              <w:pStyle w:val="TableParagraph"/>
              <w:spacing w:line="206" w:lineRule="exact"/>
              <w:ind w:left="188" w:right="182"/>
              <w:jc w:val="center"/>
              <w:rPr>
                <w:sz w:val="18"/>
              </w:rPr>
            </w:pPr>
            <w:r>
              <w:rPr>
                <w:sz w:val="18"/>
              </w:rPr>
              <w:t>Luz del taller</w:t>
            </w:r>
          </w:p>
        </w:tc>
        <w:tc>
          <w:tcPr>
            <w:tcW w:w="696" w:type="dxa"/>
          </w:tcPr>
          <w:p>
            <w:pPr>
              <w:pStyle w:val="TableParagraph"/>
              <w:spacing w:line="206" w:lineRule="exact"/>
              <w:ind w:left="121" w:right="123"/>
              <w:jc w:val="center"/>
              <w:rPr>
                <w:sz w:val="18"/>
              </w:rPr>
            </w:pPr>
            <w:r>
              <w:rPr>
                <w:sz w:val="18"/>
              </w:rPr>
              <w:t>120</w:t>
            </w:r>
          </w:p>
        </w:tc>
        <w:tc>
          <w:tcPr>
            <w:tcW w:w="1589" w:type="dxa"/>
          </w:tcPr>
          <w:p>
            <w:pPr>
              <w:pStyle w:val="TableParagraph"/>
              <w:spacing w:line="206" w:lineRule="exact"/>
              <w:ind w:left="594" w:right="596"/>
              <w:jc w:val="center"/>
              <w:rPr>
                <w:sz w:val="18"/>
              </w:rPr>
            </w:pPr>
            <w:r>
              <w:rPr>
                <w:sz w:val="18"/>
              </w:rPr>
              <w:t>18</w:t>
            </w:r>
          </w:p>
        </w:tc>
        <w:tc>
          <w:tcPr>
            <w:tcW w:w="2024" w:type="dxa"/>
          </w:tcPr>
          <w:p>
            <w:pPr>
              <w:pStyle w:val="TableParagraph"/>
              <w:spacing w:line="206" w:lineRule="exact"/>
              <w:ind w:left="736" w:right="736"/>
              <w:jc w:val="center"/>
              <w:rPr>
                <w:sz w:val="18"/>
              </w:rPr>
            </w:pPr>
            <w:r>
              <w:rPr>
                <w:sz w:val="18"/>
              </w:rPr>
              <w:t>2160</w:t>
            </w:r>
          </w:p>
        </w:tc>
        <w:tc>
          <w:tcPr>
            <w:tcW w:w="1656" w:type="dxa"/>
          </w:tcPr>
          <w:p>
            <w:pPr>
              <w:pStyle w:val="TableParagraph"/>
              <w:spacing w:line="206" w:lineRule="exact"/>
              <w:ind w:left="123" w:right="123"/>
              <w:jc w:val="center"/>
              <w:rPr>
                <w:sz w:val="18"/>
              </w:rPr>
            </w:pPr>
            <w:r>
              <w:rPr>
                <w:sz w:val="18"/>
              </w:rPr>
              <w:t>7819,5</w:t>
            </w:r>
          </w:p>
        </w:tc>
      </w:tr>
      <w:tr>
        <w:trPr>
          <w:trHeight w:val="616" w:hRule="exact"/>
        </w:trPr>
        <w:tc>
          <w:tcPr>
            <w:tcW w:w="1104" w:type="dxa"/>
            <w:vMerge w:val="restart"/>
            <w:shd w:val="clear" w:color="auto" w:fill="A6A6A6"/>
          </w:tcPr>
          <w:p>
            <w:pPr>
              <w:pStyle w:val="TableParagraph"/>
              <w:spacing w:line="362" w:lineRule="auto" w:before="151"/>
              <w:ind w:left="220" w:right="206" w:firstLine="20"/>
              <w:rPr>
                <w:sz w:val="18"/>
              </w:rPr>
            </w:pPr>
            <w:r>
              <w:rPr>
                <w:sz w:val="18"/>
              </w:rPr>
              <w:t>Paso 3. Vaciado</w:t>
            </w:r>
          </w:p>
        </w:tc>
        <w:tc>
          <w:tcPr>
            <w:tcW w:w="1825" w:type="dxa"/>
          </w:tcPr>
          <w:p>
            <w:pPr>
              <w:pStyle w:val="TableParagraph"/>
              <w:spacing w:before="7"/>
              <w:rPr>
                <w:sz w:val="25"/>
              </w:rPr>
            </w:pPr>
          </w:p>
          <w:p>
            <w:pPr>
              <w:pStyle w:val="TableParagraph"/>
              <w:ind w:left="188" w:right="182"/>
              <w:jc w:val="center"/>
              <w:rPr>
                <w:sz w:val="18"/>
              </w:rPr>
            </w:pPr>
            <w:r>
              <w:rPr>
                <w:sz w:val="18"/>
              </w:rPr>
              <w:t>Secadora de aire</w:t>
            </w:r>
          </w:p>
        </w:tc>
        <w:tc>
          <w:tcPr>
            <w:tcW w:w="696" w:type="dxa"/>
          </w:tcPr>
          <w:p>
            <w:pPr>
              <w:pStyle w:val="TableParagraph"/>
              <w:spacing w:before="7"/>
              <w:rPr>
                <w:sz w:val="25"/>
              </w:rPr>
            </w:pPr>
          </w:p>
          <w:p>
            <w:pPr>
              <w:pStyle w:val="TableParagraph"/>
              <w:ind w:left="123" w:right="123"/>
              <w:jc w:val="center"/>
              <w:rPr>
                <w:sz w:val="18"/>
              </w:rPr>
            </w:pPr>
            <w:r>
              <w:rPr>
                <w:sz w:val="18"/>
              </w:rPr>
              <w:t>1875</w:t>
            </w:r>
          </w:p>
        </w:tc>
        <w:tc>
          <w:tcPr>
            <w:tcW w:w="1589" w:type="dxa"/>
          </w:tcPr>
          <w:p>
            <w:pPr>
              <w:pStyle w:val="TableParagraph"/>
              <w:spacing w:before="7"/>
              <w:rPr>
                <w:sz w:val="25"/>
              </w:rPr>
            </w:pPr>
          </w:p>
          <w:p>
            <w:pPr>
              <w:pStyle w:val="TableParagraph"/>
              <w:jc w:val="center"/>
              <w:rPr>
                <w:sz w:val="18"/>
              </w:rPr>
            </w:pPr>
            <w:r>
              <w:rPr>
                <w:w w:val="99"/>
                <w:sz w:val="18"/>
              </w:rPr>
              <w:t>3</w:t>
            </w:r>
          </w:p>
        </w:tc>
        <w:tc>
          <w:tcPr>
            <w:tcW w:w="2024" w:type="dxa"/>
          </w:tcPr>
          <w:p>
            <w:pPr>
              <w:pStyle w:val="TableParagraph"/>
              <w:spacing w:before="7"/>
              <w:rPr>
                <w:sz w:val="25"/>
              </w:rPr>
            </w:pPr>
          </w:p>
          <w:p>
            <w:pPr>
              <w:pStyle w:val="TableParagraph"/>
              <w:ind w:left="736" w:right="736"/>
              <w:jc w:val="center"/>
              <w:rPr>
                <w:sz w:val="18"/>
              </w:rPr>
            </w:pPr>
            <w:r>
              <w:rPr>
                <w:sz w:val="18"/>
              </w:rPr>
              <w:t>5625</w:t>
            </w:r>
          </w:p>
        </w:tc>
        <w:tc>
          <w:tcPr>
            <w:tcW w:w="1656" w:type="dxa"/>
          </w:tcPr>
          <w:p>
            <w:pPr/>
          </w:p>
        </w:tc>
      </w:tr>
      <w:tr>
        <w:trPr>
          <w:trHeight w:val="320" w:hRule="exact"/>
        </w:trPr>
        <w:tc>
          <w:tcPr>
            <w:tcW w:w="1104" w:type="dxa"/>
            <w:vMerge/>
            <w:shd w:val="clear" w:color="auto" w:fill="A6A6A6"/>
          </w:tcPr>
          <w:p>
            <w:pPr/>
          </w:p>
        </w:tc>
        <w:tc>
          <w:tcPr>
            <w:tcW w:w="1825" w:type="dxa"/>
          </w:tcPr>
          <w:p>
            <w:pPr>
              <w:pStyle w:val="TableParagraph"/>
              <w:spacing w:line="206" w:lineRule="exact"/>
              <w:ind w:left="188" w:right="182"/>
              <w:jc w:val="center"/>
              <w:rPr>
                <w:sz w:val="18"/>
              </w:rPr>
            </w:pPr>
            <w:r>
              <w:rPr>
                <w:sz w:val="18"/>
              </w:rPr>
              <w:t>Luz del taller</w:t>
            </w:r>
          </w:p>
        </w:tc>
        <w:tc>
          <w:tcPr>
            <w:tcW w:w="696" w:type="dxa"/>
          </w:tcPr>
          <w:p>
            <w:pPr>
              <w:pStyle w:val="TableParagraph"/>
              <w:spacing w:line="206" w:lineRule="exact"/>
              <w:ind w:left="121" w:right="123"/>
              <w:jc w:val="center"/>
              <w:rPr>
                <w:sz w:val="18"/>
              </w:rPr>
            </w:pPr>
            <w:r>
              <w:rPr>
                <w:sz w:val="18"/>
              </w:rPr>
              <w:t>120</w:t>
            </w:r>
          </w:p>
        </w:tc>
        <w:tc>
          <w:tcPr>
            <w:tcW w:w="1589" w:type="dxa"/>
          </w:tcPr>
          <w:p>
            <w:pPr>
              <w:pStyle w:val="TableParagraph"/>
              <w:spacing w:line="206" w:lineRule="exact"/>
              <w:ind w:left="594" w:right="596"/>
              <w:jc w:val="center"/>
              <w:rPr>
                <w:sz w:val="18"/>
              </w:rPr>
            </w:pPr>
            <w:r>
              <w:rPr>
                <w:sz w:val="18"/>
              </w:rPr>
              <w:t>16</w:t>
            </w:r>
          </w:p>
        </w:tc>
        <w:tc>
          <w:tcPr>
            <w:tcW w:w="2024" w:type="dxa"/>
          </w:tcPr>
          <w:p>
            <w:pPr>
              <w:pStyle w:val="TableParagraph"/>
              <w:spacing w:line="206" w:lineRule="exact"/>
              <w:ind w:left="736" w:right="736"/>
              <w:jc w:val="center"/>
              <w:rPr>
                <w:sz w:val="18"/>
              </w:rPr>
            </w:pPr>
            <w:r>
              <w:rPr>
                <w:sz w:val="18"/>
              </w:rPr>
              <w:t>1920</w:t>
            </w:r>
          </w:p>
        </w:tc>
        <w:tc>
          <w:tcPr>
            <w:tcW w:w="1656" w:type="dxa"/>
          </w:tcPr>
          <w:p>
            <w:pPr>
              <w:pStyle w:val="TableParagraph"/>
              <w:spacing w:line="206" w:lineRule="exact"/>
              <w:ind w:left="123" w:right="123"/>
              <w:jc w:val="center"/>
              <w:rPr>
                <w:sz w:val="18"/>
              </w:rPr>
            </w:pPr>
            <w:r>
              <w:rPr>
                <w:sz w:val="18"/>
              </w:rPr>
              <w:t>7545</w:t>
            </w:r>
          </w:p>
        </w:tc>
      </w:tr>
      <w:tr>
        <w:trPr>
          <w:trHeight w:val="616" w:hRule="exact"/>
        </w:trPr>
        <w:tc>
          <w:tcPr>
            <w:tcW w:w="1104" w:type="dxa"/>
            <w:vMerge w:val="restart"/>
            <w:shd w:val="clear" w:color="auto" w:fill="A6A6A6"/>
          </w:tcPr>
          <w:p>
            <w:pPr>
              <w:pStyle w:val="TableParagraph"/>
              <w:rPr>
                <w:sz w:val="18"/>
              </w:rPr>
            </w:pPr>
          </w:p>
          <w:p>
            <w:pPr>
              <w:pStyle w:val="TableParagraph"/>
              <w:spacing w:line="362" w:lineRule="auto" w:before="104"/>
              <w:ind w:left="147" w:right="128" w:firstLine="92"/>
              <w:rPr>
                <w:sz w:val="18"/>
              </w:rPr>
            </w:pPr>
            <w:r>
              <w:rPr>
                <w:sz w:val="18"/>
              </w:rPr>
              <w:t>Paso 4. Acabados</w:t>
            </w:r>
          </w:p>
        </w:tc>
        <w:tc>
          <w:tcPr>
            <w:tcW w:w="1825" w:type="dxa"/>
          </w:tcPr>
          <w:p>
            <w:pPr>
              <w:pStyle w:val="TableParagraph"/>
              <w:spacing w:before="4"/>
              <w:rPr>
                <w:sz w:val="25"/>
              </w:rPr>
            </w:pPr>
          </w:p>
          <w:p>
            <w:pPr>
              <w:pStyle w:val="TableParagraph"/>
              <w:ind w:left="188" w:right="182"/>
              <w:jc w:val="center"/>
              <w:rPr>
                <w:sz w:val="18"/>
              </w:rPr>
            </w:pPr>
            <w:r>
              <w:rPr>
                <w:sz w:val="18"/>
              </w:rPr>
              <w:t>Moto toul</w:t>
            </w:r>
          </w:p>
        </w:tc>
        <w:tc>
          <w:tcPr>
            <w:tcW w:w="696" w:type="dxa"/>
          </w:tcPr>
          <w:p>
            <w:pPr>
              <w:pStyle w:val="TableParagraph"/>
              <w:spacing w:before="4"/>
              <w:rPr>
                <w:sz w:val="25"/>
              </w:rPr>
            </w:pPr>
          </w:p>
          <w:p>
            <w:pPr>
              <w:pStyle w:val="TableParagraph"/>
              <w:ind w:left="121" w:right="123"/>
              <w:jc w:val="center"/>
              <w:rPr>
                <w:sz w:val="18"/>
              </w:rPr>
            </w:pPr>
            <w:r>
              <w:rPr>
                <w:sz w:val="18"/>
              </w:rPr>
              <w:t>138</w:t>
            </w:r>
          </w:p>
        </w:tc>
        <w:tc>
          <w:tcPr>
            <w:tcW w:w="1589" w:type="dxa"/>
          </w:tcPr>
          <w:p>
            <w:pPr>
              <w:pStyle w:val="TableParagraph"/>
              <w:spacing w:before="4"/>
              <w:rPr>
                <w:sz w:val="25"/>
              </w:rPr>
            </w:pPr>
          </w:p>
          <w:p>
            <w:pPr>
              <w:pStyle w:val="TableParagraph"/>
              <w:ind w:left="594" w:right="596"/>
              <w:jc w:val="center"/>
              <w:rPr>
                <w:sz w:val="18"/>
              </w:rPr>
            </w:pPr>
            <w:r>
              <w:rPr>
                <w:sz w:val="18"/>
              </w:rPr>
              <w:t>0,25</w:t>
            </w:r>
          </w:p>
        </w:tc>
        <w:tc>
          <w:tcPr>
            <w:tcW w:w="2024" w:type="dxa"/>
          </w:tcPr>
          <w:p>
            <w:pPr>
              <w:pStyle w:val="TableParagraph"/>
              <w:spacing w:before="4"/>
              <w:rPr>
                <w:sz w:val="25"/>
              </w:rPr>
            </w:pPr>
          </w:p>
          <w:p>
            <w:pPr>
              <w:pStyle w:val="TableParagraph"/>
              <w:ind w:left="736" w:right="736"/>
              <w:jc w:val="center"/>
              <w:rPr>
                <w:sz w:val="18"/>
              </w:rPr>
            </w:pPr>
            <w:r>
              <w:rPr>
                <w:sz w:val="18"/>
              </w:rPr>
              <w:t>34,5</w:t>
            </w:r>
          </w:p>
        </w:tc>
        <w:tc>
          <w:tcPr>
            <w:tcW w:w="1656" w:type="dxa"/>
          </w:tcPr>
          <w:p>
            <w:pPr/>
          </w:p>
        </w:tc>
      </w:tr>
      <w:tr>
        <w:trPr>
          <w:trHeight w:val="320" w:hRule="exact"/>
        </w:trPr>
        <w:tc>
          <w:tcPr>
            <w:tcW w:w="1104" w:type="dxa"/>
            <w:vMerge/>
            <w:shd w:val="clear" w:color="auto" w:fill="A6A6A6"/>
          </w:tcPr>
          <w:p>
            <w:pPr/>
          </w:p>
        </w:tc>
        <w:tc>
          <w:tcPr>
            <w:tcW w:w="1825" w:type="dxa"/>
          </w:tcPr>
          <w:p>
            <w:pPr>
              <w:pStyle w:val="TableParagraph"/>
              <w:spacing w:line="206" w:lineRule="exact"/>
              <w:ind w:left="188" w:right="182"/>
              <w:jc w:val="center"/>
              <w:rPr>
                <w:sz w:val="18"/>
              </w:rPr>
            </w:pPr>
            <w:r>
              <w:rPr>
                <w:sz w:val="18"/>
              </w:rPr>
              <w:t>Luz del taller</w:t>
            </w:r>
          </w:p>
        </w:tc>
        <w:tc>
          <w:tcPr>
            <w:tcW w:w="696" w:type="dxa"/>
          </w:tcPr>
          <w:p>
            <w:pPr>
              <w:pStyle w:val="TableParagraph"/>
              <w:spacing w:line="206" w:lineRule="exact"/>
              <w:ind w:left="121" w:right="123"/>
              <w:jc w:val="center"/>
              <w:rPr>
                <w:sz w:val="18"/>
              </w:rPr>
            </w:pPr>
            <w:r>
              <w:rPr>
                <w:sz w:val="18"/>
              </w:rPr>
              <w:t>120</w:t>
            </w:r>
          </w:p>
        </w:tc>
        <w:tc>
          <w:tcPr>
            <w:tcW w:w="1589" w:type="dxa"/>
          </w:tcPr>
          <w:p>
            <w:pPr>
              <w:pStyle w:val="TableParagraph"/>
              <w:spacing w:line="206" w:lineRule="exact"/>
              <w:ind w:left="594" w:right="596"/>
              <w:jc w:val="center"/>
              <w:rPr>
                <w:sz w:val="18"/>
              </w:rPr>
            </w:pPr>
            <w:r>
              <w:rPr>
                <w:sz w:val="18"/>
              </w:rPr>
              <w:t>20</w:t>
            </w:r>
          </w:p>
        </w:tc>
        <w:tc>
          <w:tcPr>
            <w:tcW w:w="2024" w:type="dxa"/>
          </w:tcPr>
          <w:p>
            <w:pPr>
              <w:pStyle w:val="TableParagraph"/>
              <w:spacing w:line="206" w:lineRule="exact"/>
              <w:ind w:left="736" w:right="736"/>
              <w:jc w:val="center"/>
              <w:rPr>
                <w:sz w:val="18"/>
              </w:rPr>
            </w:pPr>
            <w:r>
              <w:rPr>
                <w:sz w:val="18"/>
              </w:rPr>
              <w:t>2400</w:t>
            </w:r>
          </w:p>
        </w:tc>
        <w:tc>
          <w:tcPr>
            <w:tcW w:w="1656" w:type="dxa"/>
          </w:tcPr>
          <w:p>
            <w:pPr/>
          </w:p>
        </w:tc>
      </w:tr>
      <w:tr>
        <w:trPr>
          <w:trHeight w:val="320" w:hRule="exact"/>
        </w:trPr>
        <w:tc>
          <w:tcPr>
            <w:tcW w:w="1104" w:type="dxa"/>
            <w:vMerge/>
            <w:shd w:val="clear" w:color="auto" w:fill="A6A6A6"/>
          </w:tcPr>
          <w:p>
            <w:pPr/>
          </w:p>
        </w:tc>
        <w:tc>
          <w:tcPr>
            <w:tcW w:w="1825" w:type="dxa"/>
          </w:tcPr>
          <w:p>
            <w:pPr>
              <w:pStyle w:val="TableParagraph"/>
              <w:spacing w:line="206" w:lineRule="exact"/>
              <w:ind w:left="189" w:right="182"/>
              <w:jc w:val="center"/>
              <w:rPr>
                <w:sz w:val="18"/>
              </w:rPr>
            </w:pPr>
            <w:r>
              <w:rPr>
                <w:sz w:val="18"/>
              </w:rPr>
              <w:t>Aspiradora</w:t>
            </w:r>
          </w:p>
        </w:tc>
        <w:tc>
          <w:tcPr>
            <w:tcW w:w="696" w:type="dxa"/>
          </w:tcPr>
          <w:p>
            <w:pPr>
              <w:pStyle w:val="TableParagraph"/>
              <w:spacing w:line="206" w:lineRule="exact"/>
              <w:ind w:left="121" w:right="123"/>
              <w:jc w:val="center"/>
              <w:rPr>
                <w:sz w:val="18"/>
              </w:rPr>
            </w:pPr>
            <w:r>
              <w:rPr>
                <w:sz w:val="18"/>
              </w:rPr>
              <w:t>816</w:t>
            </w:r>
          </w:p>
        </w:tc>
        <w:tc>
          <w:tcPr>
            <w:tcW w:w="1589" w:type="dxa"/>
          </w:tcPr>
          <w:p>
            <w:pPr>
              <w:pStyle w:val="TableParagraph"/>
              <w:spacing w:line="206" w:lineRule="exact"/>
              <w:jc w:val="center"/>
              <w:rPr>
                <w:sz w:val="18"/>
              </w:rPr>
            </w:pPr>
            <w:r>
              <w:rPr>
                <w:w w:val="99"/>
                <w:sz w:val="18"/>
              </w:rPr>
              <w:t>1</w:t>
            </w:r>
          </w:p>
        </w:tc>
        <w:tc>
          <w:tcPr>
            <w:tcW w:w="2024" w:type="dxa"/>
          </w:tcPr>
          <w:p>
            <w:pPr>
              <w:pStyle w:val="TableParagraph"/>
              <w:spacing w:line="206" w:lineRule="exact"/>
              <w:ind w:left="739" w:right="736"/>
              <w:jc w:val="center"/>
              <w:rPr>
                <w:sz w:val="18"/>
              </w:rPr>
            </w:pPr>
            <w:r>
              <w:rPr>
                <w:sz w:val="18"/>
              </w:rPr>
              <w:t>816</w:t>
            </w:r>
          </w:p>
        </w:tc>
        <w:tc>
          <w:tcPr>
            <w:tcW w:w="1656" w:type="dxa"/>
          </w:tcPr>
          <w:p>
            <w:pPr>
              <w:pStyle w:val="TableParagraph"/>
              <w:spacing w:line="206" w:lineRule="exact"/>
              <w:ind w:left="123" w:right="123"/>
              <w:jc w:val="center"/>
              <w:rPr>
                <w:sz w:val="18"/>
              </w:rPr>
            </w:pPr>
            <w:r>
              <w:rPr>
                <w:sz w:val="18"/>
              </w:rPr>
              <w:t>3250,5</w:t>
            </w:r>
          </w:p>
        </w:tc>
      </w:tr>
      <w:tr>
        <w:trPr>
          <w:trHeight w:val="324" w:hRule="exact"/>
        </w:trPr>
        <w:tc>
          <w:tcPr>
            <w:tcW w:w="3625" w:type="dxa"/>
            <w:gridSpan w:val="3"/>
          </w:tcPr>
          <w:p>
            <w:pPr>
              <w:pStyle w:val="TableParagraph"/>
              <w:spacing w:line="206" w:lineRule="exact"/>
              <w:ind w:left="1498" w:right="1498"/>
              <w:jc w:val="center"/>
              <w:rPr>
                <w:sz w:val="18"/>
              </w:rPr>
            </w:pPr>
            <w:r>
              <w:rPr>
                <w:sz w:val="18"/>
              </w:rPr>
              <w:t>TOTAL</w:t>
            </w:r>
          </w:p>
        </w:tc>
        <w:tc>
          <w:tcPr>
            <w:tcW w:w="1589" w:type="dxa"/>
          </w:tcPr>
          <w:p>
            <w:pPr>
              <w:pStyle w:val="TableParagraph"/>
              <w:spacing w:line="206" w:lineRule="exact"/>
              <w:ind w:left="594" w:right="596"/>
              <w:jc w:val="center"/>
              <w:rPr>
                <w:sz w:val="18"/>
              </w:rPr>
            </w:pPr>
            <w:r>
              <w:rPr>
                <w:sz w:val="18"/>
              </w:rPr>
              <w:t>84,5</w:t>
            </w:r>
          </w:p>
        </w:tc>
        <w:tc>
          <w:tcPr>
            <w:tcW w:w="2024" w:type="dxa"/>
          </w:tcPr>
          <w:p>
            <w:pPr>
              <w:pStyle w:val="TableParagraph"/>
              <w:spacing w:line="206" w:lineRule="exact"/>
              <w:ind w:left="739" w:right="736"/>
              <w:jc w:val="center"/>
              <w:rPr>
                <w:sz w:val="18"/>
              </w:rPr>
            </w:pPr>
            <w:r>
              <w:rPr>
                <w:sz w:val="18"/>
              </w:rPr>
              <w:t>21075</w:t>
            </w:r>
          </w:p>
        </w:tc>
        <w:tc>
          <w:tcPr>
            <w:tcW w:w="1656" w:type="dxa"/>
          </w:tcPr>
          <w:p>
            <w:pPr/>
          </w:p>
        </w:tc>
      </w:tr>
    </w:tbl>
    <w:p>
      <w:pPr>
        <w:spacing w:line="202" w:lineRule="exact" w:before="0"/>
        <w:ind w:left="3124" w:right="3124" w:firstLine="0"/>
        <w:jc w:val="center"/>
        <w:rPr>
          <w:sz w:val="18"/>
        </w:rPr>
      </w:pPr>
      <w:r>
        <w:rPr>
          <w:sz w:val="18"/>
        </w:rPr>
        <w:t>(Fuente: Elaboración propia, 2015).</w:t>
      </w:r>
    </w:p>
    <w:p>
      <w:pPr>
        <w:pStyle w:val="BodyText"/>
        <w:rPr>
          <w:sz w:val="18"/>
        </w:rPr>
      </w:pPr>
    </w:p>
    <w:p>
      <w:pPr>
        <w:pStyle w:val="BodyText"/>
        <w:spacing w:before="11"/>
        <w:rPr>
          <w:sz w:val="26"/>
        </w:rPr>
      </w:pPr>
    </w:p>
    <w:p>
      <w:pPr>
        <w:spacing w:line="362" w:lineRule="auto" w:before="0"/>
        <w:ind w:left="140" w:right="1040" w:firstLine="0"/>
        <w:jc w:val="left"/>
        <w:rPr>
          <w:b/>
          <w:sz w:val="24"/>
        </w:rPr>
      </w:pPr>
      <w:r>
        <w:rPr>
          <w:sz w:val="24"/>
        </w:rPr>
        <w:t>A continuación veremos la </w:t>
      </w:r>
      <w:hyperlink w:history="true" w:anchor="_bookmark179">
        <w:r>
          <w:rPr>
            <w:sz w:val="24"/>
          </w:rPr>
          <w:t>Tabla 5.12</w:t>
        </w:r>
      </w:hyperlink>
      <w:r>
        <w:rPr>
          <w:sz w:val="24"/>
        </w:rPr>
        <w:t>, donde se muestra el </w:t>
      </w:r>
      <w:r>
        <w:rPr>
          <w:b/>
          <w:sz w:val="24"/>
        </w:rPr>
        <w:t>consumo de materiales.</w:t>
      </w:r>
    </w:p>
    <w:p>
      <w:pPr>
        <w:spacing w:after="0" w:line="362" w:lineRule="auto"/>
        <w:jc w:val="left"/>
        <w:rPr>
          <w:sz w:val="24"/>
        </w:rPr>
        <w:sectPr>
          <w:pgSz w:w="12240" w:h="15840"/>
          <w:pgMar w:header="0" w:footer="1031" w:top="1360" w:bottom="1220" w:left="1560" w:right="1560"/>
        </w:sectPr>
      </w:pPr>
    </w:p>
    <w:p>
      <w:pPr>
        <w:spacing w:before="51" w:after="6"/>
        <w:ind w:left="3937" w:right="1248" w:hanging="2449"/>
        <w:jc w:val="left"/>
        <w:rPr>
          <w:sz w:val="18"/>
        </w:rPr>
      </w:pPr>
      <w:bookmarkStart w:name="_bookmark179" w:id="280"/>
      <w:bookmarkEnd w:id="280"/>
      <w:r>
        <w:rPr/>
      </w:r>
      <w:r>
        <w:rPr>
          <w:sz w:val="18"/>
        </w:rPr>
        <w:t>Tabla 5.12. . Muestra del material utilizado para fabricar la pieza artesanal con el Proceso Ecoinvent.</w:t>
      </w:r>
    </w:p>
    <w:tbl>
      <w:tblPr>
        <w:tblW w:w="0" w:type="auto"/>
        <w:jc w:val="left"/>
        <w:tblInd w:w="106"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548"/>
        <w:gridCol w:w="1475"/>
        <w:gridCol w:w="1324"/>
        <w:gridCol w:w="3137"/>
        <w:gridCol w:w="1497"/>
      </w:tblGrid>
      <w:tr>
        <w:trPr>
          <w:trHeight w:val="320" w:hRule="exact"/>
        </w:trPr>
        <w:tc>
          <w:tcPr>
            <w:tcW w:w="1548" w:type="dxa"/>
            <w:shd w:val="clear" w:color="auto" w:fill="A6A6A6"/>
          </w:tcPr>
          <w:p>
            <w:pPr/>
          </w:p>
        </w:tc>
        <w:tc>
          <w:tcPr>
            <w:tcW w:w="1475" w:type="dxa"/>
            <w:shd w:val="clear" w:color="auto" w:fill="A6A6A6"/>
          </w:tcPr>
          <w:p>
            <w:pPr>
              <w:pStyle w:val="TableParagraph"/>
              <w:spacing w:line="202" w:lineRule="exact"/>
              <w:ind w:left="79" w:right="83"/>
              <w:jc w:val="center"/>
              <w:rPr>
                <w:sz w:val="18"/>
              </w:rPr>
            </w:pPr>
            <w:r>
              <w:rPr>
                <w:sz w:val="18"/>
              </w:rPr>
              <w:t>Material</w:t>
            </w:r>
          </w:p>
        </w:tc>
        <w:tc>
          <w:tcPr>
            <w:tcW w:w="1324" w:type="dxa"/>
            <w:shd w:val="clear" w:color="auto" w:fill="A6A6A6"/>
          </w:tcPr>
          <w:p>
            <w:pPr>
              <w:pStyle w:val="TableParagraph"/>
              <w:spacing w:line="202" w:lineRule="exact"/>
              <w:ind w:left="413" w:right="413"/>
              <w:jc w:val="center"/>
              <w:rPr>
                <w:sz w:val="18"/>
              </w:rPr>
            </w:pPr>
            <w:r>
              <w:rPr>
                <w:sz w:val="18"/>
              </w:rPr>
              <w:t>Peso</w:t>
            </w:r>
          </w:p>
        </w:tc>
        <w:tc>
          <w:tcPr>
            <w:tcW w:w="3137" w:type="dxa"/>
            <w:shd w:val="clear" w:color="auto" w:fill="A6A6A6"/>
          </w:tcPr>
          <w:p>
            <w:pPr>
              <w:pStyle w:val="TableParagraph"/>
              <w:spacing w:line="202" w:lineRule="exact"/>
              <w:ind w:left="56" w:right="57"/>
              <w:jc w:val="center"/>
              <w:rPr>
                <w:sz w:val="18"/>
              </w:rPr>
            </w:pPr>
            <w:r>
              <w:rPr>
                <w:sz w:val="18"/>
              </w:rPr>
              <w:t>Proceso Ecoinvent</w:t>
            </w:r>
          </w:p>
        </w:tc>
        <w:tc>
          <w:tcPr>
            <w:tcW w:w="1497" w:type="dxa"/>
            <w:shd w:val="clear" w:color="auto" w:fill="A6A6A6"/>
          </w:tcPr>
          <w:p>
            <w:pPr>
              <w:pStyle w:val="TableParagraph"/>
              <w:spacing w:line="202" w:lineRule="exact"/>
              <w:ind w:left="214" w:right="214"/>
              <w:jc w:val="center"/>
              <w:rPr>
                <w:sz w:val="18"/>
              </w:rPr>
            </w:pPr>
            <w:r>
              <w:rPr>
                <w:sz w:val="18"/>
              </w:rPr>
              <w:t>Comentarios</w:t>
            </w:r>
          </w:p>
        </w:tc>
      </w:tr>
      <w:tr>
        <w:trPr>
          <w:trHeight w:val="632" w:hRule="exact"/>
        </w:trPr>
        <w:tc>
          <w:tcPr>
            <w:tcW w:w="1548" w:type="dxa"/>
            <w:shd w:val="clear" w:color="auto" w:fill="A6A6A6"/>
          </w:tcPr>
          <w:p>
            <w:pPr>
              <w:pStyle w:val="TableParagraph"/>
              <w:spacing w:line="206" w:lineRule="exact"/>
              <w:ind w:left="52" w:right="53"/>
              <w:jc w:val="center"/>
              <w:rPr>
                <w:sz w:val="18"/>
              </w:rPr>
            </w:pPr>
            <w:r>
              <w:rPr>
                <w:sz w:val="18"/>
              </w:rPr>
              <w:t>Paso 1.</w:t>
            </w:r>
          </w:p>
          <w:p>
            <w:pPr>
              <w:pStyle w:val="TableParagraph"/>
              <w:spacing w:before="101"/>
              <w:ind w:left="53" w:right="53"/>
              <w:jc w:val="center"/>
              <w:rPr>
                <w:sz w:val="18"/>
              </w:rPr>
            </w:pPr>
            <w:r>
              <w:rPr>
                <w:sz w:val="18"/>
              </w:rPr>
              <w:t>Modelar la pieza</w:t>
            </w:r>
          </w:p>
        </w:tc>
        <w:tc>
          <w:tcPr>
            <w:tcW w:w="1475" w:type="dxa"/>
          </w:tcPr>
          <w:p>
            <w:pPr>
              <w:pStyle w:val="TableParagraph"/>
              <w:spacing w:line="357" w:lineRule="auto"/>
              <w:ind w:left="414" w:right="230" w:hanging="168"/>
              <w:rPr>
                <w:sz w:val="18"/>
              </w:rPr>
            </w:pPr>
            <w:r>
              <w:rPr>
                <w:sz w:val="18"/>
              </w:rPr>
              <w:t>Plastilina de escultor</w:t>
            </w:r>
          </w:p>
        </w:tc>
        <w:tc>
          <w:tcPr>
            <w:tcW w:w="1324" w:type="dxa"/>
          </w:tcPr>
          <w:p>
            <w:pPr>
              <w:pStyle w:val="TableParagraph"/>
              <w:spacing w:before="8"/>
              <w:rPr>
                <w:sz w:val="26"/>
              </w:rPr>
            </w:pPr>
          </w:p>
          <w:p>
            <w:pPr>
              <w:pStyle w:val="TableParagraph"/>
              <w:ind w:left="411" w:right="413"/>
              <w:jc w:val="center"/>
              <w:rPr>
                <w:sz w:val="18"/>
              </w:rPr>
            </w:pPr>
            <w:r>
              <w:rPr>
                <w:sz w:val="18"/>
              </w:rPr>
              <w:t>400g</w:t>
            </w:r>
          </w:p>
        </w:tc>
        <w:tc>
          <w:tcPr>
            <w:tcW w:w="3137" w:type="dxa"/>
          </w:tcPr>
          <w:p>
            <w:pPr>
              <w:pStyle w:val="TableParagraph"/>
              <w:spacing w:line="357" w:lineRule="auto"/>
              <w:ind w:left="1308" w:right="77" w:hanging="1221"/>
              <w:rPr>
                <w:sz w:val="18"/>
              </w:rPr>
            </w:pPr>
            <w:r>
              <w:rPr>
                <w:sz w:val="18"/>
              </w:rPr>
              <w:t>Clay plaster {GLO}| market for | Alloc Def, U</w:t>
            </w:r>
          </w:p>
        </w:tc>
        <w:tc>
          <w:tcPr>
            <w:tcW w:w="1497" w:type="dxa"/>
          </w:tcPr>
          <w:p>
            <w:pPr/>
          </w:p>
        </w:tc>
      </w:tr>
      <w:tr>
        <w:trPr>
          <w:trHeight w:val="633" w:hRule="exact"/>
        </w:trPr>
        <w:tc>
          <w:tcPr>
            <w:tcW w:w="1548" w:type="dxa"/>
            <w:vMerge w:val="restart"/>
            <w:shd w:val="clear" w:color="auto" w:fill="A6A6A6"/>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8"/>
              <w:rPr>
                <w:sz w:val="16"/>
              </w:rPr>
            </w:pPr>
          </w:p>
          <w:p>
            <w:pPr>
              <w:pStyle w:val="TableParagraph"/>
              <w:ind w:left="52" w:right="53"/>
              <w:jc w:val="center"/>
              <w:rPr>
                <w:sz w:val="18"/>
              </w:rPr>
            </w:pPr>
            <w:r>
              <w:rPr>
                <w:sz w:val="18"/>
              </w:rPr>
              <w:t>Paso 2.</w:t>
            </w:r>
          </w:p>
          <w:p>
            <w:pPr>
              <w:pStyle w:val="TableParagraph"/>
              <w:spacing w:before="105"/>
              <w:ind w:left="56" w:right="53"/>
              <w:jc w:val="center"/>
              <w:rPr>
                <w:sz w:val="18"/>
              </w:rPr>
            </w:pPr>
            <w:r>
              <w:rPr>
                <w:sz w:val="18"/>
              </w:rPr>
              <w:t>Fabricar el molde</w:t>
            </w:r>
          </w:p>
        </w:tc>
        <w:tc>
          <w:tcPr>
            <w:tcW w:w="1475" w:type="dxa"/>
          </w:tcPr>
          <w:p>
            <w:pPr>
              <w:pStyle w:val="TableParagraph"/>
              <w:spacing w:line="362" w:lineRule="auto"/>
              <w:ind w:left="382" w:right="364" w:firstLine="4"/>
              <w:rPr>
                <w:sz w:val="18"/>
              </w:rPr>
            </w:pPr>
            <w:r>
              <w:rPr>
                <w:sz w:val="18"/>
              </w:rPr>
              <w:t>Tacel de plastilina</w:t>
            </w:r>
          </w:p>
        </w:tc>
        <w:tc>
          <w:tcPr>
            <w:tcW w:w="1324" w:type="dxa"/>
          </w:tcPr>
          <w:p>
            <w:pPr>
              <w:pStyle w:val="TableParagraph"/>
              <w:spacing w:before="8"/>
              <w:rPr>
                <w:sz w:val="26"/>
              </w:rPr>
            </w:pPr>
          </w:p>
          <w:p>
            <w:pPr>
              <w:pStyle w:val="TableParagraph"/>
              <w:ind w:left="411" w:right="413"/>
              <w:jc w:val="center"/>
              <w:rPr>
                <w:sz w:val="18"/>
              </w:rPr>
            </w:pPr>
            <w:r>
              <w:rPr>
                <w:sz w:val="18"/>
              </w:rPr>
              <w:t>400g</w:t>
            </w:r>
          </w:p>
        </w:tc>
        <w:tc>
          <w:tcPr>
            <w:tcW w:w="3137" w:type="dxa"/>
          </w:tcPr>
          <w:p>
            <w:pPr>
              <w:pStyle w:val="TableParagraph"/>
              <w:spacing w:line="362" w:lineRule="auto"/>
              <w:ind w:left="1308" w:right="77" w:hanging="1221"/>
              <w:rPr>
                <w:sz w:val="18"/>
              </w:rPr>
            </w:pPr>
            <w:r>
              <w:rPr>
                <w:sz w:val="18"/>
              </w:rPr>
              <w:t>Clay plaster {GLO}| market for | Alloc Def, U</w:t>
            </w:r>
          </w:p>
        </w:tc>
        <w:tc>
          <w:tcPr>
            <w:tcW w:w="1497" w:type="dxa"/>
          </w:tcPr>
          <w:p>
            <w:pPr/>
          </w:p>
        </w:tc>
      </w:tr>
      <w:tr>
        <w:trPr>
          <w:trHeight w:val="628" w:hRule="exact"/>
        </w:trPr>
        <w:tc>
          <w:tcPr>
            <w:tcW w:w="1548" w:type="dxa"/>
            <w:vMerge/>
            <w:shd w:val="clear" w:color="auto" w:fill="A6A6A6"/>
          </w:tcPr>
          <w:p>
            <w:pPr/>
          </w:p>
        </w:tc>
        <w:tc>
          <w:tcPr>
            <w:tcW w:w="1475" w:type="dxa"/>
          </w:tcPr>
          <w:p>
            <w:pPr>
              <w:pStyle w:val="TableParagraph"/>
              <w:spacing w:line="362" w:lineRule="auto"/>
              <w:ind w:left="390" w:right="310" w:hanging="64"/>
              <w:rPr>
                <w:sz w:val="18"/>
              </w:rPr>
            </w:pPr>
            <w:r>
              <w:rPr>
                <w:sz w:val="18"/>
              </w:rPr>
              <w:t>Resina de poliéster</w:t>
            </w:r>
          </w:p>
        </w:tc>
        <w:tc>
          <w:tcPr>
            <w:tcW w:w="1324" w:type="dxa"/>
          </w:tcPr>
          <w:p>
            <w:pPr>
              <w:pStyle w:val="TableParagraph"/>
              <w:spacing w:before="8"/>
              <w:rPr>
                <w:sz w:val="26"/>
              </w:rPr>
            </w:pPr>
          </w:p>
          <w:p>
            <w:pPr>
              <w:pStyle w:val="TableParagraph"/>
              <w:ind w:left="413" w:right="413"/>
              <w:jc w:val="center"/>
              <w:rPr>
                <w:sz w:val="18"/>
              </w:rPr>
            </w:pPr>
            <w:r>
              <w:rPr>
                <w:sz w:val="18"/>
              </w:rPr>
              <w:t>1 kg</w:t>
            </w:r>
          </w:p>
        </w:tc>
        <w:tc>
          <w:tcPr>
            <w:tcW w:w="3137" w:type="dxa"/>
          </w:tcPr>
          <w:p>
            <w:pPr>
              <w:pStyle w:val="TableParagraph"/>
              <w:spacing w:line="362" w:lineRule="auto"/>
              <w:ind w:left="608" w:right="126" w:hanging="464"/>
              <w:rPr>
                <w:sz w:val="18"/>
              </w:rPr>
            </w:pPr>
            <w:r>
              <w:rPr>
                <w:sz w:val="18"/>
              </w:rPr>
              <w:t>Polyester resin, unsaturated {GLO}| market for | Alloc Def, U</w:t>
            </w:r>
          </w:p>
        </w:tc>
        <w:tc>
          <w:tcPr>
            <w:tcW w:w="1497" w:type="dxa"/>
          </w:tcPr>
          <w:p>
            <w:pPr/>
          </w:p>
        </w:tc>
      </w:tr>
      <w:tr>
        <w:trPr>
          <w:trHeight w:val="944" w:hRule="exact"/>
        </w:trPr>
        <w:tc>
          <w:tcPr>
            <w:tcW w:w="1548" w:type="dxa"/>
            <w:vMerge/>
            <w:shd w:val="clear" w:color="auto" w:fill="A6A6A6"/>
          </w:tcPr>
          <w:p>
            <w:pPr/>
          </w:p>
        </w:tc>
        <w:tc>
          <w:tcPr>
            <w:tcW w:w="1475" w:type="dxa"/>
          </w:tcPr>
          <w:p>
            <w:pPr>
              <w:pStyle w:val="TableParagraph"/>
              <w:rPr>
                <w:sz w:val="18"/>
              </w:rPr>
            </w:pPr>
          </w:p>
          <w:p>
            <w:pPr>
              <w:pStyle w:val="TableParagraph"/>
              <w:rPr>
                <w:sz w:val="18"/>
              </w:rPr>
            </w:pPr>
          </w:p>
          <w:p>
            <w:pPr>
              <w:pStyle w:val="TableParagraph"/>
              <w:spacing w:before="9"/>
              <w:rPr>
                <w:sz w:val="17"/>
              </w:rPr>
            </w:pPr>
          </w:p>
          <w:p>
            <w:pPr>
              <w:pStyle w:val="TableParagraph"/>
              <w:ind w:left="82" w:right="82"/>
              <w:jc w:val="center"/>
              <w:rPr>
                <w:sz w:val="18"/>
              </w:rPr>
            </w:pPr>
            <w:r>
              <w:rPr>
                <w:sz w:val="18"/>
              </w:rPr>
              <w:t>Catalizador</w:t>
            </w:r>
          </w:p>
        </w:tc>
        <w:tc>
          <w:tcPr>
            <w:tcW w:w="1324" w:type="dxa"/>
          </w:tcPr>
          <w:p>
            <w:pPr>
              <w:pStyle w:val="TableParagraph"/>
              <w:rPr>
                <w:sz w:val="18"/>
              </w:rPr>
            </w:pPr>
          </w:p>
          <w:p>
            <w:pPr>
              <w:pStyle w:val="TableParagraph"/>
              <w:rPr>
                <w:sz w:val="18"/>
              </w:rPr>
            </w:pPr>
          </w:p>
          <w:p>
            <w:pPr>
              <w:pStyle w:val="TableParagraph"/>
              <w:spacing w:before="9"/>
              <w:rPr>
                <w:sz w:val="17"/>
              </w:rPr>
            </w:pPr>
          </w:p>
          <w:p>
            <w:pPr>
              <w:pStyle w:val="TableParagraph"/>
              <w:ind w:left="413" w:right="413"/>
              <w:jc w:val="center"/>
              <w:rPr>
                <w:sz w:val="18"/>
              </w:rPr>
            </w:pPr>
            <w:r>
              <w:rPr>
                <w:sz w:val="18"/>
              </w:rPr>
              <w:t>20 ml</w:t>
            </w:r>
          </w:p>
        </w:tc>
        <w:tc>
          <w:tcPr>
            <w:tcW w:w="3137" w:type="dxa"/>
          </w:tcPr>
          <w:p>
            <w:pPr>
              <w:pStyle w:val="TableParagraph"/>
              <w:spacing w:line="357" w:lineRule="auto"/>
              <w:ind w:left="52" w:right="57"/>
              <w:jc w:val="center"/>
              <w:rPr>
                <w:sz w:val="18"/>
              </w:rPr>
            </w:pPr>
            <w:r>
              <w:rPr>
                <w:sz w:val="18"/>
              </w:rPr>
              <w:t>Hydrogen peroxide, without water, in 50% solution state {GLO}| market for</w:t>
            </w:r>
          </w:p>
          <w:p>
            <w:pPr>
              <w:pStyle w:val="TableParagraph"/>
              <w:spacing w:before="6"/>
              <w:ind w:left="57" w:right="56"/>
              <w:jc w:val="center"/>
              <w:rPr>
                <w:sz w:val="18"/>
              </w:rPr>
            </w:pPr>
            <w:r>
              <w:rPr>
                <w:sz w:val="18"/>
              </w:rPr>
              <w:t>| Alloc Def, U</w:t>
            </w:r>
          </w:p>
        </w:tc>
        <w:tc>
          <w:tcPr>
            <w:tcW w:w="1497" w:type="dxa"/>
          </w:tcPr>
          <w:p>
            <w:pPr>
              <w:pStyle w:val="TableParagraph"/>
              <w:rPr>
                <w:sz w:val="18"/>
              </w:rPr>
            </w:pPr>
          </w:p>
          <w:p>
            <w:pPr>
              <w:pStyle w:val="TableParagraph"/>
              <w:rPr>
                <w:sz w:val="18"/>
              </w:rPr>
            </w:pPr>
          </w:p>
          <w:p>
            <w:pPr>
              <w:pStyle w:val="TableParagraph"/>
              <w:spacing w:before="9"/>
              <w:rPr>
                <w:sz w:val="17"/>
              </w:rPr>
            </w:pPr>
          </w:p>
          <w:p>
            <w:pPr>
              <w:pStyle w:val="TableParagraph"/>
              <w:ind w:left="204" w:right="214"/>
              <w:jc w:val="center"/>
              <w:rPr>
                <w:sz w:val="18"/>
              </w:rPr>
            </w:pPr>
            <w:r>
              <w:rPr>
                <w:sz w:val="18"/>
              </w:rPr>
              <w:t>Peroxido</w:t>
            </w:r>
          </w:p>
        </w:tc>
      </w:tr>
      <w:tr>
        <w:trPr>
          <w:trHeight w:val="628" w:hRule="exact"/>
        </w:trPr>
        <w:tc>
          <w:tcPr>
            <w:tcW w:w="1548" w:type="dxa"/>
            <w:vMerge/>
            <w:shd w:val="clear" w:color="auto" w:fill="A6A6A6"/>
          </w:tcPr>
          <w:p>
            <w:pPr/>
          </w:p>
        </w:tc>
        <w:tc>
          <w:tcPr>
            <w:tcW w:w="1475" w:type="dxa"/>
          </w:tcPr>
          <w:p>
            <w:pPr>
              <w:pStyle w:val="TableParagraph"/>
              <w:spacing w:before="8"/>
              <w:rPr>
                <w:sz w:val="26"/>
              </w:rPr>
            </w:pPr>
          </w:p>
          <w:p>
            <w:pPr>
              <w:pStyle w:val="TableParagraph"/>
              <w:ind w:left="82" w:right="82"/>
              <w:jc w:val="center"/>
              <w:rPr>
                <w:sz w:val="18"/>
              </w:rPr>
            </w:pPr>
            <w:r>
              <w:rPr>
                <w:sz w:val="18"/>
              </w:rPr>
              <w:t>Fibra de vidrio</w:t>
            </w:r>
          </w:p>
        </w:tc>
        <w:tc>
          <w:tcPr>
            <w:tcW w:w="1324" w:type="dxa"/>
          </w:tcPr>
          <w:p>
            <w:pPr>
              <w:pStyle w:val="TableParagraph"/>
              <w:spacing w:before="8"/>
              <w:rPr>
                <w:sz w:val="26"/>
              </w:rPr>
            </w:pPr>
          </w:p>
          <w:p>
            <w:pPr>
              <w:pStyle w:val="TableParagraph"/>
              <w:ind w:left="413" w:right="413"/>
              <w:jc w:val="center"/>
              <w:rPr>
                <w:sz w:val="18"/>
              </w:rPr>
            </w:pPr>
            <w:r>
              <w:rPr>
                <w:sz w:val="18"/>
              </w:rPr>
              <w:t>2 kg</w:t>
            </w:r>
          </w:p>
        </w:tc>
        <w:tc>
          <w:tcPr>
            <w:tcW w:w="3137" w:type="dxa"/>
          </w:tcPr>
          <w:p>
            <w:pPr>
              <w:pStyle w:val="TableParagraph"/>
              <w:spacing w:line="362" w:lineRule="auto"/>
              <w:ind w:left="1308" w:right="119" w:hanging="1173"/>
              <w:rPr>
                <w:sz w:val="18"/>
              </w:rPr>
            </w:pPr>
            <w:r>
              <w:rPr>
                <w:sz w:val="18"/>
              </w:rPr>
              <w:t>Glass fibre {GLO}| market for | Alloc Def, U</w:t>
            </w:r>
          </w:p>
        </w:tc>
        <w:tc>
          <w:tcPr>
            <w:tcW w:w="1497" w:type="dxa"/>
          </w:tcPr>
          <w:p>
            <w:pPr/>
          </w:p>
        </w:tc>
      </w:tr>
      <w:tr>
        <w:trPr>
          <w:trHeight w:val="632" w:hRule="exact"/>
        </w:trPr>
        <w:tc>
          <w:tcPr>
            <w:tcW w:w="1548" w:type="dxa"/>
            <w:vMerge/>
            <w:shd w:val="clear" w:color="auto" w:fill="A6A6A6"/>
          </w:tcPr>
          <w:p>
            <w:pPr/>
          </w:p>
        </w:tc>
        <w:tc>
          <w:tcPr>
            <w:tcW w:w="1475" w:type="dxa"/>
          </w:tcPr>
          <w:p>
            <w:pPr>
              <w:pStyle w:val="TableParagraph"/>
              <w:rPr>
                <w:sz w:val="18"/>
              </w:rPr>
            </w:pPr>
          </w:p>
          <w:p>
            <w:pPr>
              <w:pStyle w:val="TableParagraph"/>
              <w:spacing w:before="104"/>
              <w:ind w:left="79" w:right="83"/>
              <w:jc w:val="center"/>
              <w:rPr>
                <w:sz w:val="18"/>
              </w:rPr>
            </w:pPr>
            <w:r>
              <w:rPr>
                <w:sz w:val="18"/>
              </w:rPr>
              <w:t>Cabosil</w:t>
            </w:r>
          </w:p>
        </w:tc>
        <w:tc>
          <w:tcPr>
            <w:tcW w:w="1324" w:type="dxa"/>
          </w:tcPr>
          <w:p>
            <w:pPr>
              <w:pStyle w:val="TableParagraph"/>
              <w:rPr>
                <w:sz w:val="18"/>
              </w:rPr>
            </w:pPr>
          </w:p>
          <w:p>
            <w:pPr>
              <w:pStyle w:val="TableParagraph"/>
              <w:spacing w:before="104"/>
              <w:ind w:left="413" w:right="413"/>
              <w:jc w:val="center"/>
              <w:rPr>
                <w:sz w:val="18"/>
              </w:rPr>
            </w:pPr>
            <w:r>
              <w:rPr>
                <w:sz w:val="18"/>
              </w:rPr>
              <w:t>1 kg</w:t>
            </w:r>
          </w:p>
        </w:tc>
        <w:tc>
          <w:tcPr>
            <w:tcW w:w="3137" w:type="dxa"/>
          </w:tcPr>
          <w:p>
            <w:pPr>
              <w:pStyle w:val="TableParagraph"/>
              <w:spacing w:line="362" w:lineRule="auto"/>
              <w:ind w:left="1088" w:right="131" w:hanging="945"/>
              <w:rPr>
                <w:sz w:val="18"/>
              </w:rPr>
            </w:pPr>
            <w:r>
              <w:rPr>
                <w:sz w:val="18"/>
              </w:rPr>
              <w:t>Silicone product {GLO}| market for | Alloc Def, U</w:t>
            </w:r>
          </w:p>
        </w:tc>
        <w:tc>
          <w:tcPr>
            <w:tcW w:w="1497" w:type="dxa"/>
          </w:tcPr>
          <w:p>
            <w:pPr>
              <w:pStyle w:val="TableParagraph"/>
              <w:rPr>
                <w:sz w:val="18"/>
              </w:rPr>
            </w:pPr>
          </w:p>
          <w:p>
            <w:pPr>
              <w:pStyle w:val="TableParagraph"/>
              <w:spacing w:before="104"/>
              <w:ind w:left="208" w:right="214"/>
              <w:jc w:val="center"/>
              <w:rPr>
                <w:sz w:val="18"/>
              </w:rPr>
            </w:pPr>
            <w:r>
              <w:rPr>
                <w:sz w:val="18"/>
              </w:rPr>
              <w:t>Silicona</w:t>
            </w:r>
          </w:p>
        </w:tc>
      </w:tr>
      <w:tr>
        <w:trPr>
          <w:trHeight w:val="632" w:hRule="exact"/>
        </w:trPr>
        <w:tc>
          <w:tcPr>
            <w:tcW w:w="1548" w:type="dxa"/>
            <w:vMerge/>
            <w:shd w:val="clear" w:color="auto" w:fill="A6A6A6"/>
          </w:tcPr>
          <w:p>
            <w:pPr/>
          </w:p>
        </w:tc>
        <w:tc>
          <w:tcPr>
            <w:tcW w:w="1475" w:type="dxa"/>
          </w:tcPr>
          <w:p>
            <w:pPr>
              <w:pStyle w:val="TableParagraph"/>
              <w:spacing w:line="357" w:lineRule="auto"/>
              <w:ind w:left="434" w:right="296" w:hanging="124"/>
              <w:rPr>
                <w:sz w:val="18"/>
              </w:rPr>
            </w:pPr>
            <w:r>
              <w:rPr>
                <w:sz w:val="18"/>
              </w:rPr>
              <w:t>Alcohol de polivinil</w:t>
            </w:r>
          </w:p>
        </w:tc>
        <w:tc>
          <w:tcPr>
            <w:tcW w:w="1324" w:type="dxa"/>
          </w:tcPr>
          <w:p>
            <w:pPr>
              <w:pStyle w:val="TableParagraph"/>
              <w:spacing w:before="8"/>
              <w:rPr>
                <w:sz w:val="26"/>
              </w:rPr>
            </w:pPr>
          </w:p>
          <w:p>
            <w:pPr>
              <w:pStyle w:val="TableParagraph"/>
              <w:ind w:left="413" w:right="413"/>
              <w:jc w:val="center"/>
              <w:rPr>
                <w:sz w:val="18"/>
              </w:rPr>
            </w:pPr>
            <w:r>
              <w:rPr>
                <w:sz w:val="18"/>
              </w:rPr>
              <w:t>900 g</w:t>
            </w:r>
          </w:p>
        </w:tc>
        <w:tc>
          <w:tcPr>
            <w:tcW w:w="3137" w:type="dxa"/>
          </w:tcPr>
          <w:p>
            <w:pPr>
              <w:pStyle w:val="TableParagraph"/>
              <w:spacing w:line="357" w:lineRule="auto"/>
              <w:ind w:left="1088" w:right="253" w:hanging="817"/>
              <w:rPr>
                <w:sz w:val="18"/>
              </w:rPr>
            </w:pPr>
            <w:r>
              <w:rPr>
                <w:sz w:val="18"/>
              </w:rPr>
              <w:t>Vinyl acetate {GLO}| market for | Alloc Def, U</w:t>
            </w:r>
          </w:p>
        </w:tc>
        <w:tc>
          <w:tcPr>
            <w:tcW w:w="1497" w:type="dxa"/>
          </w:tcPr>
          <w:p>
            <w:pPr/>
          </w:p>
        </w:tc>
      </w:tr>
      <w:tr>
        <w:trPr>
          <w:trHeight w:val="632" w:hRule="exact"/>
        </w:trPr>
        <w:tc>
          <w:tcPr>
            <w:tcW w:w="1548" w:type="dxa"/>
            <w:vMerge/>
            <w:shd w:val="clear" w:color="auto" w:fill="A6A6A6"/>
          </w:tcPr>
          <w:p>
            <w:pPr/>
          </w:p>
        </w:tc>
        <w:tc>
          <w:tcPr>
            <w:tcW w:w="1475" w:type="dxa"/>
          </w:tcPr>
          <w:p>
            <w:pPr>
              <w:pStyle w:val="TableParagraph"/>
              <w:spacing w:line="362" w:lineRule="auto"/>
              <w:ind w:left="214" w:right="201" w:firstLine="324"/>
              <w:rPr>
                <w:sz w:val="18"/>
              </w:rPr>
            </w:pPr>
            <w:r>
              <w:rPr>
                <w:sz w:val="18"/>
              </w:rPr>
              <w:t>Cera desmoldante</w:t>
            </w:r>
          </w:p>
        </w:tc>
        <w:tc>
          <w:tcPr>
            <w:tcW w:w="1324" w:type="dxa"/>
          </w:tcPr>
          <w:p>
            <w:pPr>
              <w:pStyle w:val="TableParagraph"/>
              <w:spacing w:before="8"/>
              <w:rPr>
                <w:sz w:val="26"/>
              </w:rPr>
            </w:pPr>
          </w:p>
          <w:p>
            <w:pPr>
              <w:pStyle w:val="TableParagraph"/>
              <w:ind w:left="413" w:right="413"/>
              <w:jc w:val="center"/>
              <w:rPr>
                <w:sz w:val="18"/>
              </w:rPr>
            </w:pPr>
            <w:r>
              <w:rPr>
                <w:sz w:val="18"/>
              </w:rPr>
              <w:t>800 g</w:t>
            </w:r>
          </w:p>
        </w:tc>
        <w:tc>
          <w:tcPr>
            <w:tcW w:w="3137" w:type="dxa"/>
          </w:tcPr>
          <w:p>
            <w:pPr>
              <w:pStyle w:val="TableParagraph"/>
              <w:spacing w:line="362" w:lineRule="auto"/>
              <w:ind w:left="908" w:right="80" w:hanging="817"/>
              <w:rPr>
                <w:sz w:val="18"/>
              </w:rPr>
            </w:pPr>
            <w:r>
              <w:rPr>
                <w:sz w:val="18"/>
              </w:rPr>
              <w:t>Wax, lost-wax casting {GLO}| market for | Alloc Def, U</w:t>
            </w:r>
          </w:p>
        </w:tc>
        <w:tc>
          <w:tcPr>
            <w:tcW w:w="1497" w:type="dxa"/>
          </w:tcPr>
          <w:p>
            <w:pPr/>
          </w:p>
        </w:tc>
      </w:tr>
      <w:tr>
        <w:trPr>
          <w:trHeight w:val="628" w:hRule="exact"/>
        </w:trPr>
        <w:tc>
          <w:tcPr>
            <w:tcW w:w="1548" w:type="dxa"/>
            <w:vMerge/>
            <w:shd w:val="clear" w:color="auto" w:fill="A6A6A6"/>
          </w:tcPr>
          <w:p>
            <w:pPr/>
          </w:p>
        </w:tc>
        <w:tc>
          <w:tcPr>
            <w:tcW w:w="1475" w:type="dxa"/>
          </w:tcPr>
          <w:p>
            <w:pPr>
              <w:pStyle w:val="TableParagraph"/>
              <w:spacing w:before="8"/>
              <w:rPr>
                <w:sz w:val="26"/>
              </w:rPr>
            </w:pPr>
          </w:p>
          <w:p>
            <w:pPr>
              <w:pStyle w:val="TableParagraph"/>
              <w:ind w:left="82" w:right="82"/>
              <w:jc w:val="center"/>
              <w:rPr>
                <w:sz w:val="18"/>
              </w:rPr>
            </w:pPr>
            <w:r>
              <w:rPr>
                <w:sz w:val="18"/>
              </w:rPr>
              <w:t>Estopa</w:t>
            </w:r>
          </w:p>
        </w:tc>
        <w:tc>
          <w:tcPr>
            <w:tcW w:w="1324" w:type="dxa"/>
          </w:tcPr>
          <w:p>
            <w:pPr>
              <w:pStyle w:val="TableParagraph"/>
              <w:spacing w:before="8"/>
              <w:rPr>
                <w:sz w:val="26"/>
              </w:rPr>
            </w:pPr>
          </w:p>
          <w:p>
            <w:pPr>
              <w:pStyle w:val="TableParagraph"/>
              <w:ind w:left="413" w:right="413"/>
              <w:jc w:val="center"/>
              <w:rPr>
                <w:sz w:val="18"/>
              </w:rPr>
            </w:pPr>
            <w:r>
              <w:rPr>
                <w:sz w:val="18"/>
              </w:rPr>
              <w:t>1 kg</w:t>
            </w:r>
          </w:p>
        </w:tc>
        <w:tc>
          <w:tcPr>
            <w:tcW w:w="3137" w:type="dxa"/>
          </w:tcPr>
          <w:p>
            <w:pPr>
              <w:pStyle w:val="TableParagraph"/>
              <w:spacing w:line="362" w:lineRule="auto"/>
              <w:ind w:left="1088" w:right="265" w:hanging="809"/>
              <w:rPr>
                <w:sz w:val="18"/>
              </w:rPr>
            </w:pPr>
            <w:r>
              <w:rPr>
                <w:sz w:val="18"/>
              </w:rPr>
              <w:t>Textile, linen {GLO}| market for | Alloc Def, U</w:t>
            </w:r>
          </w:p>
        </w:tc>
        <w:tc>
          <w:tcPr>
            <w:tcW w:w="1497" w:type="dxa"/>
          </w:tcPr>
          <w:p>
            <w:pPr>
              <w:pStyle w:val="TableParagraph"/>
              <w:spacing w:before="8"/>
              <w:rPr>
                <w:sz w:val="26"/>
              </w:rPr>
            </w:pPr>
          </w:p>
          <w:p>
            <w:pPr>
              <w:pStyle w:val="TableParagraph"/>
              <w:ind w:left="212" w:right="214"/>
              <w:jc w:val="center"/>
              <w:rPr>
                <w:sz w:val="18"/>
              </w:rPr>
            </w:pPr>
            <w:r>
              <w:rPr>
                <w:sz w:val="18"/>
              </w:rPr>
              <w:t>Lino</w:t>
            </w:r>
          </w:p>
        </w:tc>
      </w:tr>
      <w:tr>
        <w:trPr>
          <w:trHeight w:val="632" w:hRule="exact"/>
        </w:trPr>
        <w:tc>
          <w:tcPr>
            <w:tcW w:w="1548" w:type="dxa"/>
            <w:vMerge/>
            <w:shd w:val="clear" w:color="auto" w:fill="A6A6A6"/>
          </w:tcPr>
          <w:p>
            <w:pPr/>
          </w:p>
        </w:tc>
        <w:tc>
          <w:tcPr>
            <w:tcW w:w="1475" w:type="dxa"/>
          </w:tcPr>
          <w:p>
            <w:pPr>
              <w:pStyle w:val="TableParagraph"/>
              <w:spacing w:before="8"/>
              <w:rPr>
                <w:sz w:val="26"/>
              </w:rPr>
            </w:pPr>
          </w:p>
          <w:p>
            <w:pPr>
              <w:pStyle w:val="TableParagraph"/>
              <w:ind w:left="79" w:right="83"/>
              <w:jc w:val="center"/>
              <w:rPr>
                <w:sz w:val="18"/>
              </w:rPr>
            </w:pPr>
            <w:r>
              <w:rPr>
                <w:sz w:val="18"/>
              </w:rPr>
              <w:t>Tinner</w:t>
            </w:r>
          </w:p>
        </w:tc>
        <w:tc>
          <w:tcPr>
            <w:tcW w:w="1324" w:type="dxa"/>
          </w:tcPr>
          <w:p>
            <w:pPr>
              <w:pStyle w:val="TableParagraph"/>
              <w:spacing w:before="8"/>
              <w:rPr>
                <w:sz w:val="26"/>
              </w:rPr>
            </w:pPr>
          </w:p>
          <w:p>
            <w:pPr>
              <w:pStyle w:val="TableParagraph"/>
              <w:ind w:left="411" w:right="413"/>
              <w:jc w:val="center"/>
              <w:rPr>
                <w:sz w:val="18"/>
              </w:rPr>
            </w:pPr>
            <w:r>
              <w:rPr>
                <w:sz w:val="18"/>
              </w:rPr>
              <w:t>1 l</w:t>
            </w:r>
          </w:p>
        </w:tc>
        <w:tc>
          <w:tcPr>
            <w:tcW w:w="3137" w:type="dxa"/>
          </w:tcPr>
          <w:p>
            <w:pPr>
              <w:pStyle w:val="TableParagraph"/>
              <w:spacing w:line="357" w:lineRule="auto"/>
              <w:ind w:left="1088" w:right="125" w:hanging="949"/>
              <w:rPr>
                <w:sz w:val="18"/>
              </w:rPr>
            </w:pPr>
            <w:r>
              <w:rPr>
                <w:sz w:val="18"/>
              </w:rPr>
              <w:t>Solvent, organic {GLO}| market for | Alloc Def, U</w:t>
            </w:r>
          </w:p>
        </w:tc>
        <w:tc>
          <w:tcPr>
            <w:tcW w:w="1497" w:type="dxa"/>
          </w:tcPr>
          <w:p>
            <w:pPr>
              <w:pStyle w:val="TableParagraph"/>
              <w:spacing w:before="8"/>
              <w:rPr>
                <w:sz w:val="26"/>
              </w:rPr>
            </w:pPr>
          </w:p>
          <w:p>
            <w:pPr>
              <w:pStyle w:val="TableParagraph"/>
              <w:ind w:left="214" w:right="214"/>
              <w:jc w:val="center"/>
              <w:rPr>
                <w:sz w:val="18"/>
              </w:rPr>
            </w:pPr>
            <w:r>
              <w:rPr>
                <w:sz w:val="18"/>
              </w:rPr>
              <w:t>Solvente</w:t>
            </w:r>
          </w:p>
        </w:tc>
      </w:tr>
      <w:tr>
        <w:trPr>
          <w:trHeight w:val="613" w:hRule="exact"/>
        </w:trPr>
        <w:tc>
          <w:tcPr>
            <w:tcW w:w="1548" w:type="dxa"/>
            <w:vMerge w:val="restart"/>
            <w:shd w:val="clear" w:color="auto" w:fill="A6A6A6"/>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line="357" w:lineRule="auto" w:before="108"/>
              <w:ind w:left="441" w:right="429" w:firstLine="20"/>
              <w:rPr>
                <w:sz w:val="18"/>
              </w:rPr>
            </w:pPr>
            <w:r>
              <w:rPr>
                <w:sz w:val="18"/>
              </w:rPr>
              <w:t>Paso 3. Vaciado</w:t>
            </w:r>
          </w:p>
        </w:tc>
        <w:tc>
          <w:tcPr>
            <w:tcW w:w="1475" w:type="dxa"/>
          </w:tcPr>
          <w:p>
            <w:pPr>
              <w:pStyle w:val="TableParagraph"/>
              <w:rPr>
                <w:sz w:val="25"/>
              </w:rPr>
            </w:pPr>
          </w:p>
          <w:p>
            <w:pPr>
              <w:pStyle w:val="TableParagraph"/>
              <w:ind w:left="82" w:right="83"/>
              <w:jc w:val="center"/>
              <w:rPr>
                <w:sz w:val="18"/>
              </w:rPr>
            </w:pPr>
            <w:r>
              <w:rPr>
                <w:sz w:val="18"/>
              </w:rPr>
              <w:t>Detergente</w:t>
            </w:r>
          </w:p>
        </w:tc>
        <w:tc>
          <w:tcPr>
            <w:tcW w:w="1324" w:type="dxa"/>
          </w:tcPr>
          <w:p>
            <w:pPr>
              <w:pStyle w:val="TableParagraph"/>
              <w:rPr>
                <w:sz w:val="25"/>
              </w:rPr>
            </w:pPr>
          </w:p>
          <w:p>
            <w:pPr>
              <w:pStyle w:val="TableParagraph"/>
              <w:ind w:left="413" w:right="413"/>
              <w:jc w:val="center"/>
              <w:rPr>
                <w:sz w:val="18"/>
              </w:rPr>
            </w:pPr>
            <w:r>
              <w:rPr>
                <w:sz w:val="18"/>
              </w:rPr>
              <w:t>200 g</w:t>
            </w:r>
          </w:p>
        </w:tc>
        <w:tc>
          <w:tcPr>
            <w:tcW w:w="3137" w:type="dxa"/>
          </w:tcPr>
          <w:p>
            <w:pPr>
              <w:pStyle w:val="TableParagraph"/>
              <w:rPr>
                <w:sz w:val="25"/>
              </w:rPr>
            </w:pPr>
          </w:p>
          <w:p>
            <w:pPr>
              <w:pStyle w:val="TableParagraph"/>
              <w:ind w:left="57" w:right="57"/>
              <w:jc w:val="center"/>
              <w:rPr>
                <w:sz w:val="18"/>
              </w:rPr>
            </w:pPr>
            <w:r>
              <w:rPr>
                <w:sz w:val="18"/>
              </w:rPr>
              <w:t>Soap {GLO}| market for | Alloc Def, U</w:t>
            </w:r>
          </w:p>
        </w:tc>
        <w:tc>
          <w:tcPr>
            <w:tcW w:w="1497" w:type="dxa"/>
          </w:tcPr>
          <w:p>
            <w:pPr/>
          </w:p>
        </w:tc>
      </w:tr>
      <w:tr>
        <w:trPr>
          <w:trHeight w:val="628" w:hRule="exact"/>
        </w:trPr>
        <w:tc>
          <w:tcPr>
            <w:tcW w:w="1548" w:type="dxa"/>
            <w:vMerge/>
            <w:shd w:val="clear" w:color="auto" w:fill="A6A6A6"/>
          </w:tcPr>
          <w:p>
            <w:pPr/>
          </w:p>
        </w:tc>
        <w:tc>
          <w:tcPr>
            <w:tcW w:w="1475" w:type="dxa"/>
          </w:tcPr>
          <w:p>
            <w:pPr>
              <w:pStyle w:val="TableParagraph"/>
              <w:spacing w:before="8"/>
              <w:rPr>
                <w:sz w:val="26"/>
              </w:rPr>
            </w:pPr>
          </w:p>
          <w:p>
            <w:pPr>
              <w:pStyle w:val="TableParagraph"/>
              <w:ind w:left="82" w:right="82"/>
              <w:jc w:val="center"/>
              <w:rPr>
                <w:sz w:val="18"/>
              </w:rPr>
            </w:pPr>
            <w:r>
              <w:rPr>
                <w:sz w:val="18"/>
              </w:rPr>
              <w:t>Agua</w:t>
            </w:r>
          </w:p>
        </w:tc>
        <w:tc>
          <w:tcPr>
            <w:tcW w:w="1324" w:type="dxa"/>
          </w:tcPr>
          <w:p>
            <w:pPr>
              <w:pStyle w:val="TableParagraph"/>
              <w:spacing w:before="8"/>
              <w:rPr>
                <w:sz w:val="26"/>
              </w:rPr>
            </w:pPr>
          </w:p>
          <w:p>
            <w:pPr>
              <w:pStyle w:val="TableParagraph"/>
              <w:ind w:left="413" w:right="413"/>
              <w:jc w:val="center"/>
              <w:rPr>
                <w:sz w:val="18"/>
              </w:rPr>
            </w:pPr>
            <w:r>
              <w:rPr>
                <w:sz w:val="18"/>
              </w:rPr>
              <w:t>20 l</w:t>
            </w:r>
          </w:p>
        </w:tc>
        <w:tc>
          <w:tcPr>
            <w:tcW w:w="3137" w:type="dxa"/>
          </w:tcPr>
          <w:p>
            <w:pPr>
              <w:pStyle w:val="TableParagraph"/>
              <w:spacing w:line="362" w:lineRule="auto"/>
              <w:ind w:left="1308" w:right="139" w:hanging="1153"/>
              <w:rPr>
                <w:sz w:val="18"/>
              </w:rPr>
            </w:pPr>
            <w:r>
              <w:rPr>
                <w:sz w:val="18"/>
              </w:rPr>
              <w:t>Tap water {RoW}| market for | Alloc Def, U</w:t>
            </w:r>
          </w:p>
        </w:tc>
        <w:tc>
          <w:tcPr>
            <w:tcW w:w="1497" w:type="dxa"/>
          </w:tcPr>
          <w:p>
            <w:pPr/>
          </w:p>
        </w:tc>
      </w:tr>
      <w:tr>
        <w:trPr>
          <w:trHeight w:val="632" w:hRule="exact"/>
        </w:trPr>
        <w:tc>
          <w:tcPr>
            <w:tcW w:w="1548" w:type="dxa"/>
            <w:vMerge/>
            <w:shd w:val="clear" w:color="auto" w:fill="A6A6A6"/>
          </w:tcPr>
          <w:p>
            <w:pPr/>
          </w:p>
        </w:tc>
        <w:tc>
          <w:tcPr>
            <w:tcW w:w="1475" w:type="dxa"/>
          </w:tcPr>
          <w:p>
            <w:pPr>
              <w:pStyle w:val="TableParagraph"/>
              <w:spacing w:line="357" w:lineRule="auto"/>
              <w:ind w:left="390" w:right="310" w:hanging="64"/>
              <w:rPr>
                <w:sz w:val="18"/>
              </w:rPr>
            </w:pPr>
            <w:r>
              <w:rPr>
                <w:sz w:val="18"/>
              </w:rPr>
              <w:t>Resina de poliéster</w:t>
            </w:r>
          </w:p>
        </w:tc>
        <w:tc>
          <w:tcPr>
            <w:tcW w:w="1324" w:type="dxa"/>
          </w:tcPr>
          <w:p>
            <w:pPr>
              <w:pStyle w:val="TableParagraph"/>
              <w:spacing w:before="8"/>
              <w:rPr>
                <w:sz w:val="26"/>
              </w:rPr>
            </w:pPr>
          </w:p>
          <w:p>
            <w:pPr>
              <w:pStyle w:val="TableParagraph"/>
              <w:ind w:left="413" w:right="413"/>
              <w:jc w:val="center"/>
              <w:rPr>
                <w:sz w:val="18"/>
              </w:rPr>
            </w:pPr>
            <w:r>
              <w:rPr>
                <w:sz w:val="18"/>
              </w:rPr>
              <w:t>1 kg</w:t>
            </w:r>
          </w:p>
        </w:tc>
        <w:tc>
          <w:tcPr>
            <w:tcW w:w="3137" w:type="dxa"/>
          </w:tcPr>
          <w:p>
            <w:pPr>
              <w:pStyle w:val="TableParagraph"/>
              <w:spacing w:line="357" w:lineRule="auto"/>
              <w:ind w:left="608" w:right="126" w:hanging="464"/>
              <w:rPr>
                <w:sz w:val="18"/>
              </w:rPr>
            </w:pPr>
            <w:r>
              <w:rPr>
                <w:sz w:val="18"/>
              </w:rPr>
              <w:t>Polyester resin, unsaturated {GLO}| market for | Alloc Def, U</w:t>
            </w:r>
          </w:p>
        </w:tc>
        <w:tc>
          <w:tcPr>
            <w:tcW w:w="1497" w:type="dxa"/>
          </w:tcPr>
          <w:p>
            <w:pPr/>
          </w:p>
        </w:tc>
      </w:tr>
      <w:tr>
        <w:trPr>
          <w:trHeight w:val="632" w:hRule="exact"/>
        </w:trPr>
        <w:tc>
          <w:tcPr>
            <w:tcW w:w="1548" w:type="dxa"/>
            <w:vMerge/>
            <w:shd w:val="clear" w:color="auto" w:fill="A6A6A6"/>
          </w:tcPr>
          <w:p>
            <w:pPr/>
          </w:p>
        </w:tc>
        <w:tc>
          <w:tcPr>
            <w:tcW w:w="1475" w:type="dxa"/>
          </w:tcPr>
          <w:p>
            <w:pPr>
              <w:pStyle w:val="TableParagraph"/>
              <w:spacing w:line="357" w:lineRule="auto"/>
              <w:ind w:left="502" w:right="169" w:hanging="316"/>
              <w:rPr>
                <w:sz w:val="18"/>
              </w:rPr>
            </w:pPr>
            <w:r>
              <w:rPr>
                <w:sz w:val="18"/>
              </w:rPr>
              <w:t>Carbonato de calcio</w:t>
            </w:r>
          </w:p>
        </w:tc>
        <w:tc>
          <w:tcPr>
            <w:tcW w:w="1324" w:type="dxa"/>
          </w:tcPr>
          <w:p>
            <w:pPr>
              <w:pStyle w:val="TableParagraph"/>
              <w:spacing w:before="8"/>
              <w:rPr>
                <w:sz w:val="26"/>
              </w:rPr>
            </w:pPr>
          </w:p>
          <w:p>
            <w:pPr>
              <w:pStyle w:val="TableParagraph"/>
              <w:ind w:left="413" w:right="413"/>
              <w:jc w:val="center"/>
              <w:rPr>
                <w:sz w:val="18"/>
              </w:rPr>
            </w:pPr>
            <w:r>
              <w:rPr>
                <w:sz w:val="18"/>
              </w:rPr>
              <w:t>1 kg</w:t>
            </w:r>
          </w:p>
        </w:tc>
        <w:tc>
          <w:tcPr>
            <w:tcW w:w="3137" w:type="dxa"/>
          </w:tcPr>
          <w:p>
            <w:pPr>
              <w:pStyle w:val="TableParagraph"/>
              <w:spacing w:line="206" w:lineRule="exact"/>
              <w:ind w:left="57" w:right="57"/>
              <w:jc w:val="center"/>
              <w:rPr>
                <w:sz w:val="18"/>
              </w:rPr>
            </w:pPr>
            <w:r>
              <w:rPr>
                <w:sz w:val="18"/>
              </w:rPr>
              <w:t>Calcium carbonate {GLO}| market for</w:t>
            </w:r>
          </w:p>
          <w:p>
            <w:pPr>
              <w:pStyle w:val="TableParagraph"/>
              <w:spacing w:before="101"/>
              <w:ind w:left="57" w:right="56"/>
              <w:jc w:val="center"/>
              <w:rPr>
                <w:sz w:val="18"/>
              </w:rPr>
            </w:pPr>
            <w:r>
              <w:rPr>
                <w:sz w:val="18"/>
              </w:rPr>
              <w:t>| Alloc Def, U</w:t>
            </w:r>
          </w:p>
        </w:tc>
        <w:tc>
          <w:tcPr>
            <w:tcW w:w="1497" w:type="dxa"/>
          </w:tcPr>
          <w:p>
            <w:pPr/>
          </w:p>
        </w:tc>
      </w:tr>
      <w:tr>
        <w:trPr>
          <w:trHeight w:val="944" w:hRule="exact"/>
        </w:trPr>
        <w:tc>
          <w:tcPr>
            <w:tcW w:w="1548" w:type="dxa"/>
            <w:shd w:val="clear" w:color="auto" w:fill="A6A6A6"/>
          </w:tcPr>
          <w:p>
            <w:pPr>
              <w:pStyle w:val="TableParagraph"/>
              <w:spacing w:line="362" w:lineRule="auto" w:before="151"/>
              <w:ind w:left="369" w:right="350" w:firstLine="92"/>
              <w:rPr>
                <w:sz w:val="18"/>
              </w:rPr>
            </w:pPr>
            <w:r>
              <w:rPr>
                <w:sz w:val="18"/>
              </w:rPr>
              <w:t>Paso 4. Acabados</w:t>
            </w:r>
          </w:p>
        </w:tc>
        <w:tc>
          <w:tcPr>
            <w:tcW w:w="1475" w:type="dxa"/>
          </w:tcPr>
          <w:p>
            <w:pPr>
              <w:pStyle w:val="TableParagraph"/>
              <w:rPr>
                <w:sz w:val="18"/>
              </w:rPr>
            </w:pPr>
          </w:p>
          <w:p>
            <w:pPr>
              <w:pStyle w:val="TableParagraph"/>
              <w:rPr>
                <w:sz w:val="18"/>
              </w:rPr>
            </w:pPr>
          </w:p>
          <w:p>
            <w:pPr>
              <w:pStyle w:val="TableParagraph"/>
              <w:spacing w:before="9"/>
              <w:rPr>
                <w:sz w:val="17"/>
              </w:rPr>
            </w:pPr>
          </w:p>
          <w:p>
            <w:pPr>
              <w:pStyle w:val="TableParagraph"/>
              <w:ind w:left="82" w:right="83"/>
              <w:jc w:val="center"/>
              <w:rPr>
                <w:sz w:val="18"/>
              </w:rPr>
            </w:pPr>
            <w:r>
              <w:rPr>
                <w:sz w:val="18"/>
              </w:rPr>
              <w:t>Estuche de lijas</w:t>
            </w:r>
          </w:p>
        </w:tc>
        <w:tc>
          <w:tcPr>
            <w:tcW w:w="1324" w:type="dxa"/>
          </w:tcPr>
          <w:p>
            <w:pPr>
              <w:pStyle w:val="TableParagraph"/>
              <w:spacing w:before="8"/>
              <w:rPr>
                <w:sz w:val="26"/>
              </w:rPr>
            </w:pPr>
          </w:p>
          <w:p>
            <w:pPr>
              <w:pStyle w:val="TableParagraph"/>
              <w:spacing w:line="362" w:lineRule="auto"/>
              <w:ind w:left="167" w:right="106" w:hanging="48"/>
              <w:rPr>
                <w:sz w:val="18"/>
              </w:rPr>
            </w:pPr>
            <w:r>
              <w:rPr>
                <w:sz w:val="18"/>
              </w:rPr>
              <w:t>0,01gramos * 15 unidades</w:t>
            </w:r>
          </w:p>
        </w:tc>
        <w:tc>
          <w:tcPr>
            <w:tcW w:w="3137" w:type="dxa"/>
          </w:tcPr>
          <w:p>
            <w:pPr>
              <w:pStyle w:val="TableParagraph"/>
              <w:spacing w:line="362" w:lineRule="auto"/>
              <w:ind w:left="96" w:right="102"/>
              <w:jc w:val="center"/>
              <w:rPr>
                <w:sz w:val="18"/>
              </w:rPr>
            </w:pPr>
            <w:r>
              <w:rPr>
                <w:sz w:val="18"/>
              </w:rPr>
              <w:t>Aluminium oxide {RER}| treatment of aluminium scrap, new, at refiner | Alloc Def, U</w:t>
            </w:r>
          </w:p>
        </w:tc>
        <w:tc>
          <w:tcPr>
            <w:tcW w:w="1497" w:type="dxa"/>
          </w:tcPr>
          <w:p>
            <w:pPr>
              <w:pStyle w:val="TableParagraph"/>
              <w:spacing w:before="8"/>
              <w:rPr>
                <w:sz w:val="26"/>
              </w:rPr>
            </w:pPr>
          </w:p>
          <w:p>
            <w:pPr>
              <w:pStyle w:val="TableParagraph"/>
              <w:spacing w:line="362" w:lineRule="auto"/>
              <w:ind w:left="112" w:right="95" w:firstLine="104"/>
              <w:rPr>
                <w:sz w:val="18"/>
              </w:rPr>
            </w:pPr>
            <w:r>
              <w:rPr>
                <w:sz w:val="18"/>
              </w:rPr>
              <w:t>Se desechan una vez usadas</w:t>
            </w:r>
          </w:p>
        </w:tc>
      </w:tr>
    </w:tbl>
    <w:p>
      <w:pPr>
        <w:spacing w:line="202" w:lineRule="exact" w:before="0"/>
        <w:ind w:left="3164" w:right="3164" w:firstLine="0"/>
        <w:jc w:val="center"/>
        <w:rPr>
          <w:sz w:val="18"/>
        </w:rPr>
      </w:pPr>
      <w:r>
        <w:rPr>
          <w:sz w:val="18"/>
        </w:rPr>
        <w:t>(Fuente: Elaboración propia, 2015).</w:t>
      </w:r>
    </w:p>
    <w:p>
      <w:pPr>
        <w:pStyle w:val="BodyText"/>
        <w:rPr>
          <w:sz w:val="18"/>
        </w:rPr>
      </w:pPr>
    </w:p>
    <w:p>
      <w:pPr>
        <w:pStyle w:val="BodyText"/>
        <w:spacing w:before="11"/>
        <w:rPr>
          <w:sz w:val="26"/>
        </w:rPr>
      </w:pPr>
    </w:p>
    <w:p>
      <w:pPr>
        <w:pStyle w:val="BodyText"/>
        <w:spacing w:line="362" w:lineRule="auto"/>
        <w:ind w:left="180" w:right="167"/>
      </w:pPr>
      <w:r>
        <w:rPr/>
        <w:t>En la siguiente </w:t>
      </w:r>
      <w:hyperlink w:history="true" w:anchor="_bookmark180">
        <w:r>
          <w:rPr/>
          <w:t>Tabla 5.13</w:t>
        </w:r>
      </w:hyperlink>
      <w:r>
        <w:rPr/>
        <w:t>, se muestran los </w:t>
      </w:r>
      <w:r>
        <w:rPr>
          <w:b/>
        </w:rPr>
        <w:t>residuos </w:t>
      </w:r>
      <w:r>
        <w:rPr/>
        <w:t>generados que no pueden ser reutilizados.</w:t>
      </w:r>
    </w:p>
    <w:p>
      <w:pPr>
        <w:spacing w:after="0" w:line="362" w:lineRule="auto"/>
        <w:sectPr>
          <w:pgSz w:w="12240" w:h="15840"/>
          <w:pgMar w:header="0" w:footer="1031" w:top="1360" w:bottom="1220" w:left="1520" w:right="1520"/>
        </w:sectPr>
      </w:pPr>
    </w:p>
    <w:p>
      <w:pPr>
        <w:spacing w:before="51" w:after="6"/>
        <w:ind w:left="3910" w:right="1089" w:hanging="2573"/>
        <w:jc w:val="left"/>
        <w:rPr>
          <w:sz w:val="18"/>
        </w:rPr>
      </w:pPr>
      <w:bookmarkStart w:name="_bookmark180" w:id="281"/>
      <w:bookmarkEnd w:id="281"/>
      <w:r>
        <w:rPr/>
      </w:r>
      <w:r>
        <w:rPr>
          <w:sz w:val="18"/>
        </w:rPr>
        <w:t>Tabla 5.13: Muestra los residuos producidos de fabricar en resina poliéster y fibra de vidrio en cada paso.</w:t>
      </w:r>
    </w:p>
    <w:tbl>
      <w:tblPr>
        <w:tblW w:w="0" w:type="auto"/>
        <w:jc w:val="left"/>
        <w:tblInd w:w="16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61"/>
        <w:gridCol w:w="2744"/>
        <w:gridCol w:w="3422"/>
      </w:tblGrid>
      <w:tr>
        <w:trPr>
          <w:trHeight w:val="320" w:hRule="exact"/>
        </w:trPr>
        <w:tc>
          <w:tcPr>
            <w:tcW w:w="2361" w:type="dxa"/>
            <w:tcBorders>
              <w:bottom w:val="single" w:sz="3" w:space="0" w:color="000000"/>
              <w:right w:val="single" w:sz="3" w:space="0" w:color="000000"/>
            </w:tcBorders>
          </w:tcPr>
          <w:p>
            <w:pPr/>
          </w:p>
        </w:tc>
        <w:tc>
          <w:tcPr>
            <w:tcW w:w="2744" w:type="dxa"/>
            <w:tcBorders>
              <w:top w:val="single" w:sz="3" w:space="0" w:color="000000"/>
              <w:left w:val="single" w:sz="3" w:space="0" w:color="000000"/>
              <w:bottom w:val="single" w:sz="3" w:space="0" w:color="000000"/>
              <w:right w:val="single" w:sz="3" w:space="0" w:color="000000"/>
            </w:tcBorders>
            <w:shd w:val="clear" w:color="auto" w:fill="A6A6A6"/>
          </w:tcPr>
          <w:p>
            <w:pPr>
              <w:pStyle w:val="TableParagraph"/>
              <w:spacing w:line="202" w:lineRule="exact"/>
              <w:ind w:left="333" w:right="332"/>
              <w:jc w:val="center"/>
              <w:rPr>
                <w:sz w:val="18"/>
              </w:rPr>
            </w:pPr>
            <w:r>
              <w:rPr>
                <w:sz w:val="18"/>
              </w:rPr>
              <w:t>Tipo residuo/s generados</w:t>
            </w:r>
          </w:p>
        </w:tc>
        <w:tc>
          <w:tcPr>
            <w:tcW w:w="3422" w:type="dxa"/>
            <w:tcBorders>
              <w:top w:val="single" w:sz="3" w:space="0" w:color="000000"/>
              <w:left w:val="single" w:sz="3" w:space="0" w:color="000000"/>
              <w:bottom w:val="single" w:sz="3" w:space="0" w:color="000000"/>
              <w:right w:val="single" w:sz="3" w:space="0" w:color="000000"/>
            </w:tcBorders>
            <w:shd w:val="clear" w:color="auto" w:fill="A6A6A6"/>
          </w:tcPr>
          <w:p>
            <w:pPr>
              <w:pStyle w:val="TableParagraph"/>
              <w:spacing w:line="202" w:lineRule="exact"/>
              <w:ind w:left="511" w:right="508"/>
              <w:jc w:val="center"/>
              <w:rPr>
                <w:sz w:val="18"/>
              </w:rPr>
            </w:pPr>
            <w:r>
              <w:rPr>
                <w:sz w:val="18"/>
              </w:rPr>
              <w:t>Cantidad (kg)</w:t>
            </w:r>
          </w:p>
        </w:tc>
      </w:tr>
      <w:tr>
        <w:trPr>
          <w:trHeight w:val="320" w:hRule="exact"/>
        </w:trPr>
        <w:tc>
          <w:tcPr>
            <w:tcW w:w="2361" w:type="dxa"/>
            <w:vMerge w:val="restart"/>
            <w:tcBorders>
              <w:top w:val="single" w:sz="3" w:space="0" w:color="000000"/>
              <w:left w:val="single" w:sz="3" w:space="0" w:color="000000"/>
              <w:right w:val="single" w:sz="3" w:space="0" w:color="000000"/>
            </w:tcBorders>
            <w:shd w:val="clear" w:color="auto" w:fill="A6A6A6"/>
          </w:tcPr>
          <w:p>
            <w:pPr>
              <w:pStyle w:val="TableParagraph"/>
              <w:spacing w:before="3"/>
              <w:ind w:left="462" w:right="457"/>
              <w:jc w:val="center"/>
              <w:rPr>
                <w:sz w:val="18"/>
              </w:rPr>
            </w:pPr>
            <w:r>
              <w:rPr>
                <w:sz w:val="18"/>
              </w:rPr>
              <w:t>Paso 1.</w:t>
            </w:r>
          </w:p>
          <w:p>
            <w:pPr>
              <w:pStyle w:val="TableParagraph"/>
              <w:spacing w:before="101"/>
              <w:ind w:left="459" w:right="460"/>
              <w:jc w:val="center"/>
              <w:rPr>
                <w:sz w:val="18"/>
              </w:rPr>
            </w:pPr>
            <w:r>
              <w:rPr>
                <w:sz w:val="18"/>
              </w:rPr>
              <w:t>Modelar la pieza</w:t>
            </w:r>
          </w:p>
        </w:tc>
        <w:tc>
          <w:tcPr>
            <w:tcW w:w="2744" w:type="dxa"/>
            <w:tcBorders>
              <w:top w:val="single" w:sz="3" w:space="0" w:color="000000"/>
              <w:left w:val="single" w:sz="3" w:space="0" w:color="000000"/>
              <w:bottom w:val="single" w:sz="3" w:space="0" w:color="000000"/>
              <w:right w:val="single" w:sz="3" w:space="0" w:color="000000"/>
            </w:tcBorders>
          </w:tcPr>
          <w:p>
            <w:pPr>
              <w:pStyle w:val="TableParagraph"/>
              <w:spacing w:line="206" w:lineRule="exact"/>
              <w:ind w:left="333" w:right="327"/>
              <w:jc w:val="center"/>
              <w:rPr>
                <w:sz w:val="18"/>
              </w:rPr>
            </w:pPr>
            <w:r>
              <w:rPr>
                <w:sz w:val="18"/>
              </w:rPr>
              <w:t>Plastilina de escultor</w:t>
            </w:r>
          </w:p>
        </w:tc>
        <w:tc>
          <w:tcPr>
            <w:tcW w:w="3422" w:type="dxa"/>
            <w:tcBorders>
              <w:top w:val="single" w:sz="3" w:space="0" w:color="000000"/>
              <w:left w:val="single" w:sz="3" w:space="0" w:color="000000"/>
              <w:bottom w:val="single" w:sz="3" w:space="0" w:color="000000"/>
              <w:right w:val="single" w:sz="3" w:space="0" w:color="000000"/>
            </w:tcBorders>
          </w:tcPr>
          <w:p>
            <w:pPr>
              <w:pStyle w:val="TableParagraph"/>
              <w:spacing w:line="206" w:lineRule="exact"/>
              <w:ind w:left="511" w:right="508"/>
              <w:jc w:val="center"/>
              <w:rPr>
                <w:sz w:val="18"/>
              </w:rPr>
            </w:pPr>
            <w:r>
              <w:rPr>
                <w:sz w:val="18"/>
              </w:rPr>
              <w:t>400 gr</w:t>
            </w:r>
          </w:p>
        </w:tc>
      </w:tr>
      <w:tr>
        <w:trPr>
          <w:trHeight w:val="320" w:hRule="exact"/>
        </w:trPr>
        <w:tc>
          <w:tcPr>
            <w:tcW w:w="2361" w:type="dxa"/>
            <w:vMerge/>
            <w:tcBorders>
              <w:left w:val="single" w:sz="3" w:space="0" w:color="000000"/>
              <w:bottom w:val="single" w:sz="3" w:space="0" w:color="000000"/>
              <w:right w:val="single" w:sz="3" w:space="0" w:color="000000"/>
            </w:tcBorders>
            <w:shd w:val="clear" w:color="auto" w:fill="A6A6A6"/>
          </w:tcPr>
          <w:p>
            <w:pPr/>
          </w:p>
        </w:tc>
        <w:tc>
          <w:tcPr>
            <w:tcW w:w="2744" w:type="dxa"/>
            <w:tcBorders>
              <w:top w:val="single" w:sz="3" w:space="0" w:color="000000"/>
              <w:left w:val="single" w:sz="3" w:space="0" w:color="000000"/>
              <w:bottom w:val="single" w:sz="3" w:space="0" w:color="000000"/>
              <w:right w:val="single" w:sz="3" w:space="0" w:color="000000"/>
            </w:tcBorders>
          </w:tcPr>
          <w:p>
            <w:pPr/>
          </w:p>
        </w:tc>
        <w:tc>
          <w:tcPr>
            <w:tcW w:w="3422" w:type="dxa"/>
            <w:tcBorders>
              <w:top w:val="single" w:sz="3" w:space="0" w:color="000000"/>
              <w:left w:val="single" w:sz="3" w:space="0" w:color="000000"/>
              <w:bottom w:val="single" w:sz="3" w:space="0" w:color="000000"/>
              <w:right w:val="single" w:sz="3" w:space="0" w:color="000000"/>
            </w:tcBorders>
          </w:tcPr>
          <w:p>
            <w:pPr/>
          </w:p>
        </w:tc>
      </w:tr>
      <w:tr>
        <w:trPr>
          <w:trHeight w:val="320" w:hRule="exact"/>
        </w:trPr>
        <w:tc>
          <w:tcPr>
            <w:tcW w:w="2361" w:type="dxa"/>
            <w:vMerge w:val="restart"/>
            <w:tcBorders>
              <w:top w:val="single" w:sz="3" w:space="0" w:color="000000"/>
              <w:left w:val="single" w:sz="3" w:space="0" w:color="000000"/>
              <w:right w:val="single" w:sz="3" w:space="0" w:color="000000"/>
            </w:tcBorders>
            <w:shd w:val="clear" w:color="auto" w:fill="A6A6A6"/>
          </w:tcPr>
          <w:p>
            <w:pPr>
              <w:pStyle w:val="TableParagraph"/>
              <w:rPr>
                <w:sz w:val="18"/>
              </w:rPr>
            </w:pPr>
          </w:p>
          <w:p>
            <w:pPr>
              <w:pStyle w:val="TableParagraph"/>
              <w:rPr>
                <w:sz w:val="24"/>
              </w:rPr>
            </w:pPr>
          </w:p>
          <w:p>
            <w:pPr>
              <w:pStyle w:val="TableParagraph"/>
              <w:ind w:left="462" w:right="457"/>
              <w:jc w:val="center"/>
              <w:rPr>
                <w:sz w:val="18"/>
              </w:rPr>
            </w:pPr>
            <w:r>
              <w:rPr>
                <w:sz w:val="18"/>
              </w:rPr>
              <w:t>Paso 2.</w:t>
            </w:r>
          </w:p>
          <w:p>
            <w:pPr>
              <w:pStyle w:val="TableParagraph"/>
              <w:spacing w:before="105"/>
              <w:ind w:left="462" w:right="460"/>
              <w:jc w:val="center"/>
              <w:rPr>
                <w:sz w:val="18"/>
              </w:rPr>
            </w:pPr>
            <w:r>
              <w:rPr>
                <w:sz w:val="18"/>
              </w:rPr>
              <w:t>Fabricar el molde</w:t>
            </w:r>
          </w:p>
        </w:tc>
        <w:tc>
          <w:tcPr>
            <w:tcW w:w="2744" w:type="dxa"/>
            <w:tcBorders>
              <w:top w:val="single" w:sz="3" w:space="0" w:color="000000"/>
              <w:left w:val="single" w:sz="3" w:space="0" w:color="000000"/>
              <w:bottom w:val="single" w:sz="3" w:space="0" w:color="000000"/>
              <w:right w:val="single" w:sz="3" w:space="0" w:color="000000"/>
            </w:tcBorders>
          </w:tcPr>
          <w:p>
            <w:pPr>
              <w:pStyle w:val="TableParagraph"/>
              <w:spacing w:line="206" w:lineRule="exact"/>
              <w:ind w:left="333" w:right="327"/>
              <w:jc w:val="center"/>
              <w:rPr>
                <w:sz w:val="18"/>
              </w:rPr>
            </w:pPr>
            <w:r>
              <w:rPr>
                <w:sz w:val="18"/>
              </w:rPr>
              <w:t>Plastilina de escultor</w:t>
            </w:r>
          </w:p>
        </w:tc>
        <w:tc>
          <w:tcPr>
            <w:tcW w:w="3422" w:type="dxa"/>
            <w:tcBorders>
              <w:top w:val="single" w:sz="3" w:space="0" w:color="000000"/>
              <w:left w:val="single" w:sz="3" w:space="0" w:color="000000"/>
              <w:bottom w:val="single" w:sz="3" w:space="0" w:color="000000"/>
              <w:right w:val="single" w:sz="3" w:space="0" w:color="000000"/>
            </w:tcBorders>
          </w:tcPr>
          <w:p>
            <w:pPr>
              <w:pStyle w:val="TableParagraph"/>
              <w:spacing w:line="206" w:lineRule="exact"/>
              <w:ind w:left="511" w:right="508"/>
              <w:jc w:val="center"/>
              <w:rPr>
                <w:sz w:val="18"/>
              </w:rPr>
            </w:pPr>
            <w:r>
              <w:rPr>
                <w:sz w:val="18"/>
              </w:rPr>
              <w:t>400 gr</w:t>
            </w:r>
          </w:p>
        </w:tc>
      </w:tr>
      <w:tr>
        <w:trPr>
          <w:trHeight w:val="324" w:hRule="exact"/>
        </w:trPr>
        <w:tc>
          <w:tcPr>
            <w:tcW w:w="2361" w:type="dxa"/>
            <w:vMerge/>
            <w:tcBorders>
              <w:left w:val="single" w:sz="3" w:space="0" w:color="000000"/>
              <w:right w:val="single" w:sz="3" w:space="0" w:color="000000"/>
            </w:tcBorders>
            <w:shd w:val="clear" w:color="auto" w:fill="A6A6A6"/>
          </w:tcPr>
          <w:p>
            <w:pPr/>
          </w:p>
        </w:tc>
        <w:tc>
          <w:tcPr>
            <w:tcW w:w="2744" w:type="dxa"/>
            <w:tcBorders>
              <w:top w:val="single" w:sz="3" w:space="0" w:color="000000"/>
              <w:left w:val="single" w:sz="3" w:space="0" w:color="000000"/>
              <w:bottom w:val="single" w:sz="3" w:space="0" w:color="000000"/>
              <w:right w:val="single" w:sz="3" w:space="0" w:color="000000"/>
            </w:tcBorders>
          </w:tcPr>
          <w:p>
            <w:pPr>
              <w:pStyle w:val="TableParagraph"/>
              <w:spacing w:line="206" w:lineRule="exact"/>
              <w:ind w:left="333" w:right="327"/>
              <w:jc w:val="center"/>
              <w:rPr>
                <w:sz w:val="18"/>
              </w:rPr>
            </w:pPr>
            <w:r>
              <w:rPr>
                <w:sz w:val="18"/>
              </w:rPr>
              <w:t>Resina poliéster</w:t>
            </w:r>
          </w:p>
        </w:tc>
        <w:tc>
          <w:tcPr>
            <w:tcW w:w="3422" w:type="dxa"/>
            <w:tcBorders>
              <w:top w:val="single" w:sz="3" w:space="0" w:color="000000"/>
              <w:left w:val="single" w:sz="3" w:space="0" w:color="000000"/>
              <w:bottom w:val="single" w:sz="3" w:space="0" w:color="000000"/>
              <w:right w:val="single" w:sz="3" w:space="0" w:color="000000"/>
            </w:tcBorders>
          </w:tcPr>
          <w:p>
            <w:pPr>
              <w:pStyle w:val="TableParagraph"/>
              <w:spacing w:line="206" w:lineRule="exact"/>
              <w:ind w:left="509" w:right="509"/>
              <w:jc w:val="center"/>
              <w:rPr>
                <w:sz w:val="18"/>
              </w:rPr>
            </w:pPr>
            <w:r>
              <w:rPr>
                <w:sz w:val="18"/>
              </w:rPr>
              <w:t>40 gr</w:t>
            </w:r>
          </w:p>
        </w:tc>
      </w:tr>
      <w:tr>
        <w:trPr>
          <w:trHeight w:val="320" w:hRule="exact"/>
        </w:trPr>
        <w:tc>
          <w:tcPr>
            <w:tcW w:w="2361" w:type="dxa"/>
            <w:vMerge/>
            <w:tcBorders>
              <w:left w:val="single" w:sz="3" w:space="0" w:color="000000"/>
              <w:right w:val="single" w:sz="3" w:space="0" w:color="000000"/>
            </w:tcBorders>
            <w:shd w:val="clear" w:color="auto" w:fill="A6A6A6"/>
          </w:tcPr>
          <w:p>
            <w:pPr/>
          </w:p>
        </w:tc>
        <w:tc>
          <w:tcPr>
            <w:tcW w:w="2744" w:type="dxa"/>
            <w:tcBorders>
              <w:top w:val="single" w:sz="3" w:space="0" w:color="000000"/>
              <w:left w:val="single" w:sz="3" w:space="0" w:color="000000"/>
              <w:bottom w:val="single" w:sz="3" w:space="0" w:color="000000"/>
              <w:right w:val="single" w:sz="3" w:space="0" w:color="000000"/>
            </w:tcBorders>
          </w:tcPr>
          <w:p>
            <w:pPr>
              <w:pStyle w:val="TableParagraph"/>
              <w:spacing w:line="202" w:lineRule="exact"/>
              <w:ind w:left="333" w:right="330"/>
              <w:jc w:val="center"/>
              <w:rPr>
                <w:sz w:val="18"/>
              </w:rPr>
            </w:pPr>
            <w:r>
              <w:rPr>
                <w:sz w:val="18"/>
              </w:rPr>
              <w:t>Fibra de Vidrio</w:t>
            </w:r>
          </w:p>
        </w:tc>
        <w:tc>
          <w:tcPr>
            <w:tcW w:w="3422" w:type="dxa"/>
            <w:tcBorders>
              <w:top w:val="single" w:sz="3" w:space="0" w:color="000000"/>
              <w:left w:val="single" w:sz="3" w:space="0" w:color="000000"/>
              <w:bottom w:val="single" w:sz="3" w:space="0" w:color="000000"/>
              <w:right w:val="single" w:sz="3" w:space="0" w:color="000000"/>
            </w:tcBorders>
          </w:tcPr>
          <w:p>
            <w:pPr>
              <w:pStyle w:val="TableParagraph"/>
              <w:spacing w:line="202" w:lineRule="exact"/>
              <w:ind w:left="509" w:right="509"/>
              <w:jc w:val="center"/>
              <w:rPr>
                <w:sz w:val="18"/>
              </w:rPr>
            </w:pPr>
            <w:r>
              <w:rPr>
                <w:sz w:val="18"/>
              </w:rPr>
              <w:t>30 gr</w:t>
            </w:r>
          </w:p>
        </w:tc>
      </w:tr>
      <w:tr>
        <w:trPr>
          <w:trHeight w:val="320" w:hRule="exact"/>
        </w:trPr>
        <w:tc>
          <w:tcPr>
            <w:tcW w:w="2361" w:type="dxa"/>
            <w:vMerge/>
            <w:tcBorders>
              <w:left w:val="single" w:sz="3" w:space="0" w:color="000000"/>
              <w:right w:val="single" w:sz="3" w:space="0" w:color="000000"/>
            </w:tcBorders>
            <w:shd w:val="clear" w:color="auto" w:fill="A6A6A6"/>
          </w:tcPr>
          <w:p>
            <w:pPr/>
          </w:p>
        </w:tc>
        <w:tc>
          <w:tcPr>
            <w:tcW w:w="2744" w:type="dxa"/>
            <w:tcBorders>
              <w:top w:val="single" w:sz="3" w:space="0" w:color="000000"/>
              <w:left w:val="single" w:sz="3" w:space="0" w:color="000000"/>
              <w:bottom w:val="single" w:sz="3" w:space="0" w:color="000000"/>
              <w:right w:val="single" w:sz="3" w:space="0" w:color="000000"/>
            </w:tcBorders>
          </w:tcPr>
          <w:p>
            <w:pPr>
              <w:pStyle w:val="TableParagraph"/>
              <w:spacing w:line="202" w:lineRule="exact"/>
              <w:ind w:left="333" w:right="330"/>
              <w:jc w:val="center"/>
              <w:rPr>
                <w:sz w:val="18"/>
              </w:rPr>
            </w:pPr>
            <w:r>
              <w:rPr>
                <w:sz w:val="18"/>
              </w:rPr>
              <w:t>Estopa</w:t>
            </w:r>
          </w:p>
        </w:tc>
        <w:tc>
          <w:tcPr>
            <w:tcW w:w="3422" w:type="dxa"/>
            <w:tcBorders>
              <w:top w:val="single" w:sz="3" w:space="0" w:color="000000"/>
              <w:left w:val="single" w:sz="3" w:space="0" w:color="000000"/>
              <w:bottom w:val="single" w:sz="3" w:space="0" w:color="000000"/>
              <w:right w:val="single" w:sz="3" w:space="0" w:color="000000"/>
            </w:tcBorders>
          </w:tcPr>
          <w:p>
            <w:pPr>
              <w:pStyle w:val="TableParagraph"/>
              <w:spacing w:line="202" w:lineRule="exact"/>
              <w:ind w:left="511" w:right="508"/>
              <w:jc w:val="center"/>
              <w:rPr>
                <w:sz w:val="18"/>
              </w:rPr>
            </w:pPr>
            <w:r>
              <w:rPr>
                <w:sz w:val="18"/>
              </w:rPr>
              <w:t>800 gr</w:t>
            </w:r>
          </w:p>
        </w:tc>
      </w:tr>
      <w:tr>
        <w:trPr>
          <w:trHeight w:val="320" w:hRule="exact"/>
        </w:trPr>
        <w:tc>
          <w:tcPr>
            <w:tcW w:w="2361" w:type="dxa"/>
            <w:vMerge/>
            <w:tcBorders>
              <w:left w:val="single" w:sz="3" w:space="0" w:color="000000"/>
              <w:bottom w:val="single" w:sz="3" w:space="0" w:color="FFFFFF"/>
              <w:right w:val="single" w:sz="3" w:space="0" w:color="000000"/>
            </w:tcBorders>
            <w:shd w:val="clear" w:color="auto" w:fill="A6A6A6"/>
          </w:tcPr>
          <w:p>
            <w:pPr/>
          </w:p>
        </w:tc>
        <w:tc>
          <w:tcPr>
            <w:tcW w:w="2744" w:type="dxa"/>
            <w:tcBorders>
              <w:top w:val="single" w:sz="3" w:space="0" w:color="000000"/>
              <w:left w:val="single" w:sz="3" w:space="0" w:color="000000"/>
              <w:bottom w:val="single" w:sz="3" w:space="0" w:color="FFFFFF"/>
              <w:right w:val="single" w:sz="3" w:space="0" w:color="000000"/>
            </w:tcBorders>
          </w:tcPr>
          <w:p>
            <w:pPr>
              <w:pStyle w:val="TableParagraph"/>
              <w:spacing w:line="202" w:lineRule="exact"/>
              <w:ind w:left="333" w:right="330"/>
              <w:jc w:val="center"/>
              <w:rPr>
                <w:sz w:val="18"/>
              </w:rPr>
            </w:pPr>
            <w:r>
              <w:rPr>
                <w:sz w:val="18"/>
              </w:rPr>
              <w:t>Thinner</w:t>
            </w:r>
          </w:p>
        </w:tc>
        <w:tc>
          <w:tcPr>
            <w:tcW w:w="3422" w:type="dxa"/>
            <w:tcBorders>
              <w:top w:val="single" w:sz="3" w:space="0" w:color="000000"/>
              <w:left w:val="single" w:sz="3" w:space="0" w:color="000000"/>
              <w:bottom w:val="single" w:sz="3" w:space="0" w:color="FFFFFF"/>
              <w:right w:val="single" w:sz="3" w:space="0" w:color="000000"/>
            </w:tcBorders>
          </w:tcPr>
          <w:p>
            <w:pPr>
              <w:pStyle w:val="TableParagraph"/>
              <w:spacing w:line="202" w:lineRule="exact"/>
              <w:ind w:left="511" w:right="504"/>
              <w:jc w:val="center"/>
              <w:rPr>
                <w:sz w:val="18"/>
              </w:rPr>
            </w:pPr>
            <w:r>
              <w:rPr>
                <w:sz w:val="18"/>
              </w:rPr>
              <w:t>1 litro</w:t>
            </w:r>
          </w:p>
        </w:tc>
      </w:tr>
      <w:tr>
        <w:trPr>
          <w:trHeight w:val="320" w:hRule="exact"/>
        </w:trPr>
        <w:tc>
          <w:tcPr>
            <w:tcW w:w="2361" w:type="dxa"/>
            <w:vMerge w:val="restart"/>
            <w:tcBorders>
              <w:top w:val="single" w:sz="3" w:space="0" w:color="FFFFFF"/>
              <w:left w:val="single" w:sz="3" w:space="0" w:color="000000"/>
              <w:right w:val="single" w:sz="3" w:space="0" w:color="000000"/>
            </w:tcBorders>
            <w:shd w:val="clear" w:color="auto" w:fill="A6A6A6"/>
          </w:tcPr>
          <w:p>
            <w:pPr>
              <w:pStyle w:val="TableParagraph"/>
              <w:spacing w:line="357" w:lineRule="auto" w:before="3"/>
              <w:ind w:left="852" w:right="846" w:firstLine="1"/>
              <w:jc w:val="center"/>
              <w:rPr>
                <w:sz w:val="18"/>
              </w:rPr>
            </w:pPr>
            <w:r>
              <w:rPr>
                <w:sz w:val="18"/>
              </w:rPr>
              <w:t>Paso 3. Vaciado</w:t>
            </w:r>
          </w:p>
        </w:tc>
        <w:tc>
          <w:tcPr>
            <w:tcW w:w="2744" w:type="dxa"/>
            <w:tcBorders>
              <w:top w:val="single" w:sz="3" w:space="0" w:color="FFFFFF"/>
              <w:left w:val="single" w:sz="3" w:space="0" w:color="000000"/>
              <w:bottom w:val="single" w:sz="3" w:space="0" w:color="000000"/>
              <w:right w:val="single" w:sz="3" w:space="0" w:color="000000"/>
            </w:tcBorders>
          </w:tcPr>
          <w:p>
            <w:pPr>
              <w:pStyle w:val="TableParagraph"/>
              <w:spacing w:line="202" w:lineRule="exact"/>
              <w:ind w:left="333" w:right="326"/>
              <w:jc w:val="center"/>
              <w:rPr>
                <w:sz w:val="18"/>
              </w:rPr>
            </w:pPr>
            <w:r>
              <w:rPr>
                <w:sz w:val="18"/>
              </w:rPr>
              <w:t>Agua sucia</w:t>
            </w:r>
          </w:p>
        </w:tc>
        <w:tc>
          <w:tcPr>
            <w:tcW w:w="3422" w:type="dxa"/>
            <w:tcBorders>
              <w:top w:val="single" w:sz="3" w:space="0" w:color="FFFFFF"/>
              <w:left w:val="single" w:sz="3" w:space="0" w:color="000000"/>
              <w:bottom w:val="single" w:sz="3" w:space="0" w:color="000000"/>
              <w:right w:val="single" w:sz="3" w:space="0" w:color="000000"/>
            </w:tcBorders>
          </w:tcPr>
          <w:p>
            <w:pPr>
              <w:pStyle w:val="TableParagraph"/>
              <w:spacing w:line="202" w:lineRule="exact"/>
              <w:ind w:left="511" w:right="506"/>
              <w:jc w:val="center"/>
              <w:rPr>
                <w:sz w:val="18"/>
              </w:rPr>
            </w:pPr>
            <w:r>
              <w:rPr>
                <w:sz w:val="18"/>
              </w:rPr>
              <w:t>10 litros</w:t>
            </w:r>
          </w:p>
        </w:tc>
      </w:tr>
      <w:tr>
        <w:trPr>
          <w:trHeight w:val="321" w:hRule="exact"/>
        </w:trPr>
        <w:tc>
          <w:tcPr>
            <w:tcW w:w="2361" w:type="dxa"/>
            <w:vMerge/>
            <w:tcBorders>
              <w:left w:val="single" w:sz="3" w:space="0" w:color="000000"/>
              <w:bottom w:val="single" w:sz="3" w:space="0" w:color="000000"/>
              <w:right w:val="single" w:sz="3" w:space="0" w:color="000000"/>
            </w:tcBorders>
            <w:shd w:val="clear" w:color="auto" w:fill="A6A6A6"/>
          </w:tcPr>
          <w:p>
            <w:pPr/>
          </w:p>
        </w:tc>
        <w:tc>
          <w:tcPr>
            <w:tcW w:w="2744" w:type="dxa"/>
            <w:tcBorders>
              <w:top w:val="single" w:sz="3" w:space="0" w:color="000000"/>
              <w:left w:val="single" w:sz="3" w:space="0" w:color="000000"/>
              <w:bottom w:val="single" w:sz="3" w:space="0" w:color="000000"/>
              <w:right w:val="single" w:sz="3" w:space="0" w:color="000000"/>
            </w:tcBorders>
          </w:tcPr>
          <w:p>
            <w:pPr>
              <w:pStyle w:val="TableParagraph"/>
              <w:spacing w:line="206" w:lineRule="exact"/>
              <w:ind w:left="333" w:right="327"/>
              <w:jc w:val="center"/>
              <w:rPr>
                <w:sz w:val="18"/>
              </w:rPr>
            </w:pPr>
            <w:r>
              <w:rPr>
                <w:sz w:val="18"/>
              </w:rPr>
              <w:t>Resina poliéster</w:t>
            </w:r>
          </w:p>
        </w:tc>
        <w:tc>
          <w:tcPr>
            <w:tcW w:w="3422" w:type="dxa"/>
            <w:tcBorders>
              <w:top w:val="single" w:sz="3" w:space="0" w:color="000000"/>
              <w:left w:val="single" w:sz="3" w:space="0" w:color="000000"/>
              <w:bottom w:val="single" w:sz="3" w:space="0" w:color="000000"/>
              <w:right w:val="single" w:sz="3" w:space="0" w:color="000000"/>
            </w:tcBorders>
          </w:tcPr>
          <w:p>
            <w:pPr>
              <w:pStyle w:val="TableParagraph"/>
              <w:spacing w:line="206" w:lineRule="exact"/>
              <w:ind w:left="509" w:right="509"/>
              <w:jc w:val="center"/>
              <w:rPr>
                <w:sz w:val="18"/>
              </w:rPr>
            </w:pPr>
            <w:r>
              <w:rPr>
                <w:sz w:val="18"/>
              </w:rPr>
              <w:t>25 gr</w:t>
            </w:r>
          </w:p>
        </w:tc>
      </w:tr>
      <w:tr>
        <w:trPr>
          <w:trHeight w:val="628" w:hRule="exact"/>
        </w:trPr>
        <w:tc>
          <w:tcPr>
            <w:tcW w:w="2361" w:type="dxa"/>
            <w:tcBorders>
              <w:top w:val="single" w:sz="3" w:space="0" w:color="000000"/>
              <w:left w:val="single" w:sz="3" w:space="0" w:color="000000"/>
              <w:bottom w:val="single" w:sz="3" w:space="0" w:color="000000"/>
              <w:right w:val="single" w:sz="3" w:space="0" w:color="000000"/>
            </w:tcBorders>
            <w:shd w:val="clear" w:color="auto" w:fill="A6A6A6"/>
          </w:tcPr>
          <w:p>
            <w:pPr>
              <w:pStyle w:val="TableParagraph"/>
              <w:spacing w:line="357" w:lineRule="auto"/>
              <w:ind w:left="776" w:right="756" w:firstLine="96"/>
              <w:rPr>
                <w:sz w:val="18"/>
              </w:rPr>
            </w:pPr>
            <w:r>
              <w:rPr>
                <w:sz w:val="18"/>
              </w:rPr>
              <w:t>Paso 4. Acabados</w:t>
            </w:r>
          </w:p>
        </w:tc>
        <w:tc>
          <w:tcPr>
            <w:tcW w:w="2744" w:type="dxa"/>
            <w:tcBorders>
              <w:top w:val="single" w:sz="3" w:space="0" w:color="000000"/>
              <w:left w:val="single" w:sz="3" w:space="0" w:color="000000"/>
              <w:bottom w:val="single" w:sz="3" w:space="0" w:color="000000"/>
              <w:right w:val="single" w:sz="3" w:space="0" w:color="000000"/>
            </w:tcBorders>
          </w:tcPr>
          <w:p>
            <w:pPr>
              <w:pStyle w:val="TableParagraph"/>
              <w:spacing w:before="8"/>
              <w:rPr>
                <w:sz w:val="26"/>
              </w:rPr>
            </w:pPr>
          </w:p>
          <w:p>
            <w:pPr>
              <w:pStyle w:val="TableParagraph"/>
              <w:ind w:left="332" w:right="332"/>
              <w:jc w:val="center"/>
              <w:rPr>
                <w:sz w:val="18"/>
              </w:rPr>
            </w:pPr>
            <w:r>
              <w:rPr>
                <w:sz w:val="18"/>
              </w:rPr>
              <w:t>lijas</w:t>
            </w:r>
          </w:p>
        </w:tc>
        <w:tc>
          <w:tcPr>
            <w:tcW w:w="3422" w:type="dxa"/>
            <w:tcBorders>
              <w:top w:val="single" w:sz="3" w:space="0" w:color="000000"/>
              <w:left w:val="single" w:sz="3" w:space="0" w:color="000000"/>
              <w:bottom w:val="single" w:sz="3" w:space="0" w:color="000000"/>
              <w:right w:val="single" w:sz="3" w:space="0" w:color="000000"/>
            </w:tcBorders>
          </w:tcPr>
          <w:p>
            <w:pPr>
              <w:pStyle w:val="TableParagraph"/>
              <w:spacing w:before="8"/>
              <w:rPr>
                <w:sz w:val="26"/>
              </w:rPr>
            </w:pPr>
          </w:p>
          <w:p>
            <w:pPr>
              <w:pStyle w:val="TableParagraph"/>
              <w:ind w:left="511" w:right="509"/>
              <w:jc w:val="center"/>
              <w:rPr>
                <w:sz w:val="18"/>
              </w:rPr>
            </w:pPr>
            <w:r>
              <w:rPr>
                <w:sz w:val="18"/>
              </w:rPr>
              <w:t>15 piezas de 20gr cada pieza</w:t>
            </w:r>
          </w:p>
        </w:tc>
      </w:tr>
    </w:tbl>
    <w:p>
      <w:pPr>
        <w:spacing w:line="206" w:lineRule="exact" w:before="0"/>
        <w:ind w:left="3164" w:right="3164" w:firstLine="0"/>
        <w:jc w:val="center"/>
        <w:rPr>
          <w:sz w:val="18"/>
        </w:rPr>
      </w:pPr>
      <w:r>
        <w:rPr>
          <w:sz w:val="18"/>
        </w:rPr>
        <w:t>(Fuente: Elaboración propia, 2015).</w:t>
      </w:r>
    </w:p>
    <w:p>
      <w:pPr>
        <w:pStyle w:val="BodyText"/>
        <w:rPr>
          <w:sz w:val="18"/>
        </w:rPr>
      </w:pPr>
    </w:p>
    <w:p>
      <w:pPr>
        <w:pStyle w:val="BodyText"/>
        <w:rPr>
          <w:sz w:val="18"/>
        </w:rPr>
      </w:pPr>
    </w:p>
    <w:p>
      <w:pPr>
        <w:pStyle w:val="BodyText"/>
        <w:spacing w:before="6"/>
        <w:rPr>
          <w:sz w:val="26"/>
        </w:rPr>
      </w:pPr>
    </w:p>
    <w:p>
      <w:pPr>
        <w:pStyle w:val="Heading2"/>
        <w:numPr>
          <w:ilvl w:val="3"/>
          <w:numId w:val="61"/>
        </w:numPr>
        <w:tabs>
          <w:tab w:pos="1596" w:val="left" w:leader="none"/>
          <w:tab w:pos="1597" w:val="left" w:leader="none"/>
        </w:tabs>
        <w:spacing w:line="240" w:lineRule="auto" w:before="0" w:after="0"/>
        <w:ind w:left="1597" w:right="0" w:hanging="1417"/>
        <w:jc w:val="left"/>
      </w:pPr>
      <w:bookmarkStart w:name="5.4.3.2. Modelado 3D" w:id="282"/>
      <w:bookmarkEnd w:id="282"/>
      <w:r>
        <w:rPr/>
      </w:r>
      <w:bookmarkStart w:name="_bookmark181" w:id="283"/>
      <w:bookmarkEnd w:id="283"/>
      <w:r>
        <w:rPr/>
      </w:r>
      <w:bookmarkStart w:name="_bookmark181" w:id="284"/>
      <w:bookmarkEnd w:id="284"/>
      <w:r>
        <w:rPr/>
        <w:t>M</w:t>
      </w:r>
      <w:r>
        <w:rPr/>
        <w:t>odelado</w:t>
      </w:r>
      <w:r>
        <w:rPr>
          <w:spacing w:val="-8"/>
        </w:rPr>
        <w:t> </w:t>
      </w:r>
      <w:r>
        <w:rPr/>
        <w:t>3D</w:t>
      </w:r>
    </w:p>
    <w:p>
      <w:pPr>
        <w:pStyle w:val="BodyText"/>
        <w:rPr>
          <w:sz w:val="28"/>
        </w:rPr>
      </w:pPr>
    </w:p>
    <w:p>
      <w:pPr>
        <w:pStyle w:val="BodyText"/>
        <w:spacing w:before="1"/>
        <w:rPr>
          <w:sz w:val="22"/>
        </w:rPr>
      </w:pPr>
    </w:p>
    <w:p>
      <w:pPr>
        <w:pStyle w:val="BodyText"/>
        <w:spacing w:line="362" w:lineRule="auto"/>
        <w:ind w:left="180" w:right="167"/>
      </w:pPr>
      <w:r>
        <w:rPr/>
        <w:t>A continuación veremos una tabla donde veremos el </w:t>
      </w:r>
      <w:r>
        <w:rPr>
          <w:b/>
        </w:rPr>
        <w:t>consumo de energía </w:t>
      </w:r>
      <w:r>
        <w:rPr/>
        <w:t>en el proceso de impresión 3D en PLA, Ver </w:t>
      </w:r>
      <w:hyperlink w:history="true" w:anchor="_bookmark182">
        <w:r>
          <w:rPr/>
          <w:t>Tabla 5.14</w:t>
        </w:r>
      </w:hyperlink>
    </w:p>
    <w:p>
      <w:pPr>
        <w:pStyle w:val="BodyText"/>
      </w:pPr>
    </w:p>
    <w:p>
      <w:pPr>
        <w:pStyle w:val="BodyText"/>
        <w:spacing w:before="139"/>
        <w:ind w:left="180" w:right="1248"/>
      </w:pPr>
      <w:r>
        <w:rPr/>
        <w:t>Proceso Ecoinvent utilizado:</w:t>
      </w:r>
    </w:p>
    <w:p>
      <w:pPr>
        <w:pStyle w:val="ListParagraph"/>
        <w:numPr>
          <w:ilvl w:val="4"/>
          <w:numId w:val="61"/>
        </w:numPr>
        <w:tabs>
          <w:tab w:pos="900" w:val="left" w:leader="none"/>
          <w:tab w:pos="901" w:val="left" w:leader="none"/>
        </w:tabs>
        <w:spacing w:line="240" w:lineRule="auto" w:before="140" w:after="0"/>
        <w:ind w:left="901" w:right="0" w:hanging="361"/>
        <w:jc w:val="left"/>
        <w:rPr>
          <w:sz w:val="24"/>
        </w:rPr>
      </w:pPr>
      <w:r>
        <w:rPr>
          <w:sz w:val="24"/>
        </w:rPr>
        <w:t>Electricity, low voltage {ES}| market for | Alloc Def,</w:t>
      </w:r>
      <w:r>
        <w:rPr>
          <w:spacing w:val="-33"/>
          <w:sz w:val="24"/>
        </w:rPr>
        <w:t> </w:t>
      </w:r>
      <w:r>
        <w:rPr>
          <w:sz w:val="24"/>
        </w:rPr>
        <w:t>U</w:t>
      </w:r>
    </w:p>
    <w:p>
      <w:pPr>
        <w:pStyle w:val="BodyText"/>
      </w:pPr>
    </w:p>
    <w:p>
      <w:pPr>
        <w:pStyle w:val="BodyText"/>
        <w:spacing w:before="6"/>
        <w:rPr>
          <w:sz w:val="23"/>
        </w:rPr>
      </w:pPr>
    </w:p>
    <w:p>
      <w:pPr>
        <w:spacing w:before="0" w:after="4"/>
        <w:ind w:left="1797" w:right="1248" w:firstLine="0"/>
        <w:jc w:val="left"/>
        <w:rPr>
          <w:sz w:val="18"/>
        </w:rPr>
      </w:pPr>
      <w:bookmarkStart w:name="_bookmark182" w:id="285"/>
      <w:bookmarkEnd w:id="285"/>
      <w:r>
        <w:rPr/>
      </w:r>
      <w:r>
        <w:rPr>
          <w:sz w:val="18"/>
        </w:rPr>
        <w:t>Tabla 5.14.Consumo de energía utilizado en el proceso de impresión 3D.</w:t>
      </w: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433"/>
        <w:gridCol w:w="1492"/>
        <w:gridCol w:w="1605"/>
        <w:gridCol w:w="1596"/>
        <w:gridCol w:w="1857"/>
      </w:tblGrid>
      <w:tr>
        <w:trPr>
          <w:trHeight w:val="630" w:hRule="exact"/>
        </w:trPr>
        <w:tc>
          <w:tcPr>
            <w:tcW w:w="2433" w:type="dxa"/>
          </w:tcPr>
          <w:p>
            <w:pPr/>
          </w:p>
        </w:tc>
        <w:tc>
          <w:tcPr>
            <w:tcW w:w="1492" w:type="dxa"/>
            <w:shd w:val="clear" w:color="auto" w:fill="A6A6A6"/>
          </w:tcPr>
          <w:p>
            <w:pPr>
              <w:pStyle w:val="TableParagraph"/>
              <w:spacing w:before="10"/>
              <w:rPr>
                <w:sz w:val="26"/>
              </w:rPr>
            </w:pPr>
          </w:p>
          <w:p>
            <w:pPr>
              <w:pStyle w:val="TableParagraph"/>
              <w:ind w:left="482" w:right="481"/>
              <w:jc w:val="center"/>
              <w:rPr>
                <w:sz w:val="18"/>
              </w:rPr>
            </w:pPr>
            <w:r>
              <w:rPr>
                <w:sz w:val="18"/>
              </w:rPr>
              <w:t>Horas</w:t>
            </w:r>
          </w:p>
        </w:tc>
        <w:tc>
          <w:tcPr>
            <w:tcW w:w="1605" w:type="dxa"/>
            <w:shd w:val="clear" w:color="auto" w:fill="A6A6A6"/>
          </w:tcPr>
          <w:p>
            <w:pPr>
              <w:pStyle w:val="TableParagraph"/>
              <w:spacing w:before="10"/>
              <w:rPr>
                <w:sz w:val="26"/>
              </w:rPr>
            </w:pPr>
          </w:p>
          <w:p>
            <w:pPr>
              <w:pStyle w:val="TableParagraph"/>
              <w:ind w:left="5"/>
              <w:jc w:val="center"/>
              <w:rPr>
                <w:sz w:val="18"/>
              </w:rPr>
            </w:pPr>
            <w:r>
              <w:rPr>
                <w:w w:val="100"/>
                <w:sz w:val="18"/>
              </w:rPr>
              <w:t>W</w:t>
            </w:r>
          </w:p>
        </w:tc>
        <w:tc>
          <w:tcPr>
            <w:tcW w:w="1596" w:type="dxa"/>
            <w:shd w:val="clear" w:color="auto" w:fill="A6A6A6"/>
          </w:tcPr>
          <w:p>
            <w:pPr>
              <w:pStyle w:val="TableParagraph"/>
              <w:spacing w:line="362" w:lineRule="auto"/>
              <w:ind w:left="235" w:right="62" w:hanging="160"/>
              <w:rPr>
                <w:sz w:val="18"/>
              </w:rPr>
            </w:pPr>
            <w:r>
              <w:rPr>
                <w:sz w:val="18"/>
              </w:rPr>
              <w:t>Consumo energía eléctrica (Wh)</w:t>
            </w:r>
          </w:p>
        </w:tc>
        <w:tc>
          <w:tcPr>
            <w:tcW w:w="1857" w:type="dxa"/>
            <w:shd w:val="clear" w:color="auto" w:fill="A6A6A6"/>
          </w:tcPr>
          <w:p>
            <w:pPr>
              <w:pStyle w:val="TableParagraph"/>
              <w:spacing w:before="10"/>
              <w:rPr>
                <w:sz w:val="26"/>
              </w:rPr>
            </w:pPr>
          </w:p>
          <w:p>
            <w:pPr>
              <w:pStyle w:val="TableParagraph"/>
              <w:ind w:left="107" w:right="110"/>
              <w:jc w:val="center"/>
              <w:rPr>
                <w:sz w:val="18"/>
              </w:rPr>
            </w:pPr>
            <w:r>
              <w:rPr>
                <w:sz w:val="18"/>
              </w:rPr>
              <w:t>Equipo de consumo</w:t>
            </w:r>
          </w:p>
        </w:tc>
      </w:tr>
      <w:tr>
        <w:trPr>
          <w:trHeight w:val="632" w:hRule="exact"/>
        </w:trPr>
        <w:tc>
          <w:tcPr>
            <w:tcW w:w="2433" w:type="dxa"/>
            <w:shd w:val="clear" w:color="auto" w:fill="A6A6A6"/>
          </w:tcPr>
          <w:p>
            <w:pPr>
              <w:pStyle w:val="TableParagraph"/>
              <w:spacing w:before="8"/>
              <w:rPr>
                <w:sz w:val="26"/>
              </w:rPr>
            </w:pPr>
          </w:p>
          <w:p>
            <w:pPr>
              <w:pStyle w:val="TableParagraph"/>
              <w:ind w:left="348"/>
              <w:rPr>
                <w:sz w:val="18"/>
              </w:rPr>
            </w:pPr>
            <w:r>
              <w:rPr>
                <w:sz w:val="18"/>
              </w:rPr>
              <w:t>1. Diseño del escultor</w:t>
            </w:r>
          </w:p>
        </w:tc>
        <w:tc>
          <w:tcPr>
            <w:tcW w:w="1492" w:type="dxa"/>
          </w:tcPr>
          <w:p>
            <w:pPr>
              <w:pStyle w:val="TableParagraph"/>
              <w:spacing w:before="8"/>
              <w:rPr>
                <w:sz w:val="26"/>
              </w:rPr>
            </w:pPr>
          </w:p>
          <w:p>
            <w:pPr>
              <w:pStyle w:val="TableParagraph"/>
              <w:ind w:left="482" w:right="479"/>
              <w:jc w:val="center"/>
              <w:rPr>
                <w:sz w:val="18"/>
              </w:rPr>
            </w:pPr>
            <w:r>
              <w:rPr>
                <w:sz w:val="18"/>
              </w:rPr>
              <w:t>10</w:t>
            </w:r>
          </w:p>
        </w:tc>
        <w:tc>
          <w:tcPr>
            <w:tcW w:w="1605" w:type="dxa"/>
          </w:tcPr>
          <w:p>
            <w:pPr>
              <w:pStyle w:val="TableParagraph"/>
              <w:spacing w:before="8"/>
              <w:rPr>
                <w:sz w:val="26"/>
              </w:rPr>
            </w:pPr>
          </w:p>
          <w:p>
            <w:pPr>
              <w:pStyle w:val="TableParagraph"/>
              <w:ind w:left="483" w:right="483"/>
              <w:jc w:val="center"/>
              <w:rPr>
                <w:sz w:val="18"/>
              </w:rPr>
            </w:pPr>
            <w:r>
              <w:rPr>
                <w:sz w:val="18"/>
              </w:rPr>
              <w:t>Manual</w:t>
            </w:r>
          </w:p>
        </w:tc>
        <w:tc>
          <w:tcPr>
            <w:tcW w:w="1596" w:type="dxa"/>
          </w:tcPr>
          <w:p>
            <w:pPr>
              <w:pStyle w:val="TableParagraph"/>
              <w:spacing w:before="8"/>
              <w:rPr>
                <w:sz w:val="26"/>
              </w:rPr>
            </w:pPr>
          </w:p>
          <w:p>
            <w:pPr>
              <w:pStyle w:val="TableParagraph"/>
              <w:ind w:left="592" w:right="62"/>
              <w:rPr>
                <w:sz w:val="18"/>
              </w:rPr>
            </w:pPr>
            <w:r>
              <w:rPr>
                <w:sz w:val="18"/>
              </w:rPr>
              <w:t>1200</w:t>
            </w:r>
          </w:p>
        </w:tc>
        <w:tc>
          <w:tcPr>
            <w:tcW w:w="1857" w:type="dxa"/>
          </w:tcPr>
          <w:p>
            <w:pPr>
              <w:pStyle w:val="TableParagraph"/>
              <w:spacing w:line="357" w:lineRule="auto"/>
              <w:ind w:left="312" w:right="295" w:firstLine="348"/>
              <w:rPr>
                <w:sz w:val="18"/>
              </w:rPr>
            </w:pPr>
            <w:r>
              <w:rPr>
                <w:sz w:val="18"/>
              </w:rPr>
              <w:t>luz del taller/despacho</w:t>
            </w:r>
          </w:p>
        </w:tc>
      </w:tr>
      <w:tr>
        <w:trPr>
          <w:trHeight w:val="320" w:hRule="exact"/>
        </w:trPr>
        <w:tc>
          <w:tcPr>
            <w:tcW w:w="2433" w:type="dxa"/>
            <w:shd w:val="clear" w:color="auto" w:fill="A6A6A6"/>
          </w:tcPr>
          <w:p>
            <w:pPr>
              <w:pStyle w:val="TableParagraph"/>
              <w:spacing w:line="202" w:lineRule="exact"/>
              <w:ind w:left="596"/>
              <w:rPr>
                <w:sz w:val="18"/>
              </w:rPr>
            </w:pPr>
            <w:r>
              <w:rPr>
                <w:sz w:val="18"/>
              </w:rPr>
              <w:t>2. Dibujo digital</w:t>
            </w:r>
          </w:p>
        </w:tc>
        <w:tc>
          <w:tcPr>
            <w:tcW w:w="1492" w:type="dxa"/>
          </w:tcPr>
          <w:p>
            <w:pPr>
              <w:pStyle w:val="TableParagraph"/>
              <w:spacing w:line="202" w:lineRule="exact"/>
              <w:ind w:left="482" w:right="479"/>
              <w:jc w:val="center"/>
              <w:rPr>
                <w:sz w:val="18"/>
              </w:rPr>
            </w:pPr>
            <w:r>
              <w:rPr>
                <w:sz w:val="18"/>
              </w:rPr>
              <w:t>10</w:t>
            </w:r>
          </w:p>
        </w:tc>
        <w:tc>
          <w:tcPr>
            <w:tcW w:w="1605" w:type="dxa"/>
          </w:tcPr>
          <w:p>
            <w:pPr>
              <w:pStyle w:val="TableParagraph"/>
              <w:spacing w:line="202" w:lineRule="exact"/>
              <w:ind w:left="483" w:right="483"/>
              <w:jc w:val="center"/>
              <w:rPr>
                <w:sz w:val="18"/>
              </w:rPr>
            </w:pPr>
            <w:r>
              <w:rPr>
                <w:sz w:val="18"/>
              </w:rPr>
              <w:t>300</w:t>
            </w:r>
          </w:p>
        </w:tc>
        <w:tc>
          <w:tcPr>
            <w:tcW w:w="1596" w:type="dxa"/>
          </w:tcPr>
          <w:p>
            <w:pPr>
              <w:pStyle w:val="TableParagraph"/>
              <w:spacing w:line="202" w:lineRule="exact"/>
              <w:ind w:left="592" w:right="62"/>
              <w:rPr>
                <w:sz w:val="18"/>
              </w:rPr>
            </w:pPr>
            <w:r>
              <w:rPr>
                <w:sz w:val="18"/>
              </w:rPr>
              <w:t>4200</w:t>
            </w:r>
          </w:p>
        </w:tc>
        <w:tc>
          <w:tcPr>
            <w:tcW w:w="1857" w:type="dxa"/>
          </w:tcPr>
          <w:p>
            <w:pPr>
              <w:pStyle w:val="TableParagraph"/>
              <w:spacing w:line="202" w:lineRule="exact"/>
              <w:ind w:left="105" w:right="110"/>
              <w:jc w:val="center"/>
              <w:rPr>
                <w:sz w:val="18"/>
              </w:rPr>
            </w:pPr>
            <w:r>
              <w:rPr>
                <w:sz w:val="18"/>
              </w:rPr>
              <w:t>ordenador + luz</w:t>
            </w:r>
          </w:p>
        </w:tc>
      </w:tr>
      <w:tr>
        <w:trPr>
          <w:trHeight w:val="320" w:hRule="exact"/>
        </w:trPr>
        <w:tc>
          <w:tcPr>
            <w:tcW w:w="2433" w:type="dxa"/>
            <w:shd w:val="clear" w:color="auto" w:fill="A6A6A6"/>
          </w:tcPr>
          <w:p>
            <w:pPr>
              <w:pStyle w:val="TableParagraph"/>
              <w:spacing w:line="206" w:lineRule="exact"/>
              <w:ind w:left="716"/>
              <w:rPr>
                <w:sz w:val="18"/>
              </w:rPr>
            </w:pPr>
            <w:r>
              <w:rPr>
                <w:sz w:val="18"/>
              </w:rPr>
              <w:t>3. Impresión</w:t>
            </w:r>
          </w:p>
        </w:tc>
        <w:tc>
          <w:tcPr>
            <w:tcW w:w="1492" w:type="dxa"/>
          </w:tcPr>
          <w:p>
            <w:pPr>
              <w:pStyle w:val="TableParagraph"/>
              <w:spacing w:line="206" w:lineRule="exact"/>
              <w:ind w:left="482" w:right="479"/>
              <w:jc w:val="center"/>
              <w:rPr>
                <w:sz w:val="18"/>
              </w:rPr>
            </w:pPr>
            <w:r>
              <w:rPr>
                <w:sz w:val="18"/>
              </w:rPr>
              <w:t>14</w:t>
            </w:r>
          </w:p>
        </w:tc>
        <w:tc>
          <w:tcPr>
            <w:tcW w:w="1605" w:type="dxa"/>
          </w:tcPr>
          <w:p>
            <w:pPr>
              <w:pStyle w:val="TableParagraph"/>
              <w:spacing w:line="206" w:lineRule="exact"/>
              <w:ind w:left="483" w:right="483"/>
              <w:jc w:val="center"/>
              <w:rPr>
                <w:sz w:val="18"/>
              </w:rPr>
            </w:pPr>
            <w:r>
              <w:rPr>
                <w:sz w:val="18"/>
              </w:rPr>
              <w:t>200</w:t>
            </w:r>
          </w:p>
        </w:tc>
        <w:tc>
          <w:tcPr>
            <w:tcW w:w="1596" w:type="dxa"/>
          </w:tcPr>
          <w:p>
            <w:pPr>
              <w:pStyle w:val="TableParagraph"/>
              <w:spacing w:line="206" w:lineRule="exact"/>
              <w:ind w:left="592" w:right="62"/>
              <w:rPr>
                <w:sz w:val="18"/>
              </w:rPr>
            </w:pPr>
            <w:r>
              <w:rPr>
                <w:sz w:val="18"/>
              </w:rPr>
              <w:t>4480</w:t>
            </w:r>
          </w:p>
        </w:tc>
        <w:tc>
          <w:tcPr>
            <w:tcW w:w="1857" w:type="dxa"/>
          </w:tcPr>
          <w:p>
            <w:pPr>
              <w:pStyle w:val="TableParagraph"/>
              <w:spacing w:line="206" w:lineRule="exact"/>
              <w:ind w:left="107" w:right="108"/>
              <w:jc w:val="center"/>
              <w:rPr>
                <w:sz w:val="18"/>
              </w:rPr>
            </w:pPr>
            <w:r>
              <w:rPr>
                <w:sz w:val="18"/>
              </w:rPr>
              <w:t>impresora + luz</w:t>
            </w:r>
          </w:p>
        </w:tc>
      </w:tr>
      <w:tr>
        <w:trPr>
          <w:trHeight w:val="632" w:hRule="exact"/>
        </w:trPr>
        <w:tc>
          <w:tcPr>
            <w:tcW w:w="2433" w:type="dxa"/>
            <w:shd w:val="clear" w:color="auto" w:fill="A6A6A6"/>
          </w:tcPr>
          <w:p>
            <w:pPr>
              <w:pStyle w:val="TableParagraph"/>
              <w:spacing w:before="8"/>
              <w:rPr>
                <w:sz w:val="26"/>
              </w:rPr>
            </w:pPr>
          </w:p>
          <w:p>
            <w:pPr>
              <w:pStyle w:val="TableParagraph"/>
              <w:ind w:left="463"/>
              <w:rPr>
                <w:sz w:val="18"/>
              </w:rPr>
            </w:pPr>
            <w:r>
              <w:rPr>
                <w:sz w:val="18"/>
              </w:rPr>
              <w:t>4. Eliminar soporte</w:t>
            </w:r>
          </w:p>
        </w:tc>
        <w:tc>
          <w:tcPr>
            <w:tcW w:w="1492" w:type="dxa"/>
          </w:tcPr>
          <w:p>
            <w:pPr>
              <w:pStyle w:val="TableParagraph"/>
              <w:spacing w:before="8"/>
              <w:rPr>
                <w:sz w:val="26"/>
              </w:rPr>
            </w:pPr>
          </w:p>
          <w:p>
            <w:pPr>
              <w:pStyle w:val="TableParagraph"/>
              <w:jc w:val="center"/>
              <w:rPr>
                <w:sz w:val="18"/>
              </w:rPr>
            </w:pPr>
            <w:r>
              <w:rPr>
                <w:w w:val="99"/>
                <w:sz w:val="18"/>
              </w:rPr>
              <w:t>3</w:t>
            </w:r>
          </w:p>
        </w:tc>
        <w:tc>
          <w:tcPr>
            <w:tcW w:w="1605" w:type="dxa"/>
          </w:tcPr>
          <w:p>
            <w:pPr>
              <w:pStyle w:val="TableParagraph"/>
              <w:spacing w:before="8"/>
              <w:rPr>
                <w:sz w:val="26"/>
              </w:rPr>
            </w:pPr>
          </w:p>
          <w:p>
            <w:pPr>
              <w:pStyle w:val="TableParagraph"/>
              <w:ind w:left="483" w:right="483"/>
              <w:jc w:val="center"/>
              <w:rPr>
                <w:sz w:val="18"/>
              </w:rPr>
            </w:pPr>
            <w:r>
              <w:rPr>
                <w:sz w:val="18"/>
              </w:rPr>
              <w:t>Manual</w:t>
            </w:r>
          </w:p>
        </w:tc>
        <w:tc>
          <w:tcPr>
            <w:tcW w:w="1596" w:type="dxa"/>
          </w:tcPr>
          <w:p>
            <w:pPr>
              <w:pStyle w:val="TableParagraph"/>
              <w:spacing w:before="8"/>
              <w:rPr>
                <w:sz w:val="26"/>
              </w:rPr>
            </w:pPr>
          </w:p>
          <w:p>
            <w:pPr>
              <w:pStyle w:val="TableParagraph"/>
              <w:ind w:left="624" w:right="624"/>
              <w:jc w:val="center"/>
              <w:rPr>
                <w:sz w:val="18"/>
              </w:rPr>
            </w:pPr>
            <w:r>
              <w:rPr>
                <w:sz w:val="18"/>
              </w:rPr>
              <w:t>360</w:t>
            </w:r>
          </w:p>
        </w:tc>
        <w:tc>
          <w:tcPr>
            <w:tcW w:w="1857" w:type="dxa"/>
          </w:tcPr>
          <w:p>
            <w:pPr>
              <w:pStyle w:val="TableParagraph"/>
              <w:spacing w:line="357" w:lineRule="auto"/>
              <w:ind w:left="532" w:right="402" w:hanging="116"/>
              <w:rPr>
                <w:sz w:val="18"/>
              </w:rPr>
            </w:pPr>
            <w:r>
              <w:rPr>
                <w:sz w:val="18"/>
              </w:rPr>
              <w:t>luz del taller/ despacho</w:t>
            </w:r>
          </w:p>
        </w:tc>
      </w:tr>
      <w:tr>
        <w:trPr>
          <w:trHeight w:val="321" w:hRule="exact"/>
        </w:trPr>
        <w:tc>
          <w:tcPr>
            <w:tcW w:w="2433" w:type="dxa"/>
          </w:tcPr>
          <w:p>
            <w:pPr/>
          </w:p>
        </w:tc>
        <w:tc>
          <w:tcPr>
            <w:tcW w:w="1492" w:type="dxa"/>
          </w:tcPr>
          <w:p>
            <w:pPr>
              <w:pStyle w:val="TableParagraph"/>
              <w:spacing w:line="202" w:lineRule="exact"/>
              <w:ind w:left="482" w:right="479"/>
              <w:jc w:val="center"/>
              <w:rPr>
                <w:sz w:val="18"/>
              </w:rPr>
            </w:pPr>
            <w:r>
              <w:rPr>
                <w:sz w:val="18"/>
              </w:rPr>
              <w:t>37</w:t>
            </w:r>
          </w:p>
        </w:tc>
        <w:tc>
          <w:tcPr>
            <w:tcW w:w="1605" w:type="dxa"/>
          </w:tcPr>
          <w:p>
            <w:pPr/>
          </w:p>
        </w:tc>
        <w:tc>
          <w:tcPr>
            <w:tcW w:w="1596" w:type="dxa"/>
          </w:tcPr>
          <w:p>
            <w:pPr>
              <w:pStyle w:val="TableParagraph"/>
              <w:spacing w:line="202" w:lineRule="exact"/>
              <w:ind w:left="544" w:right="62"/>
              <w:rPr>
                <w:sz w:val="18"/>
              </w:rPr>
            </w:pPr>
            <w:r>
              <w:rPr>
                <w:sz w:val="18"/>
              </w:rPr>
              <w:t>10240</w:t>
            </w:r>
          </w:p>
        </w:tc>
        <w:tc>
          <w:tcPr>
            <w:tcW w:w="1857" w:type="dxa"/>
          </w:tcPr>
          <w:p>
            <w:pPr/>
          </w:p>
        </w:tc>
      </w:tr>
      <w:tr>
        <w:trPr>
          <w:trHeight w:val="632" w:hRule="exact"/>
        </w:trPr>
        <w:tc>
          <w:tcPr>
            <w:tcW w:w="3925" w:type="dxa"/>
            <w:gridSpan w:val="2"/>
          </w:tcPr>
          <w:p>
            <w:pPr>
              <w:pStyle w:val="TableParagraph"/>
              <w:spacing w:line="357" w:lineRule="auto"/>
              <w:ind w:left="1688" w:right="192" w:hanging="1485"/>
              <w:rPr>
                <w:sz w:val="18"/>
              </w:rPr>
            </w:pPr>
            <w:r>
              <w:rPr>
                <w:sz w:val="18"/>
              </w:rPr>
              <w:t>Watios de la luz del taller (aplica a todas las fases):</w:t>
            </w:r>
          </w:p>
        </w:tc>
        <w:tc>
          <w:tcPr>
            <w:tcW w:w="1605" w:type="dxa"/>
          </w:tcPr>
          <w:p>
            <w:pPr>
              <w:pStyle w:val="TableParagraph"/>
              <w:spacing w:before="8"/>
              <w:rPr>
                <w:sz w:val="26"/>
              </w:rPr>
            </w:pPr>
          </w:p>
          <w:p>
            <w:pPr>
              <w:pStyle w:val="TableParagraph"/>
              <w:ind w:left="483" w:right="483"/>
              <w:jc w:val="center"/>
              <w:rPr>
                <w:sz w:val="18"/>
              </w:rPr>
            </w:pPr>
            <w:r>
              <w:rPr>
                <w:sz w:val="18"/>
              </w:rPr>
              <w:t>120</w:t>
            </w:r>
          </w:p>
        </w:tc>
        <w:tc>
          <w:tcPr>
            <w:tcW w:w="3453" w:type="dxa"/>
            <w:gridSpan w:val="2"/>
            <w:tcBorders>
              <w:bottom w:val="nil"/>
              <w:right w:val="nil"/>
            </w:tcBorders>
          </w:tcPr>
          <w:p>
            <w:pPr/>
          </w:p>
        </w:tc>
      </w:tr>
    </w:tbl>
    <w:p>
      <w:pPr>
        <w:spacing w:line="202" w:lineRule="exact" w:before="0"/>
        <w:ind w:left="3164" w:right="3164" w:firstLine="0"/>
        <w:jc w:val="center"/>
        <w:rPr>
          <w:sz w:val="18"/>
        </w:rPr>
      </w:pPr>
      <w:r>
        <w:rPr>
          <w:sz w:val="18"/>
        </w:rPr>
        <w:t>(Fuente: Elaboración propia, 2015).</w:t>
      </w:r>
    </w:p>
    <w:p>
      <w:pPr>
        <w:spacing w:after="0" w:line="202" w:lineRule="exact"/>
        <w:jc w:val="center"/>
        <w:rPr>
          <w:sz w:val="18"/>
        </w:rPr>
        <w:sectPr>
          <w:pgSz w:w="12240" w:h="15840"/>
          <w:pgMar w:header="0" w:footer="1031" w:top="1360" w:bottom="1220" w:left="1520" w:right="1520"/>
        </w:sectPr>
      </w:pPr>
    </w:p>
    <w:p>
      <w:pPr>
        <w:pStyle w:val="BodyText"/>
        <w:spacing w:line="362" w:lineRule="auto" w:before="51"/>
        <w:ind w:left="180" w:right="177"/>
        <w:jc w:val="both"/>
      </w:pPr>
      <w:r>
        <w:rPr/>
        <w:t>En la siguiente </w:t>
      </w:r>
      <w:hyperlink w:history="true" w:anchor="_bookmark183">
        <w:r>
          <w:rPr/>
          <w:t>Tabla 5.15</w:t>
        </w:r>
      </w:hyperlink>
      <w:r>
        <w:rPr/>
        <w:t> se observa el </w:t>
      </w:r>
      <w:r>
        <w:rPr>
          <w:b/>
        </w:rPr>
        <w:t>Material </w:t>
      </w:r>
      <w:r>
        <w:rPr/>
        <w:t>utilizado en la impresión 3D con bobina de PLA. Es importante destacar que no existe el uso de otros materiales en ninguna fase. La densidad PLA=1210 to 1430 Kg/m3</w:t>
      </w:r>
    </w:p>
    <w:p>
      <w:pPr>
        <w:pStyle w:val="BodyText"/>
        <w:spacing w:before="9"/>
        <w:rPr>
          <w:sz w:val="35"/>
        </w:rPr>
      </w:pPr>
    </w:p>
    <w:p>
      <w:pPr>
        <w:spacing w:before="0" w:after="8"/>
        <w:ind w:left="2317" w:right="1248" w:firstLine="0"/>
        <w:jc w:val="left"/>
        <w:rPr>
          <w:sz w:val="18"/>
        </w:rPr>
      </w:pPr>
      <w:bookmarkStart w:name="_bookmark183" w:id="286"/>
      <w:bookmarkEnd w:id="286"/>
      <w:r>
        <w:rPr/>
      </w:r>
      <w:r>
        <w:rPr>
          <w:sz w:val="18"/>
        </w:rPr>
        <w:t>Tabla 5.15.Material utilizado en el proceso de impresión 3D.</w:t>
      </w: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256"/>
        <w:gridCol w:w="1473"/>
        <w:gridCol w:w="1324"/>
        <w:gridCol w:w="1649"/>
        <w:gridCol w:w="3281"/>
      </w:tblGrid>
      <w:tr>
        <w:trPr>
          <w:trHeight w:val="630" w:hRule="exact"/>
        </w:trPr>
        <w:tc>
          <w:tcPr>
            <w:tcW w:w="1256" w:type="dxa"/>
          </w:tcPr>
          <w:p>
            <w:pPr/>
          </w:p>
        </w:tc>
        <w:tc>
          <w:tcPr>
            <w:tcW w:w="1473" w:type="dxa"/>
            <w:shd w:val="clear" w:color="auto" w:fill="A6A6A6"/>
          </w:tcPr>
          <w:p>
            <w:pPr>
              <w:pStyle w:val="TableParagraph"/>
              <w:spacing w:line="357" w:lineRule="auto"/>
              <w:ind w:left="64" w:right="550"/>
              <w:rPr>
                <w:sz w:val="18"/>
              </w:rPr>
            </w:pPr>
            <w:r>
              <w:rPr>
                <w:sz w:val="18"/>
              </w:rPr>
              <w:t>Consumo materiales</w:t>
            </w:r>
          </w:p>
        </w:tc>
        <w:tc>
          <w:tcPr>
            <w:tcW w:w="1324" w:type="dxa"/>
            <w:shd w:val="clear" w:color="auto" w:fill="A6A6A6"/>
          </w:tcPr>
          <w:p>
            <w:pPr>
              <w:pStyle w:val="TableParagraph"/>
              <w:spacing w:line="357" w:lineRule="auto"/>
              <w:ind w:left="63" w:right="383"/>
              <w:rPr>
                <w:sz w:val="18"/>
              </w:rPr>
            </w:pPr>
            <w:r>
              <w:rPr>
                <w:sz w:val="18"/>
              </w:rPr>
              <w:t>Volumen pieza (m3)</w:t>
            </w:r>
          </w:p>
        </w:tc>
        <w:tc>
          <w:tcPr>
            <w:tcW w:w="1649" w:type="dxa"/>
            <w:shd w:val="clear" w:color="auto" w:fill="A6A6A6"/>
          </w:tcPr>
          <w:p>
            <w:pPr>
              <w:pStyle w:val="TableParagraph"/>
              <w:spacing w:before="6"/>
              <w:rPr>
                <w:sz w:val="26"/>
              </w:rPr>
            </w:pPr>
          </w:p>
          <w:p>
            <w:pPr>
              <w:pStyle w:val="TableParagraph"/>
              <w:ind w:left="67"/>
              <w:rPr>
                <w:sz w:val="18"/>
              </w:rPr>
            </w:pPr>
            <w:r>
              <w:rPr>
                <w:sz w:val="18"/>
              </w:rPr>
              <w:t>Peso Pieza (kg)</w:t>
            </w:r>
          </w:p>
        </w:tc>
        <w:tc>
          <w:tcPr>
            <w:tcW w:w="3281" w:type="dxa"/>
            <w:shd w:val="clear" w:color="auto" w:fill="A6A6A6"/>
          </w:tcPr>
          <w:p>
            <w:pPr>
              <w:pStyle w:val="TableParagraph"/>
              <w:spacing w:before="6"/>
              <w:rPr>
                <w:sz w:val="26"/>
              </w:rPr>
            </w:pPr>
          </w:p>
          <w:p>
            <w:pPr>
              <w:pStyle w:val="TableParagraph"/>
              <w:ind w:left="68" w:right="76"/>
              <w:rPr>
                <w:sz w:val="18"/>
              </w:rPr>
            </w:pPr>
            <w:r>
              <w:rPr>
                <w:sz w:val="18"/>
              </w:rPr>
              <w:t>Proceso Ecoinvent</w:t>
            </w:r>
          </w:p>
        </w:tc>
      </w:tr>
      <w:tr>
        <w:trPr>
          <w:trHeight w:val="632" w:hRule="exact"/>
        </w:trPr>
        <w:tc>
          <w:tcPr>
            <w:tcW w:w="1256" w:type="dxa"/>
          </w:tcPr>
          <w:p>
            <w:pPr>
              <w:pStyle w:val="TableParagraph"/>
              <w:spacing w:before="8"/>
              <w:rPr>
                <w:sz w:val="26"/>
              </w:rPr>
            </w:pPr>
          </w:p>
          <w:p>
            <w:pPr>
              <w:pStyle w:val="TableParagraph"/>
              <w:ind w:left="68"/>
              <w:rPr>
                <w:sz w:val="18"/>
              </w:rPr>
            </w:pPr>
            <w:r>
              <w:rPr>
                <w:sz w:val="18"/>
              </w:rPr>
              <w:t>3. Impresión</w:t>
            </w:r>
          </w:p>
        </w:tc>
        <w:tc>
          <w:tcPr>
            <w:tcW w:w="1473" w:type="dxa"/>
          </w:tcPr>
          <w:p>
            <w:pPr>
              <w:pStyle w:val="TableParagraph"/>
              <w:spacing w:before="8"/>
              <w:rPr>
                <w:sz w:val="26"/>
              </w:rPr>
            </w:pPr>
          </w:p>
          <w:p>
            <w:pPr>
              <w:pStyle w:val="TableParagraph"/>
              <w:ind w:left="64"/>
              <w:rPr>
                <w:sz w:val="18"/>
              </w:rPr>
            </w:pPr>
            <w:r>
              <w:rPr>
                <w:sz w:val="18"/>
              </w:rPr>
              <w:t>Bobina PLA</w:t>
            </w:r>
          </w:p>
        </w:tc>
        <w:tc>
          <w:tcPr>
            <w:tcW w:w="1324" w:type="dxa"/>
          </w:tcPr>
          <w:p>
            <w:pPr>
              <w:pStyle w:val="TableParagraph"/>
              <w:spacing w:before="8"/>
              <w:rPr>
                <w:sz w:val="26"/>
              </w:rPr>
            </w:pPr>
          </w:p>
          <w:p>
            <w:pPr>
              <w:pStyle w:val="TableParagraph"/>
              <w:ind w:left="63" w:right="106"/>
              <w:rPr>
                <w:sz w:val="18"/>
              </w:rPr>
            </w:pPr>
            <w:r>
              <w:rPr>
                <w:sz w:val="18"/>
              </w:rPr>
              <w:t>0,01008</w:t>
            </w:r>
          </w:p>
        </w:tc>
        <w:tc>
          <w:tcPr>
            <w:tcW w:w="1649" w:type="dxa"/>
          </w:tcPr>
          <w:p>
            <w:pPr>
              <w:pStyle w:val="TableParagraph"/>
              <w:spacing w:before="8"/>
              <w:rPr>
                <w:sz w:val="26"/>
              </w:rPr>
            </w:pPr>
          </w:p>
          <w:p>
            <w:pPr>
              <w:pStyle w:val="TableParagraph"/>
              <w:ind w:left="67"/>
              <w:rPr>
                <w:sz w:val="18"/>
              </w:rPr>
            </w:pPr>
            <w:r>
              <w:rPr>
                <w:sz w:val="18"/>
              </w:rPr>
              <w:t>13,104</w:t>
            </w:r>
          </w:p>
        </w:tc>
        <w:tc>
          <w:tcPr>
            <w:tcW w:w="3281" w:type="dxa"/>
          </w:tcPr>
          <w:p>
            <w:pPr>
              <w:pStyle w:val="TableParagraph"/>
              <w:spacing w:line="362" w:lineRule="auto"/>
              <w:ind w:left="68" w:right="76"/>
              <w:rPr>
                <w:sz w:val="18"/>
              </w:rPr>
            </w:pPr>
            <w:r>
              <w:rPr>
                <w:sz w:val="18"/>
              </w:rPr>
              <w:t>Polylactide, granulate {GLO}| market for | Alloc Def,</w:t>
            </w:r>
            <w:r>
              <w:rPr>
                <w:spacing w:val="-4"/>
                <w:sz w:val="18"/>
              </w:rPr>
              <w:t> </w:t>
            </w:r>
            <w:r>
              <w:rPr>
                <w:sz w:val="18"/>
              </w:rPr>
              <w:t>U</w:t>
            </w:r>
          </w:p>
        </w:tc>
      </w:tr>
    </w:tbl>
    <w:p>
      <w:pPr>
        <w:spacing w:line="202" w:lineRule="exact" w:before="0"/>
        <w:ind w:left="2449" w:right="1248" w:firstLine="0"/>
        <w:jc w:val="left"/>
        <w:rPr>
          <w:sz w:val="18"/>
        </w:rPr>
      </w:pPr>
      <w:r>
        <w:rPr>
          <w:sz w:val="18"/>
        </w:rPr>
        <w:t>(Fuente: Datos de simulación en Sima Pro 8.0, 2015).</w:t>
      </w:r>
    </w:p>
    <w:p>
      <w:pPr>
        <w:pStyle w:val="BodyText"/>
        <w:rPr>
          <w:sz w:val="18"/>
        </w:rPr>
      </w:pPr>
    </w:p>
    <w:p>
      <w:pPr>
        <w:pStyle w:val="BodyText"/>
        <w:spacing w:before="11"/>
        <w:rPr>
          <w:sz w:val="26"/>
        </w:rPr>
      </w:pPr>
    </w:p>
    <w:p>
      <w:pPr>
        <w:pStyle w:val="BodyText"/>
        <w:spacing w:line="362" w:lineRule="auto"/>
        <w:ind w:left="180" w:right="178"/>
        <w:jc w:val="both"/>
      </w:pPr>
      <w:r>
        <w:rPr/>
        <w:t>Dentro del Cuarto Paso de proceso, la generación de </w:t>
      </w:r>
      <w:r>
        <w:rPr>
          <w:b/>
        </w:rPr>
        <w:t>residuos </w:t>
      </w:r>
      <w:r>
        <w:rPr/>
        <w:t>se considera 6,18 cm3 (8,03 gramos) de desperdicio de filamento de PLA que se desecha en la  pieza impresa en 3D. Se han excluido las herramientas y demás materiales que pueden ser reutilizados </w:t>
      </w:r>
      <w:r>
        <w:rPr>
          <w:spacing w:val="-2"/>
        </w:rPr>
        <w:t>más </w:t>
      </w:r>
      <w:r>
        <w:rPr/>
        <w:t>de una</w:t>
      </w:r>
      <w:r>
        <w:rPr>
          <w:spacing w:val="-14"/>
        </w:rPr>
        <w:t> </w:t>
      </w:r>
      <w:r>
        <w:rPr/>
        <w:t>vez.</w:t>
      </w:r>
    </w:p>
    <w:p>
      <w:pPr>
        <w:pStyle w:val="BodyText"/>
      </w:pPr>
    </w:p>
    <w:p>
      <w:pPr>
        <w:pStyle w:val="BodyText"/>
        <w:rPr>
          <w:sz w:val="29"/>
        </w:rPr>
      </w:pPr>
    </w:p>
    <w:p>
      <w:pPr>
        <w:pStyle w:val="Heading2"/>
        <w:spacing w:before="1"/>
        <w:ind w:left="180" w:firstLine="0"/>
      </w:pPr>
      <w:bookmarkStart w:name="5.5.  Evaluación del Impacto Ambiental" w:id="287"/>
      <w:bookmarkEnd w:id="287"/>
      <w:r>
        <w:rPr/>
      </w:r>
      <w:r>
        <w:rPr/>
        <w:t>5.5.  </w:t>
      </w:r>
      <w:bookmarkStart w:name="_bookmark184" w:id="288"/>
      <w:bookmarkEnd w:id="288"/>
      <w:r>
        <w:rPr/>
        <w:t>E</w:t>
      </w:r>
      <w:r>
        <w:rPr/>
        <w:t>valuación del Impacto Ambiental</w:t>
      </w:r>
    </w:p>
    <w:p>
      <w:pPr>
        <w:pStyle w:val="BodyText"/>
        <w:rPr>
          <w:sz w:val="28"/>
        </w:rPr>
      </w:pPr>
    </w:p>
    <w:p>
      <w:pPr>
        <w:pStyle w:val="BodyText"/>
        <w:spacing w:before="4"/>
        <w:rPr>
          <w:sz w:val="22"/>
        </w:rPr>
      </w:pPr>
    </w:p>
    <w:p>
      <w:pPr>
        <w:pStyle w:val="BodyText"/>
        <w:spacing w:line="360" w:lineRule="auto"/>
        <w:ind w:left="180" w:right="186"/>
        <w:jc w:val="both"/>
      </w:pPr>
      <w:r>
        <w:rPr/>
        <w:t>Para evaluar cuál de las dos alternativas de técnicas de modelado tendría menor impacto ambiental se ha utilizado la herramienta profesional de análisis del ciclo  de vida SimaPro 8.0. y los procesos y materiales existentes en la base de datos Ecoinvent v3.1 contenida en el software. Ver </w:t>
      </w:r>
      <w:hyperlink w:history="true" w:anchor="_bookmark185">
        <w:r>
          <w:rPr/>
          <w:t>Tabla</w:t>
        </w:r>
        <w:r>
          <w:rPr>
            <w:spacing w:val="-30"/>
          </w:rPr>
          <w:t> </w:t>
        </w:r>
        <w:r>
          <w:rPr/>
          <w:t>5.16</w:t>
        </w:r>
      </w:hyperlink>
    </w:p>
    <w:p>
      <w:pPr>
        <w:pStyle w:val="BodyText"/>
      </w:pPr>
    </w:p>
    <w:p>
      <w:pPr>
        <w:pStyle w:val="BodyText"/>
        <w:spacing w:before="142"/>
        <w:ind w:left="180"/>
        <w:jc w:val="both"/>
      </w:pPr>
      <w:r>
        <w:rPr/>
        <w:t>A continuación se muestran los resultados de los siguientes indicadores:</w:t>
      </w:r>
    </w:p>
    <w:p>
      <w:pPr>
        <w:pStyle w:val="BodyText"/>
      </w:pPr>
    </w:p>
    <w:p>
      <w:pPr>
        <w:pStyle w:val="BodyText"/>
      </w:pPr>
    </w:p>
    <w:p>
      <w:pPr>
        <w:pStyle w:val="ListParagraph"/>
        <w:numPr>
          <w:ilvl w:val="0"/>
          <w:numId w:val="62"/>
        </w:numPr>
        <w:tabs>
          <w:tab w:pos="900" w:val="left" w:leader="none"/>
          <w:tab w:pos="901" w:val="left" w:leader="none"/>
        </w:tabs>
        <w:spacing w:line="240" w:lineRule="auto" w:before="0" w:after="0"/>
        <w:ind w:left="901" w:right="0" w:hanging="361"/>
        <w:jc w:val="left"/>
        <w:rPr>
          <w:sz w:val="24"/>
        </w:rPr>
      </w:pPr>
      <w:r>
        <w:rPr>
          <w:sz w:val="24"/>
        </w:rPr>
        <w:t>De la metodología de impacto CML I-A</w:t>
      </w:r>
      <w:r>
        <w:rPr>
          <w:spacing w:val="-17"/>
          <w:sz w:val="24"/>
        </w:rPr>
        <w:t> </w:t>
      </w:r>
      <w:r>
        <w:rPr>
          <w:sz w:val="24"/>
        </w:rPr>
        <w:t>v.4.1:</w:t>
      </w:r>
    </w:p>
    <w:p>
      <w:pPr>
        <w:pStyle w:val="BodyText"/>
      </w:pPr>
    </w:p>
    <w:p>
      <w:pPr>
        <w:pStyle w:val="BodyText"/>
        <w:spacing w:before="5"/>
        <w:rPr>
          <w:sz w:val="23"/>
        </w:rPr>
      </w:pPr>
    </w:p>
    <w:p>
      <w:pPr>
        <w:spacing w:before="1" w:after="6"/>
        <w:ind w:left="1993" w:right="1248" w:firstLine="0"/>
        <w:jc w:val="left"/>
        <w:rPr>
          <w:sz w:val="18"/>
        </w:rPr>
      </w:pPr>
      <w:bookmarkStart w:name="_bookmark185" w:id="289"/>
      <w:bookmarkEnd w:id="289"/>
      <w:r>
        <w:rPr/>
      </w:r>
      <w:r>
        <w:rPr>
          <w:sz w:val="18"/>
        </w:rPr>
        <w:t>Tabla 5.16.Indicadores de la metodología de impacto CML I-A v.4.1.</w:t>
      </w:r>
    </w:p>
    <w:tbl>
      <w:tblPr>
        <w:tblW w:w="0" w:type="auto"/>
        <w:jc w:val="left"/>
        <w:tblInd w:w="1313"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6522"/>
      </w:tblGrid>
      <w:tr>
        <w:trPr>
          <w:trHeight w:val="320" w:hRule="exact"/>
        </w:trPr>
        <w:tc>
          <w:tcPr>
            <w:tcW w:w="6522" w:type="dxa"/>
          </w:tcPr>
          <w:p>
            <w:pPr>
              <w:pStyle w:val="TableParagraph"/>
              <w:spacing w:line="206" w:lineRule="exact"/>
              <w:ind w:left="824"/>
              <w:rPr>
                <w:sz w:val="18"/>
              </w:rPr>
            </w:pPr>
            <w:r>
              <w:rPr>
                <w:sz w:val="18"/>
              </w:rPr>
              <w:t>-Calentamiento global, kg CO2eq/ud</w:t>
            </w:r>
          </w:p>
        </w:tc>
      </w:tr>
      <w:tr>
        <w:trPr>
          <w:trHeight w:val="320" w:hRule="exact"/>
        </w:trPr>
        <w:tc>
          <w:tcPr>
            <w:tcW w:w="6522" w:type="dxa"/>
          </w:tcPr>
          <w:p>
            <w:pPr>
              <w:pStyle w:val="TableParagraph"/>
              <w:spacing w:line="206" w:lineRule="exact"/>
              <w:ind w:left="824"/>
              <w:rPr>
                <w:sz w:val="18"/>
              </w:rPr>
            </w:pPr>
            <w:r>
              <w:rPr>
                <w:sz w:val="18"/>
              </w:rPr>
              <w:t>-Potencial de agotamiento de la capa de ozono, kg CFC-11eq/ud</w:t>
            </w:r>
          </w:p>
        </w:tc>
      </w:tr>
      <w:tr>
        <w:trPr>
          <w:trHeight w:val="324" w:hRule="exact"/>
        </w:trPr>
        <w:tc>
          <w:tcPr>
            <w:tcW w:w="6522" w:type="dxa"/>
          </w:tcPr>
          <w:p>
            <w:pPr>
              <w:pStyle w:val="TableParagraph"/>
              <w:spacing w:line="206" w:lineRule="exact"/>
              <w:ind w:left="824"/>
              <w:rPr>
                <w:sz w:val="18"/>
              </w:rPr>
            </w:pPr>
            <w:r>
              <w:rPr>
                <w:sz w:val="18"/>
              </w:rPr>
              <w:t>-Acidificación, kg SO2eq/ud.</w:t>
            </w:r>
          </w:p>
        </w:tc>
      </w:tr>
      <w:tr>
        <w:trPr>
          <w:trHeight w:val="320" w:hRule="exact"/>
        </w:trPr>
        <w:tc>
          <w:tcPr>
            <w:tcW w:w="6522" w:type="dxa"/>
          </w:tcPr>
          <w:p>
            <w:pPr>
              <w:pStyle w:val="TableParagraph"/>
              <w:spacing w:line="202" w:lineRule="exact"/>
              <w:ind w:left="824"/>
              <w:rPr>
                <w:sz w:val="18"/>
              </w:rPr>
            </w:pPr>
            <w:r>
              <w:rPr>
                <w:sz w:val="18"/>
              </w:rPr>
              <w:t>-Eutrofización, kg PO4 eq/ud.</w:t>
            </w:r>
          </w:p>
        </w:tc>
      </w:tr>
      <w:tr>
        <w:trPr>
          <w:trHeight w:val="320" w:hRule="exact"/>
        </w:trPr>
        <w:tc>
          <w:tcPr>
            <w:tcW w:w="6522" w:type="dxa"/>
          </w:tcPr>
          <w:p>
            <w:pPr>
              <w:pStyle w:val="TableParagraph"/>
              <w:spacing w:line="202" w:lineRule="exact"/>
              <w:ind w:left="824"/>
              <w:rPr>
                <w:sz w:val="18"/>
              </w:rPr>
            </w:pPr>
            <w:r>
              <w:rPr>
                <w:sz w:val="18"/>
              </w:rPr>
              <w:t>-Potencial de formación de ozono troposférico, kg C2H4 eq/ud.</w:t>
            </w:r>
          </w:p>
        </w:tc>
      </w:tr>
      <w:tr>
        <w:trPr>
          <w:trHeight w:val="316" w:hRule="exact"/>
        </w:trPr>
        <w:tc>
          <w:tcPr>
            <w:tcW w:w="6522" w:type="dxa"/>
          </w:tcPr>
          <w:p>
            <w:pPr>
              <w:pStyle w:val="TableParagraph"/>
              <w:spacing w:line="202" w:lineRule="exact"/>
              <w:ind w:left="824"/>
              <w:rPr>
                <w:sz w:val="18"/>
              </w:rPr>
            </w:pPr>
            <w:r>
              <w:rPr>
                <w:sz w:val="18"/>
              </w:rPr>
              <w:t>-Potencial de agotamiento de recursos abióticos 18, kg Sb eq/ud.</w:t>
            </w:r>
          </w:p>
        </w:tc>
      </w:tr>
    </w:tbl>
    <w:p>
      <w:pPr>
        <w:spacing w:after="0" w:line="202" w:lineRule="exact"/>
        <w:rPr>
          <w:sz w:val="18"/>
        </w:rPr>
        <w:sectPr>
          <w:pgSz w:w="12240" w:h="15840"/>
          <w:pgMar w:header="0" w:footer="1031" w:top="1360" w:bottom="1220" w:left="1520" w:right="1520"/>
        </w:sectPr>
      </w:pPr>
    </w:p>
    <w:p>
      <w:pPr>
        <w:pStyle w:val="BodyText"/>
        <w:ind w:left="1233"/>
        <w:rPr>
          <w:sz w:val="20"/>
        </w:rPr>
      </w:pPr>
      <w:r>
        <w:rPr>
          <w:sz w:val="20"/>
        </w:rPr>
        <w:pict>
          <v:shape style="width:326.1pt;height:16pt;mso-position-horizontal-relative:char;mso-position-vertical-relative:line" type="#_x0000_t202" filled="false" stroked="true" strokeweight=".39999pt" strokecolor="#000000">
            <w10:anchorlock/>
            <v:textbox inset="0,0,0,0">
              <w:txbxContent>
                <w:p>
                  <w:pPr>
                    <w:spacing w:line="206" w:lineRule="exact" w:before="0"/>
                    <w:ind w:left="824" w:right="0" w:firstLine="0"/>
                    <w:jc w:val="left"/>
                    <w:rPr>
                      <w:sz w:val="18"/>
                    </w:rPr>
                  </w:pPr>
                  <w:r>
                    <w:rPr>
                      <w:sz w:val="18"/>
                    </w:rPr>
                    <w:t>-Potencial de agotamiento de combustibles fósiles, MJ/ud.</w:t>
                  </w:r>
                </w:p>
              </w:txbxContent>
            </v:textbox>
          </v:shape>
        </w:pict>
      </w:r>
      <w:r>
        <w:rPr>
          <w:sz w:val="20"/>
        </w:rPr>
      </w:r>
    </w:p>
    <w:p>
      <w:pPr>
        <w:spacing w:line="174" w:lineRule="exact" w:before="0"/>
        <w:ind w:left="1705" w:right="0" w:firstLine="0"/>
        <w:jc w:val="left"/>
        <w:rPr>
          <w:sz w:val="18"/>
        </w:rPr>
      </w:pPr>
      <w:r>
        <w:rPr>
          <w:sz w:val="18"/>
        </w:rPr>
        <w:t>(Fuente: Institute of Environmental Sciences, Leiden University, 2013).</w:t>
      </w:r>
    </w:p>
    <w:p>
      <w:pPr>
        <w:pStyle w:val="BodyText"/>
        <w:rPr>
          <w:sz w:val="18"/>
        </w:rPr>
      </w:pPr>
    </w:p>
    <w:p>
      <w:pPr>
        <w:pStyle w:val="BodyText"/>
        <w:spacing w:before="4"/>
        <w:rPr>
          <w:sz w:val="21"/>
        </w:rPr>
      </w:pPr>
    </w:p>
    <w:p>
      <w:pPr>
        <w:pStyle w:val="BodyText"/>
        <w:tabs>
          <w:tab w:pos="724" w:val="left" w:leader="none"/>
          <w:tab w:pos="1935" w:val="left" w:leader="none"/>
          <w:tab w:pos="2439" w:val="left" w:leader="none"/>
          <w:tab w:pos="3130" w:val="left" w:leader="none"/>
          <w:tab w:pos="4693" w:val="left" w:leader="none"/>
          <w:tab w:pos="5770" w:val="left" w:leader="none"/>
          <w:tab w:pos="7169" w:val="left" w:leader="none"/>
          <w:tab w:pos="7673" w:val="left" w:leader="none"/>
        </w:tabs>
        <w:spacing w:line="360" w:lineRule="auto"/>
        <w:ind w:left="100" w:right="101"/>
      </w:pPr>
      <w:r>
        <w:rPr/>
        <w:t>Las</w:t>
        <w:tab/>
        <w:t>unidades</w:t>
        <w:tab/>
        <w:t>de</w:t>
        <w:tab/>
        <w:t>esta</w:t>
        <w:tab/>
        <w:t>metodología</w:t>
        <w:tab/>
        <w:t>evalúan</w:t>
        <w:tab/>
        <w:t>cantidades</w:t>
        <w:tab/>
        <w:t>de</w:t>
        <w:tab/>
      </w:r>
      <w:r>
        <w:rPr>
          <w:spacing w:val="-1"/>
        </w:rPr>
        <w:t>substancias </w:t>
      </w:r>
      <w:r>
        <w:rPr/>
        <w:t>equivalentes.</w:t>
      </w:r>
    </w:p>
    <w:p>
      <w:pPr>
        <w:pStyle w:val="BodyText"/>
      </w:pPr>
    </w:p>
    <w:p>
      <w:pPr>
        <w:pStyle w:val="BodyText"/>
        <w:spacing w:line="362" w:lineRule="auto" w:before="142"/>
        <w:ind w:left="100"/>
      </w:pPr>
      <w:r>
        <w:rPr/>
        <w:t>En la siguiente </w:t>
      </w:r>
      <w:hyperlink w:history="true" w:anchor="_bookmark186">
        <w:r>
          <w:rPr/>
          <w:t>Tabla 5.17</w:t>
        </w:r>
      </w:hyperlink>
      <w:r>
        <w:rPr/>
        <w:t> se muestra la metodología Ecoindicador 99 (H), donde podemos apreciar en unidades el impacto a la Salud Humana.</w:t>
      </w:r>
    </w:p>
    <w:p>
      <w:pPr>
        <w:pStyle w:val="BodyText"/>
        <w:spacing w:before="9"/>
        <w:rPr>
          <w:sz w:val="35"/>
        </w:rPr>
      </w:pPr>
    </w:p>
    <w:p>
      <w:pPr>
        <w:spacing w:before="0" w:after="6"/>
        <w:ind w:left="2361" w:right="0" w:firstLine="0"/>
        <w:jc w:val="left"/>
        <w:rPr>
          <w:sz w:val="18"/>
        </w:rPr>
      </w:pPr>
      <w:bookmarkStart w:name="_bookmark186" w:id="290"/>
      <w:bookmarkEnd w:id="290"/>
      <w:r>
        <w:rPr/>
      </w:r>
      <w:r>
        <w:rPr>
          <w:sz w:val="18"/>
        </w:rPr>
        <w:t>Tabla 5.17. De la metodología Ecoindicator 99 (H) v2.10.</w:t>
      </w:r>
    </w:p>
    <w:tbl>
      <w:tblPr>
        <w:tblW w:w="0" w:type="auto"/>
        <w:jc w:val="left"/>
        <w:tblInd w:w="138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473"/>
        <w:gridCol w:w="2769"/>
      </w:tblGrid>
      <w:tr>
        <w:trPr>
          <w:trHeight w:val="328" w:hRule="exact"/>
        </w:trPr>
        <w:tc>
          <w:tcPr>
            <w:tcW w:w="3473" w:type="dxa"/>
          </w:tcPr>
          <w:p>
            <w:pPr>
              <w:pStyle w:val="TableParagraph"/>
              <w:spacing w:line="202" w:lineRule="exact"/>
              <w:ind w:left="599" w:right="600"/>
              <w:jc w:val="center"/>
              <w:rPr>
                <w:sz w:val="18"/>
              </w:rPr>
            </w:pPr>
            <w:r>
              <w:rPr>
                <w:sz w:val="18"/>
              </w:rPr>
              <w:t>Carcinogens</w:t>
            </w:r>
          </w:p>
        </w:tc>
        <w:tc>
          <w:tcPr>
            <w:tcW w:w="2769" w:type="dxa"/>
          </w:tcPr>
          <w:p>
            <w:pPr>
              <w:pStyle w:val="TableParagraph"/>
              <w:spacing w:line="202" w:lineRule="exact"/>
              <w:ind w:left="168" w:right="168"/>
              <w:jc w:val="center"/>
              <w:rPr>
                <w:sz w:val="18"/>
              </w:rPr>
            </w:pPr>
            <w:r>
              <w:rPr>
                <w:sz w:val="18"/>
              </w:rPr>
              <w:t>DALY</w:t>
            </w:r>
          </w:p>
        </w:tc>
      </w:tr>
      <w:tr>
        <w:trPr>
          <w:trHeight w:val="332" w:hRule="exact"/>
        </w:trPr>
        <w:tc>
          <w:tcPr>
            <w:tcW w:w="3473" w:type="dxa"/>
          </w:tcPr>
          <w:p>
            <w:pPr>
              <w:pStyle w:val="TableParagraph"/>
              <w:spacing w:line="202" w:lineRule="exact"/>
              <w:ind w:left="601" w:right="596"/>
              <w:jc w:val="center"/>
              <w:rPr>
                <w:sz w:val="18"/>
              </w:rPr>
            </w:pPr>
            <w:r>
              <w:rPr>
                <w:sz w:val="18"/>
              </w:rPr>
              <w:t>Resp. organics</w:t>
            </w:r>
          </w:p>
        </w:tc>
        <w:tc>
          <w:tcPr>
            <w:tcW w:w="2769" w:type="dxa"/>
          </w:tcPr>
          <w:p>
            <w:pPr>
              <w:pStyle w:val="TableParagraph"/>
              <w:spacing w:line="202" w:lineRule="exact"/>
              <w:ind w:left="168" w:right="168"/>
              <w:jc w:val="center"/>
              <w:rPr>
                <w:sz w:val="18"/>
              </w:rPr>
            </w:pPr>
            <w:r>
              <w:rPr>
                <w:sz w:val="18"/>
              </w:rPr>
              <w:t>DALY</w:t>
            </w:r>
          </w:p>
        </w:tc>
      </w:tr>
      <w:tr>
        <w:trPr>
          <w:trHeight w:val="332" w:hRule="exact"/>
        </w:trPr>
        <w:tc>
          <w:tcPr>
            <w:tcW w:w="3473" w:type="dxa"/>
          </w:tcPr>
          <w:p>
            <w:pPr>
              <w:pStyle w:val="TableParagraph"/>
              <w:spacing w:line="202" w:lineRule="exact"/>
              <w:ind w:left="601" w:right="600"/>
              <w:jc w:val="center"/>
              <w:rPr>
                <w:sz w:val="18"/>
              </w:rPr>
            </w:pPr>
            <w:r>
              <w:rPr>
                <w:sz w:val="18"/>
              </w:rPr>
              <w:t>Resp. inorganics</w:t>
            </w:r>
          </w:p>
        </w:tc>
        <w:tc>
          <w:tcPr>
            <w:tcW w:w="2769" w:type="dxa"/>
          </w:tcPr>
          <w:p>
            <w:pPr>
              <w:pStyle w:val="TableParagraph"/>
              <w:spacing w:line="202" w:lineRule="exact"/>
              <w:ind w:left="168" w:right="168"/>
              <w:jc w:val="center"/>
              <w:rPr>
                <w:sz w:val="18"/>
              </w:rPr>
            </w:pPr>
            <w:r>
              <w:rPr>
                <w:sz w:val="18"/>
              </w:rPr>
              <w:t>DALY</w:t>
            </w:r>
          </w:p>
        </w:tc>
      </w:tr>
      <w:tr>
        <w:trPr>
          <w:trHeight w:val="328" w:hRule="exact"/>
        </w:trPr>
        <w:tc>
          <w:tcPr>
            <w:tcW w:w="3473" w:type="dxa"/>
          </w:tcPr>
          <w:p>
            <w:pPr>
              <w:pStyle w:val="TableParagraph"/>
              <w:spacing w:line="202" w:lineRule="exact"/>
              <w:ind w:left="601" w:right="598"/>
              <w:jc w:val="center"/>
              <w:rPr>
                <w:sz w:val="18"/>
              </w:rPr>
            </w:pPr>
            <w:r>
              <w:rPr>
                <w:sz w:val="18"/>
              </w:rPr>
              <w:t>Climate change</w:t>
            </w:r>
          </w:p>
        </w:tc>
        <w:tc>
          <w:tcPr>
            <w:tcW w:w="2769" w:type="dxa"/>
          </w:tcPr>
          <w:p>
            <w:pPr>
              <w:pStyle w:val="TableParagraph"/>
              <w:spacing w:line="202" w:lineRule="exact"/>
              <w:ind w:left="168" w:right="168"/>
              <w:jc w:val="center"/>
              <w:rPr>
                <w:sz w:val="18"/>
              </w:rPr>
            </w:pPr>
            <w:r>
              <w:rPr>
                <w:sz w:val="18"/>
              </w:rPr>
              <w:t>DALY</w:t>
            </w:r>
          </w:p>
        </w:tc>
      </w:tr>
      <w:tr>
        <w:trPr>
          <w:trHeight w:val="332" w:hRule="exact"/>
        </w:trPr>
        <w:tc>
          <w:tcPr>
            <w:tcW w:w="3473" w:type="dxa"/>
          </w:tcPr>
          <w:p>
            <w:pPr>
              <w:pStyle w:val="TableParagraph"/>
              <w:spacing w:line="202" w:lineRule="exact"/>
              <w:ind w:left="601" w:right="597"/>
              <w:jc w:val="center"/>
              <w:rPr>
                <w:sz w:val="18"/>
              </w:rPr>
            </w:pPr>
            <w:r>
              <w:rPr>
                <w:sz w:val="18"/>
              </w:rPr>
              <w:t>Radiation</w:t>
            </w:r>
          </w:p>
        </w:tc>
        <w:tc>
          <w:tcPr>
            <w:tcW w:w="2769" w:type="dxa"/>
          </w:tcPr>
          <w:p>
            <w:pPr>
              <w:pStyle w:val="TableParagraph"/>
              <w:spacing w:line="202" w:lineRule="exact"/>
              <w:ind w:left="168" w:right="168"/>
              <w:jc w:val="center"/>
              <w:rPr>
                <w:sz w:val="18"/>
              </w:rPr>
            </w:pPr>
            <w:r>
              <w:rPr>
                <w:sz w:val="18"/>
              </w:rPr>
              <w:t>DALY</w:t>
            </w:r>
          </w:p>
        </w:tc>
      </w:tr>
      <w:tr>
        <w:trPr>
          <w:trHeight w:val="328" w:hRule="exact"/>
        </w:trPr>
        <w:tc>
          <w:tcPr>
            <w:tcW w:w="3473" w:type="dxa"/>
          </w:tcPr>
          <w:p>
            <w:pPr>
              <w:pStyle w:val="TableParagraph"/>
              <w:spacing w:line="202" w:lineRule="exact"/>
              <w:ind w:left="599" w:right="600"/>
              <w:jc w:val="center"/>
              <w:rPr>
                <w:sz w:val="18"/>
              </w:rPr>
            </w:pPr>
            <w:r>
              <w:rPr>
                <w:sz w:val="18"/>
              </w:rPr>
              <w:t>Ozone layer</w:t>
            </w:r>
          </w:p>
        </w:tc>
        <w:tc>
          <w:tcPr>
            <w:tcW w:w="2769" w:type="dxa"/>
          </w:tcPr>
          <w:p>
            <w:pPr>
              <w:pStyle w:val="TableParagraph"/>
              <w:spacing w:line="202" w:lineRule="exact"/>
              <w:ind w:left="168" w:right="168"/>
              <w:jc w:val="center"/>
              <w:rPr>
                <w:sz w:val="18"/>
              </w:rPr>
            </w:pPr>
            <w:r>
              <w:rPr>
                <w:sz w:val="18"/>
              </w:rPr>
              <w:t>DALY</w:t>
            </w:r>
          </w:p>
        </w:tc>
      </w:tr>
      <w:tr>
        <w:trPr>
          <w:trHeight w:val="332" w:hRule="exact"/>
        </w:trPr>
        <w:tc>
          <w:tcPr>
            <w:tcW w:w="3473" w:type="dxa"/>
          </w:tcPr>
          <w:p>
            <w:pPr>
              <w:pStyle w:val="TableParagraph"/>
              <w:spacing w:line="202" w:lineRule="exact"/>
              <w:ind w:left="601" w:right="597"/>
              <w:jc w:val="center"/>
              <w:rPr>
                <w:sz w:val="18"/>
              </w:rPr>
            </w:pPr>
            <w:r>
              <w:rPr>
                <w:sz w:val="18"/>
              </w:rPr>
              <w:t>Ecotoxicity</w:t>
            </w:r>
          </w:p>
        </w:tc>
        <w:tc>
          <w:tcPr>
            <w:tcW w:w="2769" w:type="dxa"/>
          </w:tcPr>
          <w:p>
            <w:pPr>
              <w:pStyle w:val="TableParagraph"/>
              <w:spacing w:line="202" w:lineRule="exact"/>
              <w:ind w:left="168" w:right="170"/>
              <w:jc w:val="center"/>
              <w:rPr>
                <w:sz w:val="18"/>
              </w:rPr>
            </w:pPr>
            <w:r>
              <w:rPr>
                <w:sz w:val="18"/>
              </w:rPr>
              <w:t>PAF*m2yr</w:t>
            </w:r>
          </w:p>
        </w:tc>
      </w:tr>
      <w:tr>
        <w:trPr>
          <w:trHeight w:val="332" w:hRule="exact"/>
        </w:trPr>
        <w:tc>
          <w:tcPr>
            <w:tcW w:w="3473" w:type="dxa"/>
          </w:tcPr>
          <w:p>
            <w:pPr>
              <w:pStyle w:val="TableParagraph"/>
              <w:spacing w:line="202" w:lineRule="exact"/>
              <w:ind w:left="601" w:right="600"/>
              <w:jc w:val="center"/>
              <w:rPr>
                <w:sz w:val="18"/>
              </w:rPr>
            </w:pPr>
            <w:r>
              <w:rPr>
                <w:sz w:val="18"/>
              </w:rPr>
              <w:t>Acidification/ Eutrophication</w:t>
            </w:r>
          </w:p>
        </w:tc>
        <w:tc>
          <w:tcPr>
            <w:tcW w:w="2769" w:type="dxa"/>
          </w:tcPr>
          <w:p>
            <w:pPr>
              <w:pStyle w:val="TableParagraph"/>
              <w:spacing w:line="202" w:lineRule="exact"/>
              <w:ind w:left="168" w:right="168"/>
              <w:jc w:val="center"/>
              <w:rPr>
                <w:sz w:val="18"/>
              </w:rPr>
            </w:pPr>
            <w:r>
              <w:rPr>
                <w:sz w:val="18"/>
              </w:rPr>
              <w:t>PDF*m2yr</w:t>
            </w:r>
          </w:p>
        </w:tc>
      </w:tr>
      <w:tr>
        <w:trPr>
          <w:trHeight w:val="328" w:hRule="exact"/>
        </w:trPr>
        <w:tc>
          <w:tcPr>
            <w:tcW w:w="3473" w:type="dxa"/>
          </w:tcPr>
          <w:p>
            <w:pPr>
              <w:pStyle w:val="TableParagraph"/>
              <w:spacing w:line="202" w:lineRule="exact"/>
              <w:ind w:left="601" w:right="599"/>
              <w:jc w:val="center"/>
              <w:rPr>
                <w:sz w:val="18"/>
              </w:rPr>
            </w:pPr>
            <w:r>
              <w:rPr>
                <w:sz w:val="18"/>
              </w:rPr>
              <w:t>Minerals</w:t>
            </w:r>
          </w:p>
        </w:tc>
        <w:tc>
          <w:tcPr>
            <w:tcW w:w="2769" w:type="dxa"/>
          </w:tcPr>
          <w:p>
            <w:pPr>
              <w:pStyle w:val="TableParagraph"/>
              <w:spacing w:line="202" w:lineRule="exact"/>
              <w:ind w:left="168" w:right="163"/>
              <w:jc w:val="center"/>
              <w:rPr>
                <w:sz w:val="18"/>
              </w:rPr>
            </w:pPr>
            <w:r>
              <w:rPr>
                <w:sz w:val="18"/>
              </w:rPr>
              <w:t>MJ surplus</w:t>
            </w:r>
          </w:p>
        </w:tc>
      </w:tr>
      <w:tr>
        <w:trPr>
          <w:trHeight w:val="332" w:hRule="exact"/>
        </w:trPr>
        <w:tc>
          <w:tcPr>
            <w:tcW w:w="3473" w:type="dxa"/>
          </w:tcPr>
          <w:p>
            <w:pPr>
              <w:pStyle w:val="TableParagraph"/>
              <w:spacing w:line="202" w:lineRule="exact"/>
              <w:ind w:left="601" w:right="600"/>
              <w:jc w:val="center"/>
              <w:rPr>
                <w:sz w:val="18"/>
              </w:rPr>
            </w:pPr>
            <w:r>
              <w:rPr>
                <w:sz w:val="18"/>
              </w:rPr>
              <w:t>Fossil fuels</w:t>
            </w:r>
          </w:p>
        </w:tc>
        <w:tc>
          <w:tcPr>
            <w:tcW w:w="2769" w:type="dxa"/>
          </w:tcPr>
          <w:p>
            <w:pPr>
              <w:pStyle w:val="TableParagraph"/>
              <w:spacing w:line="202" w:lineRule="exact"/>
              <w:ind w:left="168" w:right="163"/>
              <w:jc w:val="center"/>
              <w:rPr>
                <w:sz w:val="18"/>
              </w:rPr>
            </w:pPr>
            <w:r>
              <w:rPr>
                <w:sz w:val="18"/>
              </w:rPr>
              <w:t>MJ surplus</w:t>
            </w:r>
          </w:p>
        </w:tc>
      </w:tr>
    </w:tbl>
    <w:p>
      <w:pPr>
        <w:spacing w:line="202" w:lineRule="exact" w:before="0"/>
        <w:ind w:left="262" w:right="263" w:firstLine="0"/>
        <w:jc w:val="center"/>
        <w:rPr>
          <w:sz w:val="18"/>
        </w:rPr>
      </w:pPr>
      <w:r>
        <w:rPr>
          <w:sz w:val="18"/>
        </w:rPr>
        <w:t>(Fuente: Ecoindicator 99 (H) database v2.10”, (PRé Consultants b.v., Amersfoort, The Netherlands, 2013).</w:t>
      </w:r>
    </w:p>
    <w:p>
      <w:pPr>
        <w:pStyle w:val="BodyText"/>
        <w:rPr>
          <w:sz w:val="18"/>
        </w:rPr>
      </w:pPr>
    </w:p>
    <w:p>
      <w:pPr>
        <w:pStyle w:val="BodyText"/>
        <w:spacing w:before="9"/>
        <w:rPr>
          <w:sz w:val="17"/>
        </w:rPr>
      </w:pPr>
    </w:p>
    <w:p>
      <w:pPr>
        <w:spacing w:line="360" w:lineRule="auto" w:before="0"/>
        <w:ind w:left="100" w:right="98" w:firstLine="60"/>
        <w:jc w:val="both"/>
        <w:rPr>
          <w:sz w:val="22"/>
        </w:rPr>
      </w:pPr>
      <w:r>
        <w:rPr>
          <w:sz w:val="22"/>
        </w:rPr>
        <w:t>Las unidades en esta metodología evalúan impactos potenciales sobre la salud humana, sobre la calidad del ecosistema y sobre el agotamiento de recursos, ver </w:t>
      </w:r>
      <w:hyperlink w:history="true" w:anchor="_bookmark187">
        <w:r>
          <w:rPr>
            <w:sz w:val="24"/>
          </w:rPr>
          <w:t>Tabla 5.18</w:t>
        </w:r>
      </w:hyperlink>
      <w:r>
        <w:rPr>
          <w:sz w:val="24"/>
        </w:rPr>
        <w:t> </w:t>
      </w:r>
      <w:r>
        <w:rPr>
          <w:sz w:val="22"/>
        </w:rPr>
        <w:t>significado de las abreviaturas</w:t>
      </w:r>
      <w:r>
        <w:rPr>
          <w:color w:val="636363"/>
          <w:sz w:val="22"/>
        </w:rPr>
        <w:t>:</w:t>
      </w:r>
    </w:p>
    <w:p>
      <w:pPr>
        <w:pStyle w:val="BodyText"/>
        <w:rPr>
          <w:sz w:val="22"/>
        </w:rPr>
      </w:pPr>
    </w:p>
    <w:p>
      <w:pPr>
        <w:spacing w:before="132" w:after="6"/>
        <w:ind w:left="1316" w:right="1089" w:firstLine="0"/>
        <w:jc w:val="center"/>
        <w:rPr>
          <w:sz w:val="18"/>
        </w:rPr>
      </w:pPr>
      <w:bookmarkStart w:name="_bookmark187" w:id="291"/>
      <w:bookmarkEnd w:id="291"/>
      <w:r>
        <w:rPr/>
      </w:r>
      <w:r>
        <w:rPr>
          <w:sz w:val="18"/>
        </w:rPr>
        <w:t>Tabla 5.18. Tabla de significados de equivalencias</w:t>
      </w:r>
    </w:p>
    <w:tbl>
      <w:tblPr>
        <w:tblW w:w="0" w:type="auto"/>
        <w:jc w:val="left"/>
        <w:tblInd w:w="10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6626"/>
      </w:tblGrid>
      <w:tr>
        <w:trPr>
          <w:trHeight w:val="953" w:hRule="exact"/>
        </w:trPr>
        <w:tc>
          <w:tcPr>
            <w:tcW w:w="6626" w:type="dxa"/>
          </w:tcPr>
          <w:p>
            <w:pPr>
              <w:pStyle w:val="TableParagraph"/>
              <w:tabs>
                <w:tab w:pos="2636" w:val="left" w:leader="none"/>
              </w:tabs>
              <w:spacing w:line="203" w:lineRule="exact"/>
              <w:ind w:left="2172" w:right="116"/>
              <w:rPr>
                <w:sz w:val="18"/>
              </w:rPr>
            </w:pPr>
            <w:r>
              <w:rPr>
                <w:sz w:val="18"/>
              </w:rPr>
              <w:t>HH</w:t>
              <w:tab/>
              <w:t>Human</w:t>
            </w:r>
            <w:r>
              <w:rPr>
                <w:spacing w:val="-2"/>
                <w:sz w:val="18"/>
              </w:rPr>
              <w:t> </w:t>
            </w:r>
            <w:r>
              <w:rPr>
                <w:sz w:val="18"/>
              </w:rPr>
              <w:t>Health</w:t>
            </w:r>
          </w:p>
          <w:p>
            <w:pPr>
              <w:pStyle w:val="TableParagraph"/>
              <w:spacing w:line="357" w:lineRule="auto" w:before="105"/>
              <w:ind w:left="2256" w:right="116" w:hanging="2125"/>
              <w:rPr>
                <w:sz w:val="18"/>
              </w:rPr>
            </w:pPr>
            <w:r>
              <w:rPr>
                <w:sz w:val="18"/>
              </w:rPr>
              <w:t>(unit: DALY= Disability adjusted life years; this means different disability caused by diseases are weighted)</w:t>
            </w:r>
          </w:p>
        </w:tc>
      </w:tr>
      <w:tr>
        <w:trPr>
          <w:trHeight w:val="640" w:hRule="exact"/>
        </w:trPr>
        <w:tc>
          <w:tcPr>
            <w:tcW w:w="6626" w:type="dxa"/>
          </w:tcPr>
          <w:p>
            <w:pPr>
              <w:pStyle w:val="TableParagraph"/>
              <w:tabs>
                <w:tab w:pos="2640" w:val="left" w:leader="none"/>
              </w:tabs>
              <w:spacing w:line="202" w:lineRule="exact"/>
              <w:ind w:left="2176" w:right="116"/>
              <w:rPr>
                <w:sz w:val="18"/>
              </w:rPr>
            </w:pPr>
            <w:r>
              <w:rPr>
                <w:sz w:val="18"/>
              </w:rPr>
              <w:t>EQ</w:t>
              <w:tab/>
              <w:t>Ecosystem</w:t>
            </w:r>
            <w:r>
              <w:rPr>
                <w:spacing w:val="-9"/>
                <w:sz w:val="18"/>
              </w:rPr>
              <w:t> </w:t>
            </w:r>
            <w:r>
              <w:rPr>
                <w:sz w:val="18"/>
              </w:rPr>
              <w:t>Quality</w:t>
            </w:r>
          </w:p>
          <w:p>
            <w:pPr>
              <w:pStyle w:val="TableParagraph"/>
              <w:spacing w:before="101"/>
              <w:ind w:left="375" w:right="116"/>
              <w:rPr>
                <w:sz w:val="18"/>
              </w:rPr>
            </w:pPr>
            <w:r>
              <w:rPr>
                <w:sz w:val="18"/>
              </w:rPr>
              <w:t>(unit: PDF*m2yr; PDF= Potentially Disappeared Fraction of plant species)</w:t>
            </w:r>
          </w:p>
        </w:tc>
      </w:tr>
      <w:tr>
        <w:trPr>
          <w:trHeight w:val="953" w:hRule="exact"/>
        </w:trPr>
        <w:tc>
          <w:tcPr>
            <w:tcW w:w="6626" w:type="dxa"/>
          </w:tcPr>
          <w:p>
            <w:pPr>
              <w:pStyle w:val="TableParagraph"/>
              <w:tabs>
                <w:tab w:pos="484" w:val="left" w:leader="none"/>
              </w:tabs>
              <w:spacing w:line="202" w:lineRule="exact"/>
              <w:ind w:right="844"/>
              <w:jc w:val="center"/>
              <w:rPr>
                <w:sz w:val="18"/>
              </w:rPr>
            </w:pPr>
            <w:r>
              <w:rPr>
                <w:sz w:val="18"/>
              </w:rPr>
              <w:t>R</w:t>
              <w:tab/>
              <w:t>Resources</w:t>
            </w:r>
          </w:p>
          <w:p>
            <w:pPr>
              <w:pStyle w:val="TableParagraph"/>
              <w:spacing w:line="357" w:lineRule="auto" w:before="105"/>
              <w:ind w:left="2632" w:right="215" w:hanging="2345"/>
              <w:rPr>
                <w:sz w:val="18"/>
              </w:rPr>
            </w:pPr>
            <w:r>
              <w:rPr>
                <w:sz w:val="18"/>
              </w:rPr>
              <w:t>(unit: MJ surplus energy Additional energy requirement to compensate lower future ore grade)</w:t>
            </w:r>
          </w:p>
        </w:tc>
      </w:tr>
    </w:tbl>
    <w:p>
      <w:pPr>
        <w:spacing w:line="202" w:lineRule="exact" w:before="0"/>
        <w:ind w:left="280" w:right="0" w:firstLine="0"/>
        <w:jc w:val="left"/>
        <w:rPr>
          <w:sz w:val="18"/>
        </w:rPr>
      </w:pPr>
      <w:r>
        <w:rPr>
          <w:sz w:val="18"/>
        </w:rPr>
        <w:t>(Fuente: Ecoindicator 99 (H) database v2.10”, (PRé Consultants b.v., Amersfoort, The Netherlands, 2013).</w:t>
      </w:r>
    </w:p>
    <w:p>
      <w:pPr>
        <w:spacing w:after="0" w:line="202" w:lineRule="exact"/>
        <w:jc w:val="left"/>
        <w:rPr>
          <w:sz w:val="18"/>
        </w:rPr>
        <w:sectPr>
          <w:footerReference w:type="default" r:id="rId207"/>
          <w:footerReference w:type="even" r:id="rId208"/>
          <w:pgSz w:w="12240" w:h="15840"/>
          <w:pgMar w:footer="1031" w:header="0" w:top="1420" w:bottom="1220" w:left="1600" w:right="1600"/>
        </w:sectPr>
      </w:pPr>
    </w:p>
    <w:p>
      <w:pPr>
        <w:pStyle w:val="Heading2"/>
        <w:numPr>
          <w:ilvl w:val="2"/>
          <w:numId w:val="63"/>
        </w:numPr>
        <w:tabs>
          <w:tab w:pos="897" w:val="left" w:leader="none"/>
        </w:tabs>
        <w:spacing w:line="240" w:lineRule="auto" w:before="49" w:after="0"/>
        <w:ind w:left="897" w:right="0" w:hanging="797"/>
        <w:jc w:val="both"/>
      </w:pPr>
      <w:bookmarkStart w:name="5.5.1.  Interpretación de resultados" w:id="292"/>
      <w:bookmarkEnd w:id="292"/>
      <w:r>
        <w:rPr/>
      </w:r>
      <w:bookmarkStart w:name="_bookmark188" w:id="293"/>
      <w:bookmarkEnd w:id="293"/>
      <w:r>
        <w:rPr/>
        <w:t>I</w:t>
      </w:r>
      <w:r>
        <w:rPr/>
        <w:t>nterpretación de</w:t>
      </w:r>
      <w:r>
        <w:rPr>
          <w:spacing w:val="-7"/>
        </w:rPr>
        <w:t> </w:t>
      </w:r>
      <w:r>
        <w:rPr/>
        <w:t>resultados</w:t>
      </w:r>
    </w:p>
    <w:p>
      <w:pPr>
        <w:pStyle w:val="BodyText"/>
        <w:rPr>
          <w:sz w:val="28"/>
        </w:rPr>
      </w:pPr>
    </w:p>
    <w:p>
      <w:pPr>
        <w:pStyle w:val="BodyText"/>
        <w:spacing w:before="8"/>
        <w:rPr>
          <w:sz w:val="22"/>
        </w:rPr>
      </w:pPr>
    </w:p>
    <w:p>
      <w:pPr>
        <w:pStyle w:val="BodyText"/>
        <w:spacing w:line="357" w:lineRule="auto"/>
        <w:ind w:left="100" w:right="108"/>
        <w:jc w:val="both"/>
      </w:pPr>
      <w:r>
        <w:rPr/>
        <w:t>En la interpretación de resultados se comparan las alternativas con las gráficas barras correspondientes.</w:t>
      </w:r>
    </w:p>
    <w:p>
      <w:pPr>
        <w:pStyle w:val="BodyText"/>
      </w:pPr>
    </w:p>
    <w:p>
      <w:pPr>
        <w:pStyle w:val="BodyText"/>
        <w:spacing w:before="6"/>
        <w:rPr>
          <w:sz w:val="29"/>
        </w:rPr>
      </w:pPr>
    </w:p>
    <w:p>
      <w:pPr>
        <w:pStyle w:val="Heading2"/>
        <w:numPr>
          <w:ilvl w:val="3"/>
          <w:numId w:val="63"/>
        </w:numPr>
        <w:tabs>
          <w:tab w:pos="1517" w:val="left" w:leader="none"/>
        </w:tabs>
        <w:spacing w:line="240" w:lineRule="auto" w:before="0" w:after="0"/>
        <w:ind w:left="1517" w:right="0" w:hanging="1417"/>
        <w:jc w:val="both"/>
      </w:pPr>
      <w:bookmarkStart w:name="5.5.1.1. Comparación de alternativas" w:id="294"/>
      <w:bookmarkEnd w:id="294"/>
      <w:r>
        <w:rPr/>
      </w:r>
      <w:bookmarkStart w:name="_bookmark189" w:id="295"/>
      <w:bookmarkEnd w:id="295"/>
      <w:r>
        <w:rPr/>
      </w:r>
      <w:bookmarkStart w:name="_bookmark189" w:id="296"/>
      <w:bookmarkEnd w:id="296"/>
      <w:r>
        <w:rPr/>
        <w:t>C</w:t>
      </w:r>
      <w:r>
        <w:rPr/>
        <w:t>omparación de</w:t>
      </w:r>
      <w:r>
        <w:rPr>
          <w:spacing w:val="-8"/>
        </w:rPr>
        <w:t> </w:t>
      </w:r>
      <w:r>
        <w:rPr/>
        <w:t>alternativas</w:t>
      </w:r>
    </w:p>
    <w:p>
      <w:pPr>
        <w:pStyle w:val="BodyText"/>
        <w:rPr>
          <w:sz w:val="28"/>
        </w:rPr>
      </w:pPr>
    </w:p>
    <w:p>
      <w:pPr>
        <w:pStyle w:val="BodyText"/>
        <w:spacing w:before="4"/>
        <w:rPr>
          <w:sz w:val="22"/>
        </w:rPr>
      </w:pPr>
    </w:p>
    <w:p>
      <w:pPr>
        <w:pStyle w:val="BodyText"/>
        <w:spacing w:line="360" w:lineRule="auto" w:after="6"/>
        <w:ind w:left="100" w:right="100"/>
        <w:jc w:val="both"/>
      </w:pPr>
      <w:r>
        <w:rPr/>
        <w:t>En la siguiente </w:t>
      </w:r>
      <w:hyperlink w:history="true" w:anchor="_bookmark190">
        <w:r>
          <w:rPr/>
          <w:t>Figura 5.9</w:t>
        </w:r>
      </w:hyperlink>
      <w:r>
        <w:rPr/>
        <w:t> se muestra una gráfica donde se comparan 10 indicadores ambientales Eco-indicador en ambos procesos. Se observa que el proceso de escultura artesanal resulta 100% en casi los 10 indicadores.</w:t>
      </w:r>
    </w:p>
    <w:p>
      <w:pPr>
        <w:pStyle w:val="BodyText"/>
        <w:ind w:left="230"/>
        <w:rPr>
          <w:sz w:val="20"/>
        </w:rPr>
      </w:pPr>
      <w:r>
        <w:rPr>
          <w:sz w:val="20"/>
        </w:rPr>
        <w:drawing>
          <wp:inline distT="0" distB="0" distL="0" distR="0">
            <wp:extent cx="5446372" cy="3546729"/>
            <wp:effectExtent l="0" t="0" r="0" b="0"/>
            <wp:docPr id="259" name="image134.png" descr=""/>
            <wp:cNvGraphicFramePr>
              <a:graphicFrameLocks noChangeAspect="1"/>
            </wp:cNvGraphicFramePr>
            <a:graphic>
              <a:graphicData uri="http://schemas.openxmlformats.org/drawingml/2006/picture">
                <pic:pic>
                  <pic:nvPicPr>
                    <pic:cNvPr id="260" name="image134.png"/>
                    <pic:cNvPicPr/>
                  </pic:nvPicPr>
                  <pic:blipFill>
                    <a:blip r:embed="rId209" cstate="print"/>
                    <a:stretch>
                      <a:fillRect/>
                    </a:stretch>
                  </pic:blipFill>
                  <pic:spPr>
                    <a:xfrm>
                      <a:off x="0" y="0"/>
                      <a:ext cx="5446372" cy="3546729"/>
                    </a:xfrm>
                    <a:prstGeom prst="rect">
                      <a:avLst/>
                    </a:prstGeom>
                  </pic:spPr>
                </pic:pic>
              </a:graphicData>
            </a:graphic>
          </wp:inline>
        </w:drawing>
      </w:r>
      <w:r>
        <w:rPr>
          <w:sz w:val="20"/>
        </w:rPr>
      </w:r>
    </w:p>
    <w:p>
      <w:pPr>
        <w:spacing w:before="100"/>
        <w:ind w:left="2633" w:right="1370" w:hanging="1017"/>
        <w:jc w:val="left"/>
        <w:rPr>
          <w:sz w:val="18"/>
        </w:rPr>
      </w:pPr>
      <w:bookmarkStart w:name="_bookmark190" w:id="297"/>
      <w:bookmarkEnd w:id="297"/>
      <w:r>
        <w:rPr/>
      </w:r>
      <w:r>
        <w:rPr>
          <w:sz w:val="18"/>
        </w:rPr>
        <w:t>Figura 5.9. Comparación 10 indicadores ambientales Ecoindicator. (Fuente: Resultados de simulación en Sima Pro 8.0, 2015).</w:t>
      </w:r>
    </w:p>
    <w:p>
      <w:pPr>
        <w:pStyle w:val="BodyText"/>
        <w:rPr>
          <w:sz w:val="18"/>
        </w:rPr>
      </w:pPr>
    </w:p>
    <w:p>
      <w:pPr>
        <w:pStyle w:val="BodyText"/>
        <w:spacing w:before="2"/>
        <w:rPr>
          <w:sz w:val="18"/>
        </w:rPr>
      </w:pPr>
    </w:p>
    <w:p>
      <w:pPr>
        <w:pStyle w:val="BodyText"/>
        <w:spacing w:line="360" w:lineRule="auto"/>
        <w:ind w:left="100" w:right="100"/>
        <w:jc w:val="both"/>
      </w:pPr>
      <w:r>
        <w:rPr/>
        <w:t>En la siguiente tabla se muestra la comparación, de la escultura artesanal con la escultura impresa en 3D,  de 10 indicadores ambientales CML, ver </w:t>
      </w:r>
      <w:hyperlink w:history="true" w:anchor="_bookmark191">
        <w:r>
          <w:rPr/>
          <w:t>Tabla 5.19</w:t>
        </w:r>
      </w:hyperlink>
    </w:p>
    <w:p>
      <w:pPr>
        <w:spacing w:after="0" w:line="360" w:lineRule="auto"/>
        <w:jc w:val="both"/>
        <w:sectPr>
          <w:pgSz w:w="12240" w:h="15840"/>
          <w:pgMar w:header="0" w:footer="1031" w:top="1360" w:bottom="1220" w:left="1600" w:right="1600"/>
        </w:sectPr>
      </w:pPr>
    </w:p>
    <w:p>
      <w:pPr>
        <w:spacing w:before="51" w:after="6"/>
        <w:ind w:left="2341" w:right="1248" w:firstLine="0"/>
        <w:jc w:val="left"/>
        <w:rPr>
          <w:sz w:val="18"/>
        </w:rPr>
      </w:pPr>
      <w:bookmarkStart w:name="_bookmark191" w:id="298"/>
      <w:bookmarkEnd w:id="298"/>
      <w:r>
        <w:rPr/>
      </w:r>
      <w:r>
        <w:rPr>
          <w:sz w:val="18"/>
        </w:rPr>
        <w:t>Tabla 5.19. Comparación 10 indicadores ambientales CML.</w:t>
      </w:r>
    </w:p>
    <w:tbl>
      <w:tblPr>
        <w:tblW w:w="0" w:type="auto"/>
        <w:jc w:val="left"/>
        <w:tblInd w:w="10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933"/>
        <w:gridCol w:w="1484"/>
        <w:gridCol w:w="2785"/>
        <w:gridCol w:w="1781"/>
      </w:tblGrid>
      <w:tr>
        <w:trPr>
          <w:trHeight w:val="320" w:hRule="exact"/>
        </w:trPr>
        <w:tc>
          <w:tcPr>
            <w:tcW w:w="2933" w:type="dxa"/>
          </w:tcPr>
          <w:p>
            <w:pPr>
              <w:pStyle w:val="TableParagraph"/>
              <w:spacing w:line="206" w:lineRule="exact"/>
              <w:ind w:left="277" w:right="268"/>
              <w:jc w:val="center"/>
              <w:rPr>
                <w:sz w:val="18"/>
              </w:rPr>
            </w:pPr>
            <w:r>
              <w:rPr>
                <w:sz w:val="18"/>
              </w:rPr>
              <w:t>Impact category</w:t>
            </w:r>
          </w:p>
        </w:tc>
        <w:tc>
          <w:tcPr>
            <w:tcW w:w="1484" w:type="dxa"/>
          </w:tcPr>
          <w:p>
            <w:pPr>
              <w:pStyle w:val="TableParagraph"/>
              <w:spacing w:line="206" w:lineRule="exact"/>
              <w:ind w:left="556" w:right="560"/>
              <w:jc w:val="center"/>
              <w:rPr>
                <w:sz w:val="18"/>
              </w:rPr>
            </w:pPr>
            <w:r>
              <w:rPr>
                <w:sz w:val="18"/>
              </w:rPr>
              <w:t>Unit</w:t>
            </w:r>
          </w:p>
        </w:tc>
        <w:tc>
          <w:tcPr>
            <w:tcW w:w="2785" w:type="dxa"/>
          </w:tcPr>
          <w:p>
            <w:pPr>
              <w:pStyle w:val="TableParagraph"/>
              <w:spacing w:line="206" w:lineRule="exact"/>
              <w:ind w:left="259" w:right="266"/>
              <w:jc w:val="center"/>
              <w:rPr>
                <w:sz w:val="18"/>
              </w:rPr>
            </w:pPr>
            <w:r>
              <w:rPr>
                <w:sz w:val="18"/>
              </w:rPr>
              <w:t>ESCULTURA ARTESANAL</w:t>
            </w:r>
          </w:p>
        </w:tc>
        <w:tc>
          <w:tcPr>
            <w:tcW w:w="1781" w:type="dxa"/>
          </w:tcPr>
          <w:p>
            <w:pPr>
              <w:pStyle w:val="TableParagraph"/>
              <w:spacing w:line="206" w:lineRule="exact"/>
              <w:ind w:left="180" w:right="181"/>
              <w:jc w:val="center"/>
              <w:rPr>
                <w:sz w:val="18"/>
              </w:rPr>
            </w:pPr>
            <w:r>
              <w:rPr>
                <w:sz w:val="18"/>
              </w:rPr>
              <w:t>ESCULTURA 3D</w:t>
            </w:r>
          </w:p>
        </w:tc>
      </w:tr>
      <w:tr>
        <w:trPr>
          <w:trHeight w:val="320" w:hRule="exact"/>
        </w:trPr>
        <w:tc>
          <w:tcPr>
            <w:tcW w:w="2933" w:type="dxa"/>
          </w:tcPr>
          <w:p>
            <w:pPr>
              <w:pStyle w:val="TableParagraph"/>
              <w:spacing w:line="206" w:lineRule="exact"/>
              <w:ind w:left="277" w:right="270"/>
              <w:jc w:val="center"/>
              <w:rPr>
                <w:sz w:val="18"/>
              </w:rPr>
            </w:pPr>
            <w:r>
              <w:rPr>
                <w:sz w:val="18"/>
              </w:rPr>
              <w:t>Abiotic depletion</w:t>
            </w:r>
          </w:p>
        </w:tc>
        <w:tc>
          <w:tcPr>
            <w:tcW w:w="1484" w:type="dxa"/>
          </w:tcPr>
          <w:p>
            <w:pPr>
              <w:pStyle w:val="TableParagraph"/>
              <w:spacing w:line="206" w:lineRule="exact"/>
              <w:ind w:left="379"/>
              <w:rPr>
                <w:sz w:val="18"/>
              </w:rPr>
            </w:pPr>
            <w:r>
              <w:rPr>
                <w:sz w:val="18"/>
              </w:rPr>
              <w:t>kg Sb eq</w:t>
            </w:r>
          </w:p>
        </w:tc>
        <w:tc>
          <w:tcPr>
            <w:tcW w:w="2785" w:type="dxa"/>
          </w:tcPr>
          <w:p>
            <w:pPr>
              <w:pStyle w:val="TableParagraph"/>
              <w:spacing w:line="206" w:lineRule="exact"/>
              <w:ind w:left="259" w:right="259"/>
              <w:jc w:val="center"/>
              <w:rPr>
                <w:sz w:val="18"/>
              </w:rPr>
            </w:pPr>
            <w:r>
              <w:rPr>
                <w:sz w:val="18"/>
              </w:rPr>
              <w:t>0,000140</w:t>
            </w:r>
          </w:p>
        </w:tc>
        <w:tc>
          <w:tcPr>
            <w:tcW w:w="1781" w:type="dxa"/>
          </w:tcPr>
          <w:p>
            <w:pPr>
              <w:pStyle w:val="TableParagraph"/>
              <w:spacing w:line="206" w:lineRule="exact"/>
              <w:ind w:left="180" w:right="177"/>
              <w:jc w:val="center"/>
              <w:rPr>
                <w:sz w:val="18"/>
              </w:rPr>
            </w:pPr>
            <w:r>
              <w:rPr>
                <w:sz w:val="18"/>
              </w:rPr>
              <w:t>0,000121</w:t>
            </w:r>
          </w:p>
        </w:tc>
      </w:tr>
      <w:tr>
        <w:trPr>
          <w:trHeight w:val="324" w:hRule="exact"/>
        </w:trPr>
        <w:tc>
          <w:tcPr>
            <w:tcW w:w="2933" w:type="dxa"/>
          </w:tcPr>
          <w:p>
            <w:pPr>
              <w:pStyle w:val="TableParagraph"/>
              <w:spacing w:line="206" w:lineRule="exact"/>
              <w:ind w:left="277" w:right="277"/>
              <w:jc w:val="center"/>
              <w:rPr>
                <w:sz w:val="18"/>
              </w:rPr>
            </w:pPr>
            <w:r>
              <w:rPr>
                <w:sz w:val="18"/>
              </w:rPr>
              <w:t>Abiotic depletion (fossil fuels)</w:t>
            </w:r>
          </w:p>
        </w:tc>
        <w:tc>
          <w:tcPr>
            <w:tcW w:w="1484" w:type="dxa"/>
          </w:tcPr>
          <w:p>
            <w:pPr>
              <w:pStyle w:val="TableParagraph"/>
              <w:spacing w:line="206" w:lineRule="exact"/>
              <w:ind w:left="554" w:right="560"/>
              <w:jc w:val="center"/>
              <w:rPr>
                <w:sz w:val="18"/>
              </w:rPr>
            </w:pPr>
            <w:r>
              <w:rPr>
                <w:sz w:val="18"/>
              </w:rPr>
              <w:t>MJ</w:t>
            </w:r>
          </w:p>
        </w:tc>
        <w:tc>
          <w:tcPr>
            <w:tcW w:w="2785" w:type="dxa"/>
          </w:tcPr>
          <w:p>
            <w:pPr>
              <w:pStyle w:val="TableParagraph"/>
              <w:spacing w:line="206" w:lineRule="exact"/>
              <w:ind w:left="259" w:right="259"/>
              <w:jc w:val="center"/>
              <w:rPr>
                <w:sz w:val="18"/>
              </w:rPr>
            </w:pPr>
            <w:r>
              <w:rPr>
                <w:sz w:val="18"/>
              </w:rPr>
              <w:t>871,94</w:t>
            </w:r>
          </w:p>
        </w:tc>
        <w:tc>
          <w:tcPr>
            <w:tcW w:w="1781" w:type="dxa"/>
          </w:tcPr>
          <w:p>
            <w:pPr>
              <w:pStyle w:val="TableParagraph"/>
              <w:spacing w:line="206" w:lineRule="exact"/>
              <w:ind w:left="180" w:right="177"/>
              <w:jc w:val="center"/>
              <w:rPr>
                <w:sz w:val="18"/>
              </w:rPr>
            </w:pPr>
            <w:r>
              <w:rPr>
                <w:sz w:val="18"/>
              </w:rPr>
              <w:t>580,42</w:t>
            </w:r>
          </w:p>
        </w:tc>
      </w:tr>
      <w:tr>
        <w:trPr>
          <w:trHeight w:val="320" w:hRule="exact"/>
        </w:trPr>
        <w:tc>
          <w:tcPr>
            <w:tcW w:w="2933" w:type="dxa"/>
          </w:tcPr>
          <w:p>
            <w:pPr>
              <w:pStyle w:val="TableParagraph"/>
              <w:spacing w:line="202" w:lineRule="exact"/>
              <w:ind w:left="277" w:right="275"/>
              <w:jc w:val="center"/>
              <w:rPr>
                <w:sz w:val="18"/>
              </w:rPr>
            </w:pPr>
            <w:r>
              <w:rPr>
                <w:sz w:val="18"/>
              </w:rPr>
              <w:t>Global warming (GWP100a)</w:t>
            </w:r>
          </w:p>
        </w:tc>
        <w:tc>
          <w:tcPr>
            <w:tcW w:w="1484" w:type="dxa"/>
          </w:tcPr>
          <w:p>
            <w:pPr>
              <w:pStyle w:val="TableParagraph"/>
              <w:spacing w:line="202" w:lineRule="exact"/>
              <w:ind w:left="307"/>
              <w:rPr>
                <w:sz w:val="18"/>
              </w:rPr>
            </w:pPr>
            <w:r>
              <w:rPr>
                <w:sz w:val="18"/>
              </w:rPr>
              <w:t>kg CO2 eq</w:t>
            </w:r>
          </w:p>
        </w:tc>
        <w:tc>
          <w:tcPr>
            <w:tcW w:w="2785" w:type="dxa"/>
          </w:tcPr>
          <w:p>
            <w:pPr>
              <w:pStyle w:val="TableParagraph"/>
              <w:spacing w:line="202" w:lineRule="exact"/>
              <w:ind w:left="259" w:right="261"/>
              <w:jc w:val="center"/>
              <w:rPr>
                <w:sz w:val="18"/>
              </w:rPr>
            </w:pPr>
            <w:r>
              <w:rPr>
                <w:sz w:val="18"/>
              </w:rPr>
              <w:t>63,26</w:t>
            </w:r>
          </w:p>
        </w:tc>
        <w:tc>
          <w:tcPr>
            <w:tcW w:w="1781" w:type="dxa"/>
          </w:tcPr>
          <w:p>
            <w:pPr>
              <w:pStyle w:val="TableParagraph"/>
              <w:spacing w:line="202" w:lineRule="exact"/>
              <w:ind w:left="180" w:right="180"/>
              <w:jc w:val="center"/>
              <w:rPr>
                <w:sz w:val="18"/>
              </w:rPr>
            </w:pPr>
            <w:r>
              <w:rPr>
                <w:sz w:val="18"/>
              </w:rPr>
              <w:t>46,62</w:t>
            </w:r>
          </w:p>
        </w:tc>
      </w:tr>
      <w:tr>
        <w:trPr>
          <w:trHeight w:val="321" w:hRule="exact"/>
        </w:trPr>
        <w:tc>
          <w:tcPr>
            <w:tcW w:w="2933" w:type="dxa"/>
          </w:tcPr>
          <w:p>
            <w:pPr>
              <w:pStyle w:val="TableParagraph"/>
              <w:spacing w:line="203" w:lineRule="exact"/>
              <w:ind w:left="277" w:right="275"/>
              <w:jc w:val="center"/>
              <w:rPr>
                <w:sz w:val="18"/>
              </w:rPr>
            </w:pPr>
            <w:r>
              <w:rPr>
                <w:sz w:val="18"/>
              </w:rPr>
              <w:t>Ozone layer depletion (ODP)</w:t>
            </w:r>
          </w:p>
        </w:tc>
        <w:tc>
          <w:tcPr>
            <w:tcW w:w="1484" w:type="dxa"/>
          </w:tcPr>
          <w:p>
            <w:pPr>
              <w:pStyle w:val="TableParagraph"/>
              <w:spacing w:line="203" w:lineRule="exact"/>
              <w:ind w:right="178"/>
              <w:jc w:val="right"/>
              <w:rPr>
                <w:sz w:val="18"/>
              </w:rPr>
            </w:pPr>
            <w:r>
              <w:rPr>
                <w:sz w:val="18"/>
              </w:rPr>
              <w:t>kg CFC-11 eq</w:t>
            </w:r>
          </w:p>
        </w:tc>
        <w:tc>
          <w:tcPr>
            <w:tcW w:w="2785" w:type="dxa"/>
          </w:tcPr>
          <w:p>
            <w:pPr>
              <w:pStyle w:val="TableParagraph"/>
              <w:spacing w:line="203" w:lineRule="exact"/>
              <w:ind w:left="259" w:right="260"/>
              <w:jc w:val="center"/>
              <w:rPr>
                <w:sz w:val="18"/>
              </w:rPr>
            </w:pPr>
            <w:r>
              <w:rPr>
                <w:sz w:val="18"/>
              </w:rPr>
              <w:t>0,0001042</w:t>
            </w:r>
          </w:p>
        </w:tc>
        <w:tc>
          <w:tcPr>
            <w:tcW w:w="1781" w:type="dxa"/>
          </w:tcPr>
          <w:p>
            <w:pPr>
              <w:pStyle w:val="TableParagraph"/>
              <w:spacing w:line="203" w:lineRule="exact"/>
              <w:ind w:left="180" w:right="180"/>
              <w:jc w:val="center"/>
              <w:rPr>
                <w:sz w:val="18"/>
              </w:rPr>
            </w:pPr>
            <w:r>
              <w:rPr>
                <w:sz w:val="18"/>
              </w:rPr>
              <w:t>0,0000038</w:t>
            </w:r>
          </w:p>
        </w:tc>
      </w:tr>
      <w:tr>
        <w:trPr>
          <w:trHeight w:val="320" w:hRule="exact"/>
        </w:trPr>
        <w:tc>
          <w:tcPr>
            <w:tcW w:w="2933" w:type="dxa"/>
          </w:tcPr>
          <w:p>
            <w:pPr>
              <w:pStyle w:val="TableParagraph"/>
              <w:spacing w:line="202" w:lineRule="exact"/>
              <w:ind w:left="277" w:right="272"/>
              <w:jc w:val="center"/>
              <w:rPr>
                <w:sz w:val="18"/>
              </w:rPr>
            </w:pPr>
            <w:r>
              <w:rPr>
                <w:sz w:val="18"/>
              </w:rPr>
              <w:t>Human toxicity</w:t>
            </w:r>
          </w:p>
        </w:tc>
        <w:tc>
          <w:tcPr>
            <w:tcW w:w="1484" w:type="dxa"/>
          </w:tcPr>
          <w:p>
            <w:pPr>
              <w:pStyle w:val="TableParagraph"/>
              <w:spacing w:line="202" w:lineRule="exact"/>
              <w:ind w:right="210"/>
              <w:jc w:val="right"/>
              <w:rPr>
                <w:sz w:val="18"/>
              </w:rPr>
            </w:pPr>
            <w:r>
              <w:rPr>
                <w:sz w:val="18"/>
              </w:rPr>
              <w:t>kg 1,4-DB eq</w:t>
            </w:r>
          </w:p>
        </w:tc>
        <w:tc>
          <w:tcPr>
            <w:tcW w:w="2785" w:type="dxa"/>
          </w:tcPr>
          <w:p>
            <w:pPr>
              <w:pStyle w:val="TableParagraph"/>
              <w:spacing w:line="202" w:lineRule="exact"/>
              <w:ind w:left="259" w:right="261"/>
              <w:jc w:val="center"/>
              <w:rPr>
                <w:sz w:val="18"/>
              </w:rPr>
            </w:pPr>
            <w:r>
              <w:rPr>
                <w:sz w:val="18"/>
              </w:rPr>
              <w:t>28,91</w:t>
            </w:r>
          </w:p>
        </w:tc>
        <w:tc>
          <w:tcPr>
            <w:tcW w:w="1781" w:type="dxa"/>
          </w:tcPr>
          <w:p>
            <w:pPr>
              <w:pStyle w:val="TableParagraph"/>
              <w:spacing w:line="202" w:lineRule="exact"/>
              <w:ind w:left="180" w:right="180"/>
              <w:jc w:val="center"/>
              <w:rPr>
                <w:sz w:val="18"/>
              </w:rPr>
            </w:pPr>
            <w:r>
              <w:rPr>
                <w:sz w:val="18"/>
              </w:rPr>
              <w:t>16,41</w:t>
            </w:r>
          </w:p>
        </w:tc>
      </w:tr>
      <w:tr>
        <w:trPr>
          <w:trHeight w:val="320" w:hRule="exact"/>
        </w:trPr>
        <w:tc>
          <w:tcPr>
            <w:tcW w:w="2933" w:type="dxa"/>
          </w:tcPr>
          <w:p>
            <w:pPr>
              <w:pStyle w:val="TableParagraph"/>
              <w:spacing w:line="202" w:lineRule="exact"/>
              <w:ind w:left="276" w:right="277"/>
              <w:jc w:val="center"/>
              <w:rPr>
                <w:sz w:val="18"/>
              </w:rPr>
            </w:pPr>
            <w:r>
              <w:rPr>
                <w:sz w:val="18"/>
              </w:rPr>
              <w:t>Fresh water aquatic ecotox.</w:t>
            </w:r>
          </w:p>
        </w:tc>
        <w:tc>
          <w:tcPr>
            <w:tcW w:w="1484" w:type="dxa"/>
          </w:tcPr>
          <w:p>
            <w:pPr>
              <w:pStyle w:val="TableParagraph"/>
              <w:spacing w:line="202" w:lineRule="exact"/>
              <w:ind w:right="210"/>
              <w:jc w:val="right"/>
              <w:rPr>
                <w:sz w:val="18"/>
              </w:rPr>
            </w:pPr>
            <w:r>
              <w:rPr>
                <w:sz w:val="18"/>
              </w:rPr>
              <w:t>kg 1,4-DB eq</w:t>
            </w:r>
          </w:p>
        </w:tc>
        <w:tc>
          <w:tcPr>
            <w:tcW w:w="2785" w:type="dxa"/>
          </w:tcPr>
          <w:p>
            <w:pPr>
              <w:pStyle w:val="TableParagraph"/>
              <w:spacing w:line="202" w:lineRule="exact"/>
              <w:ind w:left="259" w:right="261"/>
              <w:jc w:val="center"/>
              <w:rPr>
                <w:sz w:val="18"/>
              </w:rPr>
            </w:pPr>
            <w:r>
              <w:rPr>
                <w:sz w:val="18"/>
              </w:rPr>
              <w:t>46,39</w:t>
            </w:r>
          </w:p>
        </w:tc>
        <w:tc>
          <w:tcPr>
            <w:tcW w:w="1781" w:type="dxa"/>
          </w:tcPr>
          <w:p>
            <w:pPr>
              <w:pStyle w:val="TableParagraph"/>
              <w:spacing w:line="202" w:lineRule="exact"/>
              <w:ind w:left="180" w:right="180"/>
              <w:jc w:val="center"/>
              <w:rPr>
                <w:sz w:val="18"/>
              </w:rPr>
            </w:pPr>
            <w:r>
              <w:rPr>
                <w:sz w:val="18"/>
              </w:rPr>
              <w:t>19,29</w:t>
            </w:r>
          </w:p>
        </w:tc>
      </w:tr>
      <w:tr>
        <w:trPr>
          <w:trHeight w:val="320" w:hRule="exact"/>
        </w:trPr>
        <w:tc>
          <w:tcPr>
            <w:tcW w:w="2933" w:type="dxa"/>
          </w:tcPr>
          <w:p>
            <w:pPr>
              <w:pStyle w:val="TableParagraph"/>
              <w:spacing w:line="206" w:lineRule="exact"/>
              <w:ind w:left="277" w:right="275"/>
              <w:jc w:val="center"/>
              <w:rPr>
                <w:sz w:val="18"/>
              </w:rPr>
            </w:pPr>
            <w:r>
              <w:rPr>
                <w:sz w:val="18"/>
              </w:rPr>
              <w:t>Marine aquatic ecotoxicity</w:t>
            </w:r>
          </w:p>
        </w:tc>
        <w:tc>
          <w:tcPr>
            <w:tcW w:w="1484" w:type="dxa"/>
          </w:tcPr>
          <w:p>
            <w:pPr>
              <w:pStyle w:val="TableParagraph"/>
              <w:spacing w:line="206" w:lineRule="exact"/>
              <w:ind w:right="210"/>
              <w:jc w:val="right"/>
              <w:rPr>
                <w:sz w:val="18"/>
              </w:rPr>
            </w:pPr>
            <w:r>
              <w:rPr>
                <w:sz w:val="18"/>
              </w:rPr>
              <w:t>kg 1,4-DB eq</w:t>
            </w:r>
          </w:p>
        </w:tc>
        <w:tc>
          <w:tcPr>
            <w:tcW w:w="2785" w:type="dxa"/>
          </w:tcPr>
          <w:p>
            <w:pPr>
              <w:pStyle w:val="TableParagraph"/>
              <w:spacing w:line="206" w:lineRule="exact"/>
              <w:ind w:left="259" w:right="259"/>
              <w:jc w:val="center"/>
              <w:rPr>
                <w:sz w:val="18"/>
              </w:rPr>
            </w:pPr>
            <w:r>
              <w:rPr>
                <w:sz w:val="18"/>
              </w:rPr>
              <w:t>61639,80</w:t>
            </w:r>
          </w:p>
        </w:tc>
        <w:tc>
          <w:tcPr>
            <w:tcW w:w="1781" w:type="dxa"/>
          </w:tcPr>
          <w:p>
            <w:pPr>
              <w:pStyle w:val="TableParagraph"/>
              <w:spacing w:line="206" w:lineRule="exact"/>
              <w:ind w:left="180" w:right="177"/>
              <w:jc w:val="center"/>
              <w:rPr>
                <w:sz w:val="18"/>
              </w:rPr>
            </w:pPr>
            <w:r>
              <w:rPr>
                <w:sz w:val="18"/>
              </w:rPr>
              <w:t>45237,73</w:t>
            </w:r>
          </w:p>
        </w:tc>
      </w:tr>
      <w:tr>
        <w:trPr>
          <w:trHeight w:val="320" w:hRule="exact"/>
        </w:trPr>
        <w:tc>
          <w:tcPr>
            <w:tcW w:w="2933" w:type="dxa"/>
          </w:tcPr>
          <w:p>
            <w:pPr>
              <w:pStyle w:val="TableParagraph"/>
              <w:spacing w:line="206" w:lineRule="exact"/>
              <w:ind w:left="277" w:right="274"/>
              <w:jc w:val="center"/>
              <w:rPr>
                <w:sz w:val="18"/>
              </w:rPr>
            </w:pPr>
            <w:r>
              <w:rPr>
                <w:sz w:val="18"/>
              </w:rPr>
              <w:t>Terrestrial ecotoxicity</w:t>
            </w:r>
          </w:p>
        </w:tc>
        <w:tc>
          <w:tcPr>
            <w:tcW w:w="1484" w:type="dxa"/>
          </w:tcPr>
          <w:p>
            <w:pPr>
              <w:pStyle w:val="TableParagraph"/>
              <w:spacing w:line="206" w:lineRule="exact"/>
              <w:ind w:right="210"/>
              <w:jc w:val="right"/>
              <w:rPr>
                <w:sz w:val="18"/>
              </w:rPr>
            </w:pPr>
            <w:r>
              <w:rPr>
                <w:sz w:val="18"/>
              </w:rPr>
              <w:t>kg 1,4-DB eq</w:t>
            </w:r>
          </w:p>
        </w:tc>
        <w:tc>
          <w:tcPr>
            <w:tcW w:w="2785" w:type="dxa"/>
          </w:tcPr>
          <w:p>
            <w:pPr>
              <w:pStyle w:val="TableParagraph"/>
              <w:spacing w:line="206" w:lineRule="exact"/>
              <w:ind w:left="259" w:right="259"/>
              <w:jc w:val="center"/>
              <w:rPr>
                <w:sz w:val="18"/>
              </w:rPr>
            </w:pPr>
            <w:r>
              <w:rPr>
                <w:sz w:val="18"/>
              </w:rPr>
              <w:t>2,43</w:t>
            </w:r>
          </w:p>
        </w:tc>
        <w:tc>
          <w:tcPr>
            <w:tcW w:w="1781" w:type="dxa"/>
          </w:tcPr>
          <w:p>
            <w:pPr>
              <w:pStyle w:val="TableParagraph"/>
              <w:spacing w:line="206" w:lineRule="exact"/>
              <w:ind w:left="180" w:right="177"/>
              <w:jc w:val="center"/>
              <w:rPr>
                <w:sz w:val="18"/>
              </w:rPr>
            </w:pPr>
            <w:r>
              <w:rPr>
                <w:sz w:val="18"/>
              </w:rPr>
              <w:t>0,23</w:t>
            </w:r>
          </w:p>
        </w:tc>
      </w:tr>
      <w:tr>
        <w:trPr>
          <w:trHeight w:val="320" w:hRule="exact"/>
        </w:trPr>
        <w:tc>
          <w:tcPr>
            <w:tcW w:w="2933" w:type="dxa"/>
          </w:tcPr>
          <w:p>
            <w:pPr>
              <w:pStyle w:val="TableParagraph"/>
              <w:spacing w:line="206" w:lineRule="exact"/>
              <w:ind w:left="277" w:right="272"/>
              <w:jc w:val="center"/>
              <w:rPr>
                <w:sz w:val="18"/>
              </w:rPr>
            </w:pPr>
            <w:r>
              <w:rPr>
                <w:sz w:val="18"/>
              </w:rPr>
              <w:t>Photochemical oxidation</w:t>
            </w:r>
          </w:p>
        </w:tc>
        <w:tc>
          <w:tcPr>
            <w:tcW w:w="1484" w:type="dxa"/>
          </w:tcPr>
          <w:p>
            <w:pPr>
              <w:pStyle w:val="TableParagraph"/>
              <w:spacing w:line="206" w:lineRule="exact"/>
              <w:ind w:left="259"/>
              <w:rPr>
                <w:sz w:val="18"/>
              </w:rPr>
            </w:pPr>
            <w:r>
              <w:rPr>
                <w:sz w:val="18"/>
              </w:rPr>
              <w:t>kg C2H4 eq</w:t>
            </w:r>
          </w:p>
        </w:tc>
        <w:tc>
          <w:tcPr>
            <w:tcW w:w="2785" w:type="dxa"/>
          </w:tcPr>
          <w:p>
            <w:pPr>
              <w:pStyle w:val="TableParagraph"/>
              <w:spacing w:line="206" w:lineRule="exact"/>
              <w:ind w:left="259" w:right="259"/>
              <w:jc w:val="center"/>
              <w:rPr>
                <w:sz w:val="18"/>
              </w:rPr>
            </w:pPr>
            <w:r>
              <w:rPr>
                <w:sz w:val="18"/>
              </w:rPr>
              <w:t>0,05</w:t>
            </w:r>
          </w:p>
        </w:tc>
        <w:tc>
          <w:tcPr>
            <w:tcW w:w="1781" w:type="dxa"/>
          </w:tcPr>
          <w:p>
            <w:pPr>
              <w:pStyle w:val="TableParagraph"/>
              <w:spacing w:line="206" w:lineRule="exact"/>
              <w:ind w:left="180" w:right="177"/>
              <w:jc w:val="center"/>
              <w:rPr>
                <w:sz w:val="18"/>
              </w:rPr>
            </w:pPr>
            <w:r>
              <w:rPr>
                <w:sz w:val="18"/>
              </w:rPr>
              <w:t>0,01</w:t>
            </w:r>
          </w:p>
        </w:tc>
      </w:tr>
      <w:tr>
        <w:trPr>
          <w:trHeight w:val="325" w:hRule="exact"/>
        </w:trPr>
        <w:tc>
          <w:tcPr>
            <w:tcW w:w="2933" w:type="dxa"/>
          </w:tcPr>
          <w:p>
            <w:pPr>
              <w:pStyle w:val="TableParagraph"/>
              <w:spacing w:line="207" w:lineRule="exact"/>
              <w:ind w:left="277" w:right="270"/>
              <w:jc w:val="center"/>
              <w:rPr>
                <w:sz w:val="18"/>
              </w:rPr>
            </w:pPr>
            <w:r>
              <w:rPr>
                <w:sz w:val="18"/>
              </w:rPr>
              <w:t>Acidification</w:t>
            </w:r>
          </w:p>
        </w:tc>
        <w:tc>
          <w:tcPr>
            <w:tcW w:w="1484" w:type="dxa"/>
          </w:tcPr>
          <w:p>
            <w:pPr>
              <w:pStyle w:val="TableParagraph"/>
              <w:spacing w:line="207" w:lineRule="exact"/>
              <w:ind w:left="311"/>
              <w:rPr>
                <w:sz w:val="18"/>
              </w:rPr>
            </w:pPr>
            <w:r>
              <w:rPr>
                <w:sz w:val="18"/>
              </w:rPr>
              <w:t>kg SO2 eq</w:t>
            </w:r>
          </w:p>
        </w:tc>
        <w:tc>
          <w:tcPr>
            <w:tcW w:w="2785" w:type="dxa"/>
          </w:tcPr>
          <w:p>
            <w:pPr>
              <w:pStyle w:val="TableParagraph"/>
              <w:spacing w:line="207" w:lineRule="exact"/>
              <w:ind w:left="259" w:right="259"/>
              <w:jc w:val="center"/>
              <w:rPr>
                <w:sz w:val="18"/>
              </w:rPr>
            </w:pPr>
            <w:r>
              <w:rPr>
                <w:sz w:val="18"/>
              </w:rPr>
              <w:t>0,35</w:t>
            </w:r>
          </w:p>
        </w:tc>
        <w:tc>
          <w:tcPr>
            <w:tcW w:w="1781" w:type="dxa"/>
          </w:tcPr>
          <w:p>
            <w:pPr>
              <w:pStyle w:val="TableParagraph"/>
              <w:spacing w:line="207" w:lineRule="exact"/>
              <w:ind w:left="180" w:right="177"/>
              <w:jc w:val="center"/>
              <w:rPr>
                <w:sz w:val="18"/>
              </w:rPr>
            </w:pPr>
            <w:r>
              <w:rPr>
                <w:sz w:val="18"/>
              </w:rPr>
              <w:t>0,31</w:t>
            </w:r>
          </w:p>
        </w:tc>
      </w:tr>
      <w:tr>
        <w:trPr>
          <w:trHeight w:val="316" w:hRule="exact"/>
        </w:trPr>
        <w:tc>
          <w:tcPr>
            <w:tcW w:w="2933" w:type="dxa"/>
          </w:tcPr>
          <w:p>
            <w:pPr>
              <w:pStyle w:val="TableParagraph"/>
              <w:spacing w:line="202" w:lineRule="exact"/>
              <w:ind w:left="277" w:right="270"/>
              <w:jc w:val="center"/>
              <w:rPr>
                <w:sz w:val="18"/>
              </w:rPr>
            </w:pPr>
            <w:r>
              <w:rPr>
                <w:sz w:val="18"/>
              </w:rPr>
              <w:t>Eutrophication</w:t>
            </w:r>
          </w:p>
        </w:tc>
        <w:tc>
          <w:tcPr>
            <w:tcW w:w="1484" w:type="dxa"/>
          </w:tcPr>
          <w:p>
            <w:pPr>
              <w:pStyle w:val="TableParagraph"/>
              <w:spacing w:line="202" w:lineRule="exact"/>
              <w:ind w:right="223"/>
              <w:jc w:val="right"/>
              <w:rPr>
                <w:sz w:val="18"/>
              </w:rPr>
            </w:pPr>
            <w:r>
              <w:rPr>
                <w:sz w:val="18"/>
              </w:rPr>
              <w:t>kg PO4--- eq</w:t>
            </w:r>
          </w:p>
        </w:tc>
        <w:tc>
          <w:tcPr>
            <w:tcW w:w="2785" w:type="dxa"/>
          </w:tcPr>
          <w:p>
            <w:pPr>
              <w:pStyle w:val="TableParagraph"/>
              <w:spacing w:line="202" w:lineRule="exact"/>
              <w:ind w:left="259" w:right="259"/>
              <w:jc w:val="center"/>
              <w:rPr>
                <w:sz w:val="18"/>
              </w:rPr>
            </w:pPr>
            <w:r>
              <w:rPr>
                <w:sz w:val="18"/>
              </w:rPr>
              <w:t>0,13</w:t>
            </w:r>
          </w:p>
        </w:tc>
        <w:tc>
          <w:tcPr>
            <w:tcW w:w="1781" w:type="dxa"/>
          </w:tcPr>
          <w:p>
            <w:pPr>
              <w:pStyle w:val="TableParagraph"/>
              <w:spacing w:line="202" w:lineRule="exact"/>
              <w:ind w:left="180" w:right="177"/>
              <w:jc w:val="center"/>
              <w:rPr>
                <w:sz w:val="18"/>
              </w:rPr>
            </w:pPr>
            <w:r>
              <w:rPr>
                <w:sz w:val="18"/>
              </w:rPr>
              <w:t>0,14</w:t>
            </w:r>
          </w:p>
        </w:tc>
      </w:tr>
    </w:tbl>
    <w:p>
      <w:pPr>
        <w:spacing w:line="206" w:lineRule="exact" w:before="0"/>
        <w:ind w:left="2237" w:right="1248" w:firstLine="0"/>
        <w:jc w:val="left"/>
        <w:rPr>
          <w:sz w:val="18"/>
        </w:rPr>
      </w:pPr>
      <w:r>
        <w:rPr>
          <w:sz w:val="18"/>
        </w:rPr>
        <w:t>(Fuente: Resultados de simulación en Sima Pro 8.0, 2015).</w:t>
      </w:r>
    </w:p>
    <w:p>
      <w:pPr>
        <w:pStyle w:val="BodyText"/>
        <w:rPr>
          <w:sz w:val="18"/>
        </w:rPr>
      </w:pPr>
    </w:p>
    <w:p>
      <w:pPr>
        <w:pStyle w:val="BodyText"/>
        <w:rPr>
          <w:sz w:val="18"/>
        </w:rPr>
      </w:pPr>
    </w:p>
    <w:p>
      <w:pPr>
        <w:pStyle w:val="BodyText"/>
        <w:spacing w:line="360" w:lineRule="auto" w:before="107"/>
        <w:ind w:left="180" w:right="185"/>
        <w:jc w:val="both"/>
      </w:pPr>
      <w:r>
        <w:rPr/>
        <w:t>Para todos los indicadores ambientales, excepto la eutrofización, la mejor alternativa es la Escultura en 3D. Destaca la mejora la tecnología 3D en reducción del impacto en la capa de ozono, en el calentamiento global (Global Warming), en el consumo de energía y en la toxicidad humana (sustancias carcinógenas y contaminantes respiratorias).</w:t>
      </w:r>
    </w:p>
    <w:p>
      <w:pPr>
        <w:pStyle w:val="BodyText"/>
      </w:pPr>
    </w:p>
    <w:p>
      <w:pPr>
        <w:pStyle w:val="BodyText"/>
        <w:spacing w:line="360" w:lineRule="auto" w:before="142"/>
        <w:ind w:left="180" w:right="184"/>
        <w:jc w:val="both"/>
      </w:pPr>
      <w:r>
        <w:rPr/>
        <w:t>En eutrofización es ligeramente peor la alternativa 3D debido a que el bioplástico PLA proviene de un cultivo y la eutrofización lo que mide es la contaminación en agua debido a fosfatos y por lo tanto todo proceso agrícola incide en este impacto.</w:t>
      </w:r>
    </w:p>
    <w:p>
      <w:pPr>
        <w:pStyle w:val="BodyText"/>
      </w:pPr>
    </w:p>
    <w:p>
      <w:pPr>
        <w:pStyle w:val="BodyText"/>
        <w:spacing w:before="3"/>
        <w:rPr>
          <w:sz w:val="29"/>
        </w:rPr>
      </w:pPr>
    </w:p>
    <w:p>
      <w:pPr>
        <w:pStyle w:val="Heading2"/>
        <w:numPr>
          <w:ilvl w:val="3"/>
          <w:numId w:val="63"/>
        </w:numPr>
        <w:tabs>
          <w:tab w:pos="1673" w:val="left" w:leader="none"/>
        </w:tabs>
        <w:spacing w:line="240" w:lineRule="auto" w:before="0" w:after="0"/>
        <w:ind w:left="1673" w:right="0" w:hanging="1493"/>
        <w:jc w:val="both"/>
      </w:pPr>
      <w:bookmarkStart w:name="5.5.1.2.  Análisis individual de etapas" w:id="299"/>
      <w:bookmarkEnd w:id="299"/>
      <w:r>
        <w:rPr/>
      </w:r>
      <w:bookmarkStart w:name="_bookmark192" w:id="300"/>
      <w:bookmarkEnd w:id="300"/>
      <w:r>
        <w:rPr/>
        <w:t>A</w:t>
      </w:r>
      <w:r>
        <w:rPr/>
        <w:t>nálisis individual de</w:t>
      </w:r>
      <w:r>
        <w:rPr>
          <w:spacing w:val="-8"/>
        </w:rPr>
        <w:t> </w:t>
      </w:r>
      <w:r>
        <w:rPr/>
        <w:t>etapas</w:t>
      </w:r>
    </w:p>
    <w:p>
      <w:pPr>
        <w:pStyle w:val="BodyText"/>
        <w:rPr>
          <w:sz w:val="28"/>
        </w:rPr>
      </w:pPr>
    </w:p>
    <w:p>
      <w:pPr>
        <w:pStyle w:val="BodyText"/>
        <w:spacing w:before="5"/>
        <w:rPr>
          <w:sz w:val="22"/>
        </w:rPr>
      </w:pPr>
    </w:p>
    <w:p>
      <w:pPr>
        <w:pStyle w:val="BodyText"/>
        <w:spacing w:line="360" w:lineRule="auto"/>
        <w:ind w:left="180" w:right="184"/>
        <w:jc w:val="both"/>
      </w:pPr>
      <w:r>
        <w:rPr/>
        <w:t>Si se analiza individualmente las dos alternativas para ver la responsabilidad de cada una de las fases, se obtiene la </w:t>
      </w:r>
      <w:hyperlink w:history="true" w:anchor="_bookmark193">
        <w:r>
          <w:rPr/>
          <w:t>Figura 5.10</w:t>
        </w:r>
      </w:hyperlink>
      <w:r>
        <w:rPr/>
        <w:t> los resultados de la escultura artesanal:</w:t>
      </w:r>
    </w:p>
    <w:p>
      <w:pPr>
        <w:spacing w:after="0" w:line="360" w:lineRule="auto"/>
        <w:jc w:val="both"/>
        <w:sectPr>
          <w:footerReference w:type="even" r:id="rId210"/>
          <w:footerReference w:type="default" r:id="rId211"/>
          <w:pgSz w:w="12240" w:h="15840"/>
          <w:pgMar w:footer="1031" w:header="0" w:top="1360" w:bottom="1220" w:left="1520" w:right="1520"/>
          <w:pgNumType w:start="202"/>
        </w:sectPr>
      </w:pPr>
    </w:p>
    <w:p>
      <w:pPr>
        <w:pStyle w:val="BodyText"/>
        <w:ind w:left="230"/>
        <w:rPr>
          <w:sz w:val="20"/>
        </w:rPr>
      </w:pPr>
      <w:r>
        <w:rPr>
          <w:sz w:val="20"/>
        </w:rPr>
        <w:drawing>
          <wp:inline distT="0" distB="0" distL="0" distR="0">
            <wp:extent cx="5452772" cy="2882265"/>
            <wp:effectExtent l="0" t="0" r="0" b="0"/>
            <wp:docPr id="261" name="image135.png" descr=""/>
            <wp:cNvGraphicFramePr>
              <a:graphicFrameLocks noChangeAspect="1"/>
            </wp:cNvGraphicFramePr>
            <a:graphic>
              <a:graphicData uri="http://schemas.openxmlformats.org/drawingml/2006/picture">
                <pic:pic>
                  <pic:nvPicPr>
                    <pic:cNvPr id="262" name="image135.png"/>
                    <pic:cNvPicPr/>
                  </pic:nvPicPr>
                  <pic:blipFill>
                    <a:blip r:embed="rId212" cstate="print"/>
                    <a:stretch>
                      <a:fillRect/>
                    </a:stretch>
                  </pic:blipFill>
                  <pic:spPr>
                    <a:xfrm>
                      <a:off x="0" y="0"/>
                      <a:ext cx="5452772" cy="2882265"/>
                    </a:xfrm>
                    <a:prstGeom prst="rect">
                      <a:avLst/>
                    </a:prstGeom>
                  </pic:spPr>
                </pic:pic>
              </a:graphicData>
            </a:graphic>
          </wp:inline>
        </w:drawing>
      </w:r>
      <w:r>
        <w:rPr>
          <w:sz w:val="20"/>
        </w:rPr>
      </w:r>
    </w:p>
    <w:p>
      <w:pPr>
        <w:spacing w:before="89"/>
        <w:ind w:left="3233" w:right="1430" w:hanging="1557"/>
        <w:jc w:val="left"/>
        <w:rPr>
          <w:sz w:val="18"/>
        </w:rPr>
      </w:pPr>
      <w:bookmarkStart w:name="_bookmark193" w:id="301"/>
      <w:bookmarkEnd w:id="301"/>
      <w:r>
        <w:rPr/>
      </w:r>
      <w:r>
        <w:rPr>
          <w:sz w:val="18"/>
        </w:rPr>
        <w:t>Figura 5.10.Escultura artesanal, Eco indicador 99. (Fuente: Resultados de simulación en Sima Pro 8.0, 2015).</w:t>
      </w:r>
    </w:p>
    <w:p>
      <w:pPr>
        <w:pStyle w:val="BodyText"/>
        <w:rPr>
          <w:sz w:val="18"/>
        </w:rPr>
      </w:pPr>
    </w:p>
    <w:p>
      <w:pPr>
        <w:pStyle w:val="BodyText"/>
        <w:spacing w:before="3"/>
        <w:rPr>
          <w:sz w:val="18"/>
        </w:rPr>
      </w:pPr>
    </w:p>
    <w:p>
      <w:pPr>
        <w:pStyle w:val="BodyText"/>
        <w:spacing w:line="360" w:lineRule="auto"/>
        <w:ind w:left="100" w:right="106"/>
        <w:jc w:val="both"/>
      </w:pPr>
      <w:r>
        <w:rPr/>
        <w:t>La fase con más impacto en esta alternativa es la fase de fabricación del molde pues se trata de la fase con unos consumos energéticos y materiales y una generación de residuos más grande.</w:t>
      </w:r>
    </w:p>
    <w:p>
      <w:pPr>
        <w:pStyle w:val="BodyText"/>
      </w:pPr>
    </w:p>
    <w:p>
      <w:pPr>
        <w:pStyle w:val="BodyText"/>
        <w:spacing w:line="360" w:lineRule="auto" w:before="142"/>
        <w:ind w:left="100" w:right="101"/>
        <w:jc w:val="both"/>
      </w:pPr>
      <w:r>
        <w:rPr/>
        <w:t>Seguida por la fase de vaciado, dejando con una responsabilidad menor las fases de modelado de la pieza (debido al uso de plastilina principalmente) y la de acabado (uso aspiradora y lijas).</w:t>
      </w:r>
    </w:p>
    <w:p>
      <w:pPr>
        <w:pStyle w:val="BodyText"/>
        <w:spacing w:before="10"/>
        <w:rPr>
          <w:sz w:val="32"/>
        </w:rPr>
      </w:pPr>
    </w:p>
    <w:p>
      <w:pPr>
        <w:pStyle w:val="BodyText"/>
        <w:spacing w:line="362" w:lineRule="auto"/>
        <w:ind w:left="100" w:right="101"/>
        <w:jc w:val="both"/>
      </w:pPr>
      <w:r>
        <w:rPr/>
        <w:t>En la siguiente </w:t>
      </w:r>
      <w:hyperlink w:history="true" w:anchor="_bookmark194">
        <w:r>
          <w:rPr/>
          <w:t>Figura 5.11</w:t>
        </w:r>
      </w:hyperlink>
      <w:r>
        <w:rPr/>
        <w:t> se observan los resultados del proceso de impresión 3D:</w:t>
      </w:r>
    </w:p>
    <w:p>
      <w:pPr>
        <w:spacing w:after="0" w:line="362" w:lineRule="auto"/>
        <w:jc w:val="both"/>
        <w:sectPr>
          <w:pgSz w:w="12240" w:h="15840"/>
          <w:pgMar w:header="0" w:footer="1031" w:top="1420" w:bottom="1220" w:left="1600" w:right="1600"/>
        </w:sectPr>
      </w:pPr>
    </w:p>
    <w:p>
      <w:pPr>
        <w:pStyle w:val="BodyText"/>
        <w:ind w:left="215"/>
        <w:rPr>
          <w:sz w:val="20"/>
        </w:rPr>
      </w:pPr>
      <w:r>
        <w:rPr>
          <w:sz w:val="20"/>
        </w:rPr>
        <w:drawing>
          <wp:inline distT="0" distB="0" distL="0" distR="0">
            <wp:extent cx="5431859" cy="3538728"/>
            <wp:effectExtent l="0" t="0" r="0" b="0"/>
            <wp:docPr id="263" name="image136.png" descr=""/>
            <wp:cNvGraphicFramePr>
              <a:graphicFrameLocks noChangeAspect="1"/>
            </wp:cNvGraphicFramePr>
            <a:graphic>
              <a:graphicData uri="http://schemas.openxmlformats.org/drawingml/2006/picture">
                <pic:pic>
                  <pic:nvPicPr>
                    <pic:cNvPr id="264" name="image136.png"/>
                    <pic:cNvPicPr/>
                  </pic:nvPicPr>
                  <pic:blipFill>
                    <a:blip r:embed="rId213" cstate="print"/>
                    <a:stretch>
                      <a:fillRect/>
                    </a:stretch>
                  </pic:blipFill>
                  <pic:spPr>
                    <a:xfrm>
                      <a:off x="0" y="0"/>
                      <a:ext cx="5431859" cy="3538728"/>
                    </a:xfrm>
                    <a:prstGeom prst="rect">
                      <a:avLst/>
                    </a:prstGeom>
                  </pic:spPr>
                </pic:pic>
              </a:graphicData>
            </a:graphic>
          </wp:inline>
        </w:drawing>
      </w:r>
      <w:r>
        <w:rPr>
          <w:sz w:val="20"/>
        </w:rPr>
      </w:r>
    </w:p>
    <w:p>
      <w:pPr>
        <w:spacing w:before="136"/>
        <w:ind w:left="3233" w:right="1068" w:hanging="1925"/>
        <w:jc w:val="left"/>
        <w:rPr>
          <w:sz w:val="18"/>
        </w:rPr>
      </w:pPr>
      <w:bookmarkStart w:name="_bookmark194" w:id="302"/>
      <w:bookmarkEnd w:id="302"/>
      <w:r>
        <w:rPr/>
      </w:r>
      <w:r>
        <w:rPr>
          <w:sz w:val="18"/>
        </w:rPr>
        <w:t>Figura 5.11. Análisis de escultura 3D con Eco indicador 99. (Fuente: Resultados de simulación en Sima Pro 8.0, 2015).</w:t>
      </w:r>
    </w:p>
    <w:p>
      <w:pPr>
        <w:pStyle w:val="BodyText"/>
        <w:rPr>
          <w:sz w:val="18"/>
        </w:rPr>
      </w:pPr>
    </w:p>
    <w:p>
      <w:pPr>
        <w:pStyle w:val="BodyText"/>
        <w:spacing w:before="2"/>
        <w:rPr>
          <w:sz w:val="18"/>
        </w:rPr>
      </w:pPr>
    </w:p>
    <w:p>
      <w:pPr>
        <w:pStyle w:val="BodyText"/>
        <w:spacing w:line="360" w:lineRule="auto"/>
        <w:ind w:left="100" w:right="103"/>
        <w:jc w:val="both"/>
      </w:pPr>
      <w:r>
        <w:rPr/>
        <w:t>La fase con más impacto en esta alternativa es la fase de impresión pues se trata de la fase con unos consumos energéticos (4,4 kWh) y materiales (bobina PLA) más grandes.</w:t>
      </w:r>
    </w:p>
    <w:p>
      <w:pPr>
        <w:pStyle w:val="BodyText"/>
      </w:pPr>
    </w:p>
    <w:p>
      <w:pPr>
        <w:pStyle w:val="BodyText"/>
        <w:spacing w:line="357" w:lineRule="auto" w:before="141"/>
        <w:ind w:left="100" w:right="101"/>
        <w:jc w:val="both"/>
      </w:pPr>
      <w:r>
        <w:rPr/>
        <w:t>Seguida por la fase de dibujo digital donde el uso del ordenador implica consumo energético que tiene implicaciones ambientales.</w:t>
      </w:r>
    </w:p>
    <w:p>
      <w:pPr>
        <w:pStyle w:val="BodyText"/>
        <w:spacing w:line="357" w:lineRule="auto" w:before="9"/>
        <w:ind w:left="100" w:right="106"/>
        <w:jc w:val="both"/>
      </w:pPr>
      <w:r>
        <w:rPr/>
        <w:t>Las fases con una responsabilidad menor son las de diseño escultor (solo impacta el consumo de la luz del taller/despacho) y la de eliminar soporte.</w:t>
      </w:r>
    </w:p>
    <w:p>
      <w:pPr>
        <w:pStyle w:val="BodyText"/>
      </w:pPr>
    </w:p>
    <w:p>
      <w:pPr>
        <w:pStyle w:val="BodyText"/>
        <w:spacing w:line="360" w:lineRule="auto" w:before="144"/>
        <w:ind w:left="100" w:right="98"/>
        <w:jc w:val="both"/>
      </w:pPr>
      <w:r>
        <w:rPr/>
        <w:t>La conclusión definitiva es el que la nueva tecnología de modelado 3D para aplicación en escultura es significativamente menos impactante para el medio ambiente que los modelados artesanales entre otros indicadores reduce en un 25% la huella de carbono-calentamiento global que provoca el cambio climático-) y la salud humana (reduce casi en un 40% las sustancias carcinógenas</w:t>
      </w:r>
      <w:r>
        <w:rPr>
          <w:spacing w:val="-30"/>
        </w:rPr>
        <w:t> </w:t>
      </w:r>
      <w:r>
        <w:rPr/>
        <w:t>emitidas).</w:t>
      </w:r>
    </w:p>
    <w:p>
      <w:pPr>
        <w:spacing w:after="0" w:line="360" w:lineRule="auto"/>
        <w:jc w:val="both"/>
        <w:sectPr>
          <w:pgSz w:w="12240" w:h="15840"/>
          <w:pgMar w:header="0" w:footer="1031" w:top="1420" w:bottom="1220" w:left="1600" w:right="1600"/>
        </w:sectPr>
      </w:pPr>
    </w:p>
    <w:p>
      <w:pPr>
        <w:pStyle w:val="Heading2"/>
        <w:numPr>
          <w:ilvl w:val="1"/>
          <w:numId w:val="64"/>
        </w:numPr>
        <w:tabs>
          <w:tab w:pos="677" w:val="left" w:leader="none"/>
        </w:tabs>
        <w:spacing w:line="240" w:lineRule="auto" w:before="49" w:after="0"/>
        <w:ind w:left="676" w:right="0" w:hanging="576"/>
        <w:jc w:val="both"/>
      </w:pPr>
      <w:bookmarkStart w:name="5.6. Discusiones" w:id="303"/>
      <w:bookmarkEnd w:id="303"/>
      <w:r>
        <w:rPr/>
      </w:r>
      <w:bookmarkStart w:name="_bookmark195" w:id="304"/>
      <w:bookmarkEnd w:id="304"/>
      <w:r>
        <w:rPr/>
      </w:r>
      <w:bookmarkStart w:name="_bookmark195" w:id="305"/>
      <w:bookmarkEnd w:id="305"/>
      <w:r>
        <w:rPr/>
        <w:t>D</w:t>
      </w:r>
      <w:r>
        <w:rPr/>
        <w:t>iscusiones</w:t>
      </w:r>
    </w:p>
    <w:p>
      <w:pPr>
        <w:pStyle w:val="BodyText"/>
        <w:rPr>
          <w:sz w:val="28"/>
        </w:rPr>
      </w:pPr>
    </w:p>
    <w:p>
      <w:pPr>
        <w:pStyle w:val="BodyText"/>
        <w:spacing w:before="8"/>
        <w:rPr>
          <w:sz w:val="22"/>
        </w:rPr>
      </w:pPr>
    </w:p>
    <w:p>
      <w:pPr>
        <w:pStyle w:val="BodyText"/>
        <w:spacing w:line="360" w:lineRule="auto"/>
        <w:ind w:left="100" w:right="100"/>
        <w:jc w:val="both"/>
      </w:pPr>
      <w:r>
        <w:rPr/>
        <w:t>Para discutir qué proceso de fabricación de la escultura sería más sustentable se plantean los siguientes árboles de requerimiento que funcionan otorgado un porcentaje a cada aspecto de tal manera que los cuatro sumen un 100%.</w:t>
      </w:r>
    </w:p>
    <w:p>
      <w:pPr>
        <w:pStyle w:val="BodyText"/>
      </w:pPr>
    </w:p>
    <w:p>
      <w:pPr>
        <w:pStyle w:val="BodyText"/>
        <w:spacing w:line="360" w:lineRule="auto" w:before="142"/>
        <w:ind w:left="100" w:right="103"/>
        <w:jc w:val="both"/>
      </w:pPr>
      <w:r>
        <w:rPr/>
        <w:t>Se plantean tres distintos escenarios en árboles de requerimiento en los cuales varían los valores cuantitativos en cada aspecto, que ayudarán a tomar la mejor decisión.</w:t>
      </w:r>
    </w:p>
    <w:p>
      <w:pPr>
        <w:pStyle w:val="BodyText"/>
      </w:pPr>
    </w:p>
    <w:p>
      <w:pPr>
        <w:pStyle w:val="BodyText"/>
        <w:spacing w:line="357" w:lineRule="auto" w:before="141"/>
        <w:ind w:left="100" w:right="103"/>
        <w:jc w:val="both"/>
      </w:pPr>
      <w:r>
        <w:rPr/>
        <w:t>En la </w:t>
      </w:r>
      <w:hyperlink w:history="true" w:anchor="_bookmark196">
        <w:r>
          <w:rPr/>
          <w:t>Figura 5.12</w:t>
        </w:r>
      </w:hyperlink>
      <w:r>
        <w:rPr/>
        <w:t> se observan los aspectos a comparar del proceso de fabricación de FV con resina poliéster.</w:t>
      </w:r>
    </w:p>
    <w:p>
      <w:pPr>
        <w:pStyle w:val="BodyText"/>
        <w:rPr>
          <w:sz w:val="20"/>
        </w:rPr>
      </w:pPr>
    </w:p>
    <w:p>
      <w:pPr>
        <w:pStyle w:val="BodyText"/>
        <w:spacing w:before="2"/>
        <w:rPr>
          <w:sz w:val="13"/>
        </w:rPr>
      </w:pPr>
      <w:r>
        <w:rPr/>
        <w:drawing>
          <wp:anchor distT="0" distB="0" distL="0" distR="0" allowOverlap="1" layoutInCell="1" locked="0" behindDoc="0" simplePos="0" relativeHeight="2416">
            <wp:simplePos x="0" y="0"/>
            <wp:positionH relativeFrom="page">
              <wp:posOffset>1085850</wp:posOffset>
            </wp:positionH>
            <wp:positionV relativeFrom="paragraph">
              <wp:posOffset>121271</wp:posOffset>
            </wp:positionV>
            <wp:extent cx="5628759" cy="1688973"/>
            <wp:effectExtent l="0" t="0" r="0" b="0"/>
            <wp:wrapTopAndBottom/>
            <wp:docPr id="265" name="image137.jpeg" descr=""/>
            <wp:cNvGraphicFramePr>
              <a:graphicFrameLocks noChangeAspect="1"/>
            </wp:cNvGraphicFramePr>
            <a:graphic>
              <a:graphicData uri="http://schemas.openxmlformats.org/drawingml/2006/picture">
                <pic:pic>
                  <pic:nvPicPr>
                    <pic:cNvPr id="266" name="image137.jpeg"/>
                    <pic:cNvPicPr/>
                  </pic:nvPicPr>
                  <pic:blipFill>
                    <a:blip r:embed="rId214" cstate="print"/>
                    <a:stretch>
                      <a:fillRect/>
                    </a:stretch>
                  </pic:blipFill>
                  <pic:spPr>
                    <a:xfrm>
                      <a:off x="0" y="0"/>
                      <a:ext cx="5628759" cy="1688973"/>
                    </a:xfrm>
                    <a:prstGeom prst="rect">
                      <a:avLst/>
                    </a:prstGeom>
                  </pic:spPr>
                </pic:pic>
              </a:graphicData>
            </a:graphic>
          </wp:anchor>
        </w:drawing>
      </w:r>
    </w:p>
    <w:p>
      <w:pPr>
        <w:spacing w:before="56"/>
        <w:ind w:left="1325" w:right="1071" w:firstLine="176"/>
        <w:jc w:val="left"/>
        <w:rPr>
          <w:sz w:val="18"/>
        </w:rPr>
      </w:pPr>
      <w:bookmarkStart w:name="_bookmark196" w:id="306"/>
      <w:bookmarkEnd w:id="306"/>
      <w:r>
        <w:rPr/>
      </w:r>
      <w:r>
        <w:rPr>
          <w:sz w:val="18"/>
        </w:rPr>
        <w:t>Figura 5.12. Árbol de requerimiento comparativo del proceso de fabricación de escultura con el método FV y de impresión 3D. (Fuente: Elaboración propia, 2015).</w:t>
      </w:r>
    </w:p>
    <w:p>
      <w:pPr>
        <w:pStyle w:val="BodyText"/>
        <w:rPr>
          <w:sz w:val="18"/>
        </w:rPr>
      </w:pPr>
    </w:p>
    <w:p>
      <w:pPr>
        <w:pStyle w:val="BodyText"/>
        <w:spacing w:before="2"/>
        <w:rPr>
          <w:sz w:val="18"/>
        </w:rPr>
      </w:pPr>
    </w:p>
    <w:p>
      <w:pPr>
        <w:pStyle w:val="BodyText"/>
        <w:spacing w:line="360" w:lineRule="auto" w:before="1"/>
        <w:ind w:left="100" w:right="98"/>
        <w:jc w:val="both"/>
      </w:pPr>
      <w:r>
        <w:rPr/>
        <w:t>A continuación se describe el diagrama de evaluación de objetivos ponderados de Nigel Cross, con tres diferentes escenarios donde se compara el proceso de fabricación de FV con Impresión 3D-PLA, otorgando un mismo valor entre los cuatro aspectos.</w:t>
      </w:r>
    </w:p>
    <w:p>
      <w:pPr>
        <w:pStyle w:val="BodyText"/>
      </w:pPr>
    </w:p>
    <w:p>
      <w:pPr>
        <w:pStyle w:val="BodyText"/>
        <w:spacing w:line="360" w:lineRule="auto" w:before="142"/>
        <w:ind w:left="100" w:right="100"/>
        <w:jc w:val="both"/>
      </w:pPr>
      <w:r>
        <w:rPr/>
        <w:t>Cada objetivo tiene una ponderación que debe sumar un total de 1.0. Después cada objetivo (ambiental, salud, costo y función) tiene un parámetro que también tiene un valor en su ponderación y todos deben sumar 1.0 Y se multiplican estas dos cantidades.</w:t>
      </w:r>
    </w:p>
    <w:p>
      <w:pPr>
        <w:spacing w:after="0" w:line="360" w:lineRule="auto"/>
        <w:jc w:val="both"/>
        <w:sectPr>
          <w:pgSz w:w="12240" w:h="15840"/>
          <w:pgMar w:header="0" w:footer="1031" w:top="1360" w:bottom="1220" w:left="1600" w:right="1600"/>
        </w:sectPr>
      </w:pPr>
    </w:p>
    <w:p>
      <w:pPr>
        <w:pStyle w:val="BodyText"/>
        <w:spacing w:line="360" w:lineRule="auto" w:before="55"/>
        <w:ind w:left="100" w:right="115"/>
        <w:jc w:val="both"/>
      </w:pPr>
      <w:r>
        <w:rPr/>
        <w:t>En el objetivo de Función (Exactitud al trasladar el volumen, tiempo de fabricación y estética) se tienen escalas cualitativas en la columna magnitud (ver </w:t>
      </w:r>
      <w:hyperlink w:history="true" w:anchor="_bookmark200">
        <w:r>
          <w:rPr/>
          <w:t>Tabla 5.23</w:t>
        </w:r>
      </w:hyperlink>
      <w:r>
        <w:rPr/>
        <w:t>), como se tienen que cuantificar los atributos muy bueno, bueno, regular, malo y muy malo a estos se les asigna una calificación numérica, siendo el menor valor  un resultado desfavorable y uno mayor favorable, y este criterio se mantiene en  los tres escenarios, como se muestra en la </w:t>
      </w:r>
      <w:hyperlink w:history="true" w:anchor="_bookmark197">
        <w:r>
          <w:rPr/>
          <w:t>Tabla</w:t>
        </w:r>
        <w:r>
          <w:rPr>
            <w:spacing w:val="-24"/>
          </w:rPr>
          <w:t> </w:t>
        </w:r>
        <w:r>
          <w:rPr/>
          <w:t>5.20.</w:t>
        </w:r>
      </w:hyperlink>
    </w:p>
    <w:p>
      <w:pPr>
        <w:pStyle w:val="BodyText"/>
      </w:pPr>
    </w:p>
    <w:p>
      <w:pPr>
        <w:spacing w:before="138" w:after="6"/>
        <w:ind w:left="1917" w:right="235" w:firstLine="0"/>
        <w:jc w:val="left"/>
        <w:rPr>
          <w:sz w:val="18"/>
        </w:rPr>
      </w:pPr>
      <w:bookmarkStart w:name="_bookmark197" w:id="307"/>
      <w:bookmarkEnd w:id="307"/>
      <w:r>
        <w:rPr/>
      </w:r>
      <w:r>
        <w:rPr>
          <w:sz w:val="18"/>
        </w:rPr>
        <w:t>Tabla 5.20. Valores cualitativos con su valor numérico para calificar.</w:t>
      </w:r>
    </w:p>
    <w:tbl>
      <w:tblPr>
        <w:tblW w:w="0" w:type="auto"/>
        <w:jc w:val="left"/>
        <w:tblInd w:w="25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402"/>
        <w:gridCol w:w="1518"/>
      </w:tblGrid>
      <w:tr>
        <w:trPr>
          <w:trHeight w:val="314" w:hRule="exact"/>
        </w:trPr>
        <w:tc>
          <w:tcPr>
            <w:tcW w:w="2402" w:type="dxa"/>
            <w:tcBorders>
              <w:bottom w:val="single" w:sz="3" w:space="0" w:color="000000"/>
              <w:right w:val="single" w:sz="3" w:space="0" w:color="000000"/>
            </w:tcBorders>
          </w:tcPr>
          <w:p>
            <w:pPr>
              <w:pStyle w:val="TableParagraph"/>
              <w:spacing w:before="76"/>
              <w:ind w:left="516" w:right="518"/>
              <w:jc w:val="center"/>
              <w:rPr>
                <w:rFonts w:ascii="Calibri"/>
                <w:sz w:val="18"/>
              </w:rPr>
            </w:pPr>
            <w:r>
              <w:rPr>
                <w:rFonts w:ascii="Calibri"/>
                <w:sz w:val="18"/>
              </w:rPr>
              <w:t>Escalas cualitativa</w:t>
            </w:r>
          </w:p>
        </w:tc>
        <w:tc>
          <w:tcPr>
            <w:tcW w:w="1518" w:type="dxa"/>
            <w:tcBorders>
              <w:left w:val="single" w:sz="3" w:space="0" w:color="000000"/>
              <w:bottom w:val="single" w:sz="3" w:space="0" w:color="000000"/>
            </w:tcBorders>
          </w:tcPr>
          <w:p>
            <w:pPr>
              <w:pStyle w:val="TableParagraph"/>
              <w:spacing w:before="76"/>
              <w:ind w:left="545" w:right="531"/>
              <w:jc w:val="center"/>
              <w:rPr>
                <w:rFonts w:ascii="Calibri"/>
                <w:sz w:val="18"/>
              </w:rPr>
            </w:pPr>
            <w:r>
              <w:rPr>
                <w:rFonts w:ascii="Calibri"/>
                <w:sz w:val="18"/>
              </w:rPr>
              <w:t>Valor</w:t>
            </w:r>
          </w:p>
        </w:tc>
      </w:tr>
      <w:tr>
        <w:trPr>
          <w:trHeight w:val="309" w:hRule="exact"/>
        </w:trPr>
        <w:tc>
          <w:tcPr>
            <w:tcW w:w="2402" w:type="dxa"/>
            <w:tcBorders>
              <w:top w:val="single" w:sz="3" w:space="0" w:color="000000"/>
              <w:bottom w:val="single" w:sz="3" w:space="0" w:color="000000"/>
              <w:right w:val="single" w:sz="3" w:space="0" w:color="000000"/>
            </w:tcBorders>
          </w:tcPr>
          <w:p>
            <w:pPr>
              <w:pStyle w:val="TableParagraph"/>
              <w:spacing w:before="77"/>
              <w:ind w:left="514" w:right="518"/>
              <w:jc w:val="center"/>
              <w:rPr>
                <w:rFonts w:ascii="Calibri"/>
                <w:sz w:val="18"/>
              </w:rPr>
            </w:pPr>
            <w:r>
              <w:rPr>
                <w:rFonts w:ascii="Calibri"/>
                <w:sz w:val="18"/>
              </w:rPr>
              <w:t>Muy Mala</w:t>
            </w:r>
          </w:p>
        </w:tc>
        <w:tc>
          <w:tcPr>
            <w:tcW w:w="1518" w:type="dxa"/>
            <w:tcBorders>
              <w:top w:val="single" w:sz="3" w:space="0" w:color="000000"/>
              <w:left w:val="single" w:sz="3" w:space="0" w:color="000000"/>
              <w:bottom w:val="single" w:sz="3" w:space="0" w:color="000000"/>
            </w:tcBorders>
          </w:tcPr>
          <w:p>
            <w:pPr>
              <w:pStyle w:val="TableParagraph"/>
              <w:spacing w:before="77"/>
              <w:ind w:left="11"/>
              <w:jc w:val="center"/>
              <w:rPr>
                <w:rFonts w:ascii="Calibri"/>
                <w:sz w:val="18"/>
              </w:rPr>
            </w:pPr>
            <w:r>
              <w:rPr>
                <w:rFonts w:ascii="Calibri"/>
                <w:sz w:val="18"/>
              </w:rPr>
              <w:t>1</w:t>
            </w:r>
          </w:p>
        </w:tc>
      </w:tr>
      <w:tr>
        <w:trPr>
          <w:trHeight w:val="312" w:hRule="exact"/>
        </w:trPr>
        <w:tc>
          <w:tcPr>
            <w:tcW w:w="2402" w:type="dxa"/>
            <w:tcBorders>
              <w:top w:val="single" w:sz="3" w:space="0" w:color="000000"/>
              <w:bottom w:val="single" w:sz="3" w:space="0" w:color="000000"/>
              <w:right w:val="single" w:sz="3" w:space="0" w:color="000000"/>
            </w:tcBorders>
          </w:tcPr>
          <w:p>
            <w:pPr>
              <w:pStyle w:val="TableParagraph"/>
              <w:spacing w:before="80"/>
              <w:ind w:left="514" w:right="518"/>
              <w:jc w:val="center"/>
              <w:rPr>
                <w:rFonts w:ascii="Calibri"/>
                <w:sz w:val="18"/>
              </w:rPr>
            </w:pPr>
            <w:r>
              <w:rPr>
                <w:rFonts w:ascii="Calibri"/>
                <w:sz w:val="18"/>
              </w:rPr>
              <w:t>Mala</w:t>
            </w:r>
          </w:p>
        </w:tc>
        <w:tc>
          <w:tcPr>
            <w:tcW w:w="1518" w:type="dxa"/>
            <w:tcBorders>
              <w:top w:val="single" w:sz="3" w:space="0" w:color="000000"/>
              <w:left w:val="single" w:sz="3" w:space="0" w:color="000000"/>
              <w:bottom w:val="single" w:sz="3" w:space="0" w:color="000000"/>
            </w:tcBorders>
          </w:tcPr>
          <w:p>
            <w:pPr>
              <w:pStyle w:val="TableParagraph"/>
              <w:spacing w:before="80"/>
              <w:ind w:left="11"/>
              <w:jc w:val="center"/>
              <w:rPr>
                <w:rFonts w:ascii="Calibri"/>
                <w:sz w:val="18"/>
              </w:rPr>
            </w:pPr>
            <w:r>
              <w:rPr>
                <w:rFonts w:ascii="Calibri"/>
                <w:sz w:val="18"/>
              </w:rPr>
              <w:t>2</w:t>
            </w:r>
          </w:p>
        </w:tc>
      </w:tr>
      <w:tr>
        <w:trPr>
          <w:trHeight w:val="308" w:hRule="exact"/>
        </w:trPr>
        <w:tc>
          <w:tcPr>
            <w:tcW w:w="2402" w:type="dxa"/>
            <w:tcBorders>
              <w:top w:val="single" w:sz="3" w:space="0" w:color="000000"/>
              <w:bottom w:val="single" w:sz="3" w:space="0" w:color="000000"/>
              <w:right w:val="single" w:sz="3" w:space="0" w:color="000000"/>
            </w:tcBorders>
          </w:tcPr>
          <w:p>
            <w:pPr>
              <w:pStyle w:val="TableParagraph"/>
              <w:spacing w:before="76"/>
              <w:ind w:left="516" w:right="516"/>
              <w:jc w:val="center"/>
              <w:rPr>
                <w:rFonts w:ascii="Calibri"/>
                <w:sz w:val="18"/>
              </w:rPr>
            </w:pPr>
            <w:r>
              <w:rPr>
                <w:rFonts w:ascii="Calibri"/>
                <w:sz w:val="18"/>
              </w:rPr>
              <w:t>Regular</w:t>
            </w:r>
          </w:p>
        </w:tc>
        <w:tc>
          <w:tcPr>
            <w:tcW w:w="1518" w:type="dxa"/>
            <w:tcBorders>
              <w:top w:val="single" w:sz="3" w:space="0" w:color="000000"/>
              <w:left w:val="single" w:sz="3" w:space="0" w:color="000000"/>
              <w:bottom w:val="single" w:sz="3" w:space="0" w:color="000000"/>
            </w:tcBorders>
          </w:tcPr>
          <w:p>
            <w:pPr>
              <w:pStyle w:val="TableParagraph"/>
              <w:spacing w:before="76"/>
              <w:ind w:left="11"/>
              <w:jc w:val="center"/>
              <w:rPr>
                <w:rFonts w:ascii="Calibri"/>
                <w:sz w:val="18"/>
              </w:rPr>
            </w:pPr>
            <w:r>
              <w:rPr>
                <w:rFonts w:ascii="Calibri"/>
                <w:sz w:val="18"/>
              </w:rPr>
              <w:t>3</w:t>
            </w:r>
          </w:p>
        </w:tc>
      </w:tr>
      <w:tr>
        <w:trPr>
          <w:trHeight w:val="312" w:hRule="exact"/>
        </w:trPr>
        <w:tc>
          <w:tcPr>
            <w:tcW w:w="2402" w:type="dxa"/>
            <w:tcBorders>
              <w:top w:val="single" w:sz="3" w:space="0" w:color="000000"/>
              <w:bottom w:val="single" w:sz="3" w:space="0" w:color="000000"/>
              <w:right w:val="single" w:sz="3" w:space="0" w:color="000000"/>
            </w:tcBorders>
          </w:tcPr>
          <w:p>
            <w:pPr>
              <w:pStyle w:val="TableParagraph"/>
              <w:spacing w:before="80"/>
              <w:ind w:left="514" w:right="518"/>
              <w:jc w:val="center"/>
              <w:rPr>
                <w:rFonts w:ascii="Calibri"/>
                <w:sz w:val="18"/>
              </w:rPr>
            </w:pPr>
            <w:r>
              <w:rPr>
                <w:rFonts w:ascii="Calibri"/>
                <w:sz w:val="18"/>
              </w:rPr>
              <w:t>Buena</w:t>
            </w:r>
          </w:p>
        </w:tc>
        <w:tc>
          <w:tcPr>
            <w:tcW w:w="1518" w:type="dxa"/>
            <w:tcBorders>
              <w:top w:val="single" w:sz="3" w:space="0" w:color="000000"/>
              <w:left w:val="single" w:sz="3" w:space="0" w:color="000000"/>
              <w:bottom w:val="single" w:sz="3" w:space="0" w:color="000000"/>
            </w:tcBorders>
          </w:tcPr>
          <w:p>
            <w:pPr>
              <w:pStyle w:val="TableParagraph"/>
              <w:spacing w:before="80"/>
              <w:ind w:left="11"/>
              <w:jc w:val="center"/>
              <w:rPr>
                <w:rFonts w:ascii="Calibri"/>
                <w:sz w:val="18"/>
              </w:rPr>
            </w:pPr>
            <w:r>
              <w:rPr>
                <w:rFonts w:ascii="Calibri"/>
                <w:sz w:val="18"/>
              </w:rPr>
              <w:t>4</w:t>
            </w:r>
          </w:p>
        </w:tc>
      </w:tr>
      <w:tr>
        <w:trPr>
          <w:trHeight w:val="330" w:hRule="exact"/>
        </w:trPr>
        <w:tc>
          <w:tcPr>
            <w:tcW w:w="2402" w:type="dxa"/>
            <w:tcBorders>
              <w:top w:val="single" w:sz="3" w:space="0" w:color="000000"/>
              <w:right w:val="single" w:sz="3" w:space="0" w:color="000000"/>
            </w:tcBorders>
          </w:tcPr>
          <w:p>
            <w:pPr>
              <w:pStyle w:val="TableParagraph"/>
              <w:spacing w:before="92"/>
              <w:ind w:left="513" w:right="518"/>
              <w:jc w:val="center"/>
              <w:rPr>
                <w:rFonts w:ascii="Calibri"/>
                <w:sz w:val="18"/>
              </w:rPr>
            </w:pPr>
            <w:r>
              <w:rPr>
                <w:rFonts w:ascii="Calibri"/>
                <w:sz w:val="18"/>
              </w:rPr>
              <w:t>Muy Buena</w:t>
            </w:r>
          </w:p>
        </w:tc>
        <w:tc>
          <w:tcPr>
            <w:tcW w:w="1518" w:type="dxa"/>
            <w:tcBorders>
              <w:top w:val="single" w:sz="3" w:space="0" w:color="000000"/>
              <w:left w:val="single" w:sz="3" w:space="0" w:color="000000"/>
            </w:tcBorders>
          </w:tcPr>
          <w:p>
            <w:pPr>
              <w:pStyle w:val="TableParagraph"/>
              <w:spacing w:before="92"/>
              <w:ind w:left="11"/>
              <w:jc w:val="center"/>
              <w:rPr>
                <w:rFonts w:ascii="Calibri"/>
                <w:sz w:val="18"/>
              </w:rPr>
            </w:pPr>
            <w:r>
              <w:rPr>
                <w:rFonts w:ascii="Calibri"/>
                <w:sz w:val="18"/>
              </w:rPr>
              <w:t>5</w:t>
            </w:r>
          </w:p>
        </w:tc>
      </w:tr>
    </w:tbl>
    <w:p>
      <w:pPr>
        <w:spacing w:line="202" w:lineRule="exact" w:before="0"/>
        <w:ind w:left="1009" w:right="1029" w:firstLine="0"/>
        <w:jc w:val="center"/>
        <w:rPr>
          <w:sz w:val="18"/>
        </w:rPr>
      </w:pPr>
      <w:r>
        <w:rPr>
          <w:sz w:val="18"/>
        </w:rPr>
        <w:t>(Fuente: Elaboración propia, 2015).</w:t>
      </w:r>
    </w:p>
    <w:p>
      <w:pPr>
        <w:pStyle w:val="BodyText"/>
        <w:rPr>
          <w:sz w:val="18"/>
        </w:rPr>
      </w:pPr>
    </w:p>
    <w:p>
      <w:pPr>
        <w:pStyle w:val="BodyText"/>
        <w:rPr>
          <w:sz w:val="18"/>
        </w:rPr>
      </w:pPr>
    </w:p>
    <w:p>
      <w:pPr>
        <w:pStyle w:val="BodyText"/>
        <w:spacing w:line="360" w:lineRule="auto" w:before="107"/>
        <w:ind w:left="100" w:right="116"/>
        <w:jc w:val="both"/>
      </w:pPr>
      <w:r>
        <w:rPr/>
        <w:t>Las columnas Magnitud y Calificación del aspecto ambiental y de salud se obtuvieron de la </w:t>
      </w:r>
      <w:hyperlink w:history="true" w:anchor="_bookmark190">
        <w:r>
          <w:rPr/>
          <w:t>Figura 5.9</w:t>
        </w:r>
      </w:hyperlink>
      <w:r>
        <w:rPr/>
        <w:t>, que muestra los resultado del Sima Pro, la amplitud máxima de la ordenada es 100% que es relacionado con el mayor daño al medio ambiente y a la salud; y el 0% al menor daño, por eso se cambia la escala valorativa haciendo corresponder a las cualidades positivas con números  elevados.</w:t>
      </w:r>
    </w:p>
    <w:p>
      <w:pPr>
        <w:spacing w:before="2"/>
        <w:ind w:left="4277" w:right="1342" w:hanging="2713"/>
        <w:jc w:val="left"/>
        <w:rPr>
          <w:sz w:val="18"/>
        </w:rPr>
      </w:pPr>
      <w:bookmarkStart w:name="_bookmark198" w:id="308"/>
      <w:bookmarkEnd w:id="308"/>
      <w:r>
        <w:rPr/>
      </w:r>
      <w:r>
        <w:rPr>
          <w:sz w:val="18"/>
        </w:rPr>
        <w:t>Tabla 5.21. Tabla para obtener la calificación de la magnitud en las tablas de decisión.</w:t>
      </w:r>
    </w:p>
    <w:tbl>
      <w:tblPr>
        <w:tblW w:w="0" w:type="auto"/>
        <w:jc w:val="left"/>
        <w:tblInd w:w="25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402"/>
        <w:gridCol w:w="1518"/>
      </w:tblGrid>
      <w:tr>
        <w:trPr>
          <w:trHeight w:val="314" w:hRule="exact"/>
        </w:trPr>
        <w:tc>
          <w:tcPr>
            <w:tcW w:w="2402" w:type="dxa"/>
            <w:tcBorders>
              <w:bottom w:val="single" w:sz="3" w:space="0" w:color="000000"/>
              <w:right w:val="single" w:sz="3" w:space="0" w:color="000000"/>
            </w:tcBorders>
          </w:tcPr>
          <w:p>
            <w:pPr>
              <w:pStyle w:val="TableParagraph"/>
              <w:spacing w:before="80"/>
              <w:ind w:left="516" w:right="518"/>
              <w:jc w:val="center"/>
              <w:rPr>
                <w:rFonts w:ascii="Calibri"/>
                <w:sz w:val="18"/>
              </w:rPr>
            </w:pPr>
            <w:r>
              <w:rPr>
                <w:rFonts w:ascii="Calibri"/>
                <w:sz w:val="18"/>
              </w:rPr>
              <w:t>Escala Porcentaje</w:t>
            </w:r>
          </w:p>
        </w:tc>
        <w:tc>
          <w:tcPr>
            <w:tcW w:w="1518" w:type="dxa"/>
            <w:tcBorders>
              <w:left w:val="single" w:sz="3" w:space="0" w:color="000000"/>
              <w:bottom w:val="single" w:sz="3" w:space="0" w:color="000000"/>
            </w:tcBorders>
          </w:tcPr>
          <w:p>
            <w:pPr>
              <w:pStyle w:val="TableParagraph"/>
              <w:spacing w:before="80"/>
              <w:ind w:left="545" w:right="531"/>
              <w:jc w:val="center"/>
              <w:rPr>
                <w:rFonts w:ascii="Calibri"/>
                <w:sz w:val="18"/>
              </w:rPr>
            </w:pPr>
            <w:r>
              <w:rPr>
                <w:rFonts w:ascii="Calibri"/>
                <w:sz w:val="18"/>
              </w:rPr>
              <w:t>Valor</w:t>
            </w:r>
          </w:p>
        </w:tc>
      </w:tr>
      <w:tr>
        <w:trPr>
          <w:trHeight w:val="312" w:hRule="exact"/>
        </w:trPr>
        <w:tc>
          <w:tcPr>
            <w:tcW w:w="2402" w:type="dxa"/>
            <w:tcBorders>
              <w:top w:val="single" w:sz="3" w:space="0" w:color="000000"/>
              <w:bottom w:val="single" w:sz="3" w:space="0" w:color="000000"/>
              <w:right w:val="single" w:sz="3" w:space="0" w:color="000000"/>
            </w:tcBorders>
          </w:tcPr>
          <w:p>
            <w:pPr>
              <w:pStyle w:val="TableParagraph"/>
              <w:spacing w:before="81"/>
              <w:ind w:left="516" w:right="515"/>
              <w:jc w:val="center"/>
              <w:rPr>
                <w:rFonts w:ascii="Calibri"/>
                <w:sz w:val="18"/>
              </w:rPr>
            </w:pPr>
            <w:r>
              <w:rPr>
                <w:rFonts w:ascii="Calibri"/>
                <w:sz w:val="18"/>
              </w:rPr>
              <w:t>100%</w:t>
            </w:r>
          </w:p>
        </w:tc>
        <w:tc>
          <w:tcPr>
            <w:tcW w:w="1518" w:type="dxa"/>
            <w:tcBorders>
              <w:top w:val="single" w:sz="3" w:space="0" w:color="000000"/>
              <w:left w:val="single" w:sz="3" w:space="0" w:color="000000"/>
              <w:bottom w:val="single" w:sz="3" w:space="0" w:color="000000"/>
            </w:tcBorders>
          </w:tcPr>
          <w:p>
            <w:pPr>
              <w:pStyle w:val="TableParagraph"/>
              <w:spacing w:before="81"/>
              <w:ind w:left="11"/>
              <w:jc w:val="center"/>
              <w:rPr>
                <w:rFonts w:ascii="Calibri"/>
                <w:sz w:val="18"/>
              </w:rPr>
            </w:pPr>
            <w:r>
              <w:rPr>
                <w:rFonts w:ascii="Calibri"/>
                <w:sz w:val="18"/>
              </w:rPr>
              <w:t>0</w:t>
            </w:r>
          </w:p>
        </w:tc>
      </w:tr>
      <w:tr>
        <w:trPr>
          <w:trHeight w:val="308" w:hRule="exact"/>
        </w:trPr>
        <w:tc>
          <w:tcPr>
            <w:tcW w:w="2402" w:type="dxa"/>
            <w:tcBorders>
              <w:top w:val="single" w:sz="3" w:space="0" w:color="000000"/>
              <w:bottom w:val="single" w:sz="3" w:space="0" w:color="000000"/>
              <w:right w:val="single" w:sz="3" w:space="0" w:color="000000"/>
            </w:tcBorders>
          </w:tcPr>
          <w:p>
            <w:pPr>
              <w:pStyle w:val="TableParagraph"/>
              <w:spacing w:before="80"/>
              <w:ind w:left="516" w:right="517"/>
              <w:jc w:val="center"/>
              <w:rPr>
                <w:rFonts w:ascii="Calibri"/>
                <w:sz w:val="18"/>
              </w:rPr>
            </w:pPr>
            <w:r>
              <w:rPr>
                <w:rFonts w:ascii="Calibri"/>
                <w:sz w:val="18"/>
              </w:rPr>
              <w:t>90%</w:t>
            </w:r>
          </w:p>
        </w:tc>
        <w:tc>
          <w:tcPr>
            <w:tcW w:w="1518" w:type="dxa"/>
            <w:tcBorders>
              <w:top w:val="single" w:sz="3" w:space="0" w:color="000000"/>
              <w:left w:val="single" w:sz="3" w:space="0" w:color="000000"/>
              <w:bottom w:val="single" w:sz="3" w:space="0" w:color="000000"/>
            </w:tcBorders>
          </w:tcPr>
          <w:p>
            <w:pPr>
              <w:pStyle w:val="TableParagraph"/>
              <w:spacing w:before="80"/>
              <w:ind w:left="11"/>
              <w:jc w:val="center"/>
              <w:rPr>
                <w:rFonts w:ascii="Calibri"/>
                <w:sz w:val="18"/>
              </w:rPr>
            </w:pPr>
            <w:r>
              <w:rPr>
                <w:rFonts w:ascii="Calibri"/>
                <w:sz w:val="18"/>
              </w:rPr>
              <w:t>1</w:t>
            </w:r>
          </w:p>
        </w:tc>
      </w:tr>
      <w:tr>
        <w:trPr>
          <w:trHeight w:val="312" w:hRule="exact"/>
        </w:trPr>
        <w:tc>
          <w:tcPr>
            <w:tcW w:w="2402" w:type="dxa"/>
            <w:tcBorders>
              <w:top w:val="single" w:sz="3" w:space="0" w:color="000000"/>
              <w:bottom w:val="single" w:sz="3" w:space="0" w:color="000000"/>
              <w:right w:val="single" w:sz="3" w:space="0" w:color="000000"/>
            </w:tcBorders>
          </w:tcPr>
          <w:p>
            <w:pPr>
              <w:pStyle w:val="TableParagraph"/>
              <w:spacing w:before="80"/>
              <w:ind w:left="516" w:right="517"/>
              <w:jc w:val="center"/>
              <w:rPr>
                <w:rFonts w:ascii="Calibri"/>
                <w:sz w:val="18"/>
              </w:rPr>
            </w:pPr>
            <w:r>
              <w:rPr>
                <w:rFonts w:ascii="Calibri"/>
                <w:sz w:val="18"/>
              </w:rPr>
              <w:t>80%</w:t>
            </w:r>
          </w:p>
        </w:tc>
        <w:tc>
          <w:tcPr>
            <w:tcW w:w="1518" w:type="dxa"/>
            <w:tcBorders>
              <w:top w:val="single" w:sz="3" w:space="0" w:color="000000"/>
              <w:left w:val="single" w:sz="3" w:space="0" w:color="000000"/>
              <w:bottom w:val="single" w:sz="3" w:space="0" w:color="000000"/>
            </w:tcBorders>
          </w:tcPr>
          <w:p>
            <w:pPr>
              <w:pStyle w:val="TableParagraph"/>
              <w:spacing w:before="80"/>
              <w:ind w:left="11"/>
              <w:jc w:val="center"/>
              <w:rPr>
                <w:rFonts w:ascii="Calibri"/>
                <w:sz w:val="18"/>
              </w:rPr>
            </w:pPr>
            <w:r>
              <w:rPr>
                <w:rFonts w:ascii="Calibri"/>
                <w:sz w:val="18"/>
              </w:rPr>
              <w:t>2</w:t>
            </w:r>
          </w:p>
        </w:tc>
      </w:tr>
      <w:tr>
        <w:trPr>
          <w:trHeight w:val="308" w:hRule="exact"/>
        </w:trPr>
        <w:tc>
          <w:tcPr>
            <w:tcW w:w="2402" w:type="dxa"/>
            <w:tcBorders>
              <w:top w:val="single" w:sz="3" w:space="0" w:color="000000"/>
              <w:bottom w:val="single" w:sz="3" w:space="0" w:color="000000"/>
              <w:right w:val="single" w:sz="3" w:space="0" w:color="000000"/>
            </w:tcBorders>
          </w:tcPr>
          <w:p>
            <w:pPr>
              <w:pStyle w:val="TableParagraph"/>
              <w:spacing w:before="80"/>
              <w:ind w:left="516" w:right="517"/>
              <w:jc w:val="center"/>
              <w:rPr>
                <w:rFonts w:ascii="Calibri"/>
                <w:sz w:val="18"/>
              </w:rPr>
            </w:pPr>
            <w:r>
              <w:rPr>
                <w:rFonts w:ascii="Calibri"/>
                <w:sz w:val="18"/>
              </w:rPr>
              <w:t>70%</w:t>
            </w:r>
          </w:p>
        </w:tc>
        <w:tc>
          <w:tcPr>
            <w:tcW w:w="1518" w:type="dxa"/>
            <w:tcBorders>
              <w:top w:val="single" w:sz="3" w:space="0" w:color="000000"/>
              <w:left w:val="single" w:sz="3" w:space="0" w:color="000000"/>
              <w:bottom w:val="single" w:sz="3" w:space="0" w:color="000000"/>
            </w:tcBorders>
          </w:tcPr>
          <w:p>
            <w:pPr>
              <w:pStyle w:val="TableParagraph"/>
              <w:spacing w:before="80"/>
              <w:ind w:left="11"/>
              <w:jc w:val="center"/>
              <w:rPr>
                <w:rFonts w:ascii="Calibri"/>
                <w:sz w:val="18"/>
              </w:rPr>
            </w:pPr>
            <w:r>
              <w:rPr>
                <w:rFonts w:ascii="Calibri"/>
                <w:sz w:val="18"/>
              </w:rPr>
              <w:t>3</w:t>
            </w:r>
          </w:p>
        </w:tc>
      </w:tr>
      <w:tr>
        <w:trPr>
          <w:trHeight w:val="312" w:hRule="exact"/>
        </w:trPr>
        <w:tc>
          <w:tcPr>
            <w:tcW w:w="2402" w:type="dxa"/>
            <w:tcBorders>
              <w:top w:val="single" w:sz="3" w:space="0" w:color="000000"/>
              <w:bottom w:val="single" w:sz="3" w:space="0" w:color="000000"/>
              <w:right w:val="single" w:sz="3" w:space="0" w:color="000000"/>
            </w:tcBorders>
          </w:tcPr>
          <w:p>
            <w:pPr>
              <w:pStyle w:val="TableParagraph"/>
              <w:spacing w:before="80"/>
              <w:ind w:left="516" w:right="517"/>
              <w:jc w:val="center"/>
              <w:rPr>
                <w:rFonts w:ascii="Calibri"/>
                <w:sz w:val="18"/>
              </w:rPr>
            </w:pPr>
            <w:r>
              <w:rPr>
                <w:rFonts w:ascii="Calibri"/>
                <w:sz w:val="18"/>
              </w:rPr>
              <w:t>60%</w:t>
            </w:r>
          </w:p>
        </w:tc>
        <w:tc>
          <w:tcPr>
            <w:tcW w:w="1518" w:type="dxa"/>
            <w:tcBorders>
              <w:top w:val="single" w:sz="3" w:space="0" w:color="000000"/>
              <w:left w:val="single" w:sz="3" w:space="0" w:color="000000"/>
              <w:bottom w:val="single" w:sz="3" w:space="0" w:color="000000"/>
            </w:tcBorders>
          </w:tcPr>
          <w:p>
            <w:pPr>
              <w:pStyle w:val="TableParagraph"/>
              <w:spacing w:before="80"/>
              <w:ind w:left="11"/>
              <w:jc w:val="center"/>
              <w:rPr>
                <w:rFonts w:ascii="Calibri"/>
                <w:sz w:val="18"/>
              </w:rPr>
            </w:pPr>
            <w:r>
              <w:rPr>
                <w:rFonts w:ascii="Calibri"/>
                <w:sz w:val="18"/>
              </w:rPr>
              <w:t>4</w:t>
            </w:r>
          </w:p>
        </w:tc>
      </w:tr>
      <w:tr>
        <w:trPr>
          <w:trHeight w:val="308" w:hRule="exact"/>
        </w:trPr>
        <w:tc>
          <w:tcPr>
            <w:tcW w:w="2402" w:type="dxa"/>
            <w:tcBorders>
              <w:top w:val="single" w:sz="3" w:space="0" w:color="000000"/>
              <w:bottom w:val="single" w:sz="3" w:space="0" w:color="000000"/>
              <w:right w:val="single" w:sz="3" w:space="0" w:color="000000"/>
            </w:tcBorders>
          </w:tcPr>
          <w:p>
            <w:pPr>
              <w:pStyle w:val="TableParagraph"/>
              <w:spacing w:before="80"/>
              <w:ind w:left="516" w:right="517"/>
              <w:jc w:val="center"/>
              <w:rPr>
                <w:rFonts w:ascii="Calibri"/>
                <w:sz w:val="18"/>
              </w:rPr>
            </w:pPr>
            <w:r>
              <w:rPr>
                <w:rFonts w:ascii="Calibri"/>
                <w:sz w:val="18"/>
              </w:rPr>
              <w:t>50%</w:t>
            </w:r>
          </w:p>
        </w:tc>
        <w:tc>
          <w:tcPr>
            <w:tcW w:w="1518" w:type="dxa"/>
            <w:tcBorders>
              <w:top w:val="single" w:sz="3" w:space="0" w:color="000000"/>
              <w:left w:val="single" w:sz="3" w:space="0" w:color="000000"/>
              <w:bottom w:val="single" w:sz="3" w:space="0" w:color="000000"/>
            </w:tcBorders>
          </w:tcPr>
          <w:p>
            <w:pPr>
              <w:pStyle w:val="TableParagraph"/>
              <w:spacing w:before="80"/>
              <w:ind w:left="11"/>
              <w:jc w:val="center"/>
              <w:rPr>
                <w:rFonts w:ascii="Calibri"/>
                <w:sz w:val="18"/>
              </w:rPr>
            </w:pPr>
            <w:r>
              <w:rPr>
                <w:rFonts w:ascii="Calibri"/>
                <w:sz w:val="18"/>
              </w:rPr>
              <w:t>5</w:t>
            </w:r>
          </w:p>
        </w:tc>
      </w:tr>
      <w:tr>
        <w:trPr>
          <w:trHeight w:val="312" w:hRule="exact"/>
        </w:trPr>
        <w:tc>
          <w:tcPr>
            <w:tcW w:w="2402" w:type="dxa"/>
            <w:tcBorders>
              <w:top w:val="single" w:sz="3" w:space="0" w:color="000000"/>
              <w:bottom w:val="single" w:sz="3" w:space="0" w:color="000000"/>
              <w:right w:val="single" w:sz="3" w:space="0" w:color="000000"/>
            </w:tcBorders>
          </w:tcPr>
          <w:p>
            <w:pPr>
              <w:pStyle w:val="TableParagraph"/>
              <w:spacing w:before="80"/>
              <w:ind w:left="516" w:right="517"/>
              <w:jc w:val="center"/>
              <w:rPr>
                <w:rFonts w:ascii="Calibri"/>
                <w:sz w:val="18"/>
              </w:rPr>
            </w:pPr>
            <w:r>
              <w:rPr>
                <w:rFonts w:ascii="Calibri"/>
                <w:sz w:val="18"/>
              </w:rPr>
              <w:t>40%</w:t>
            </w:r>
          </w:p>
        </w:tc>
        <w:tc>
          <w:tcPr>
            <w:tcW w:w="1518" w:type="dxa"/>
            <w:tcBorders>
              <w:top w:val="single" w:sz="3" w:space="0" w:color="000000"/>
              <w:left w:val="single" w:sz="3" w:space="0" w:color="000000"/>
              <w:bottom w:val="single" w:sz="3" w:space="0" w:color="000000"/>
            </w:tcBorders>
          </w:tcPr>
          <w:p>
            <w:pPr>
              <w:pStyle w:val="TableParagraph"/>
              <w:spacing w:before="80"/>
              <w:ind w:left="11"/>
              <w:jc w:val="center"/>
              <w:rPr>
                <w:rFonts w:ascii="Calibri"/>
                <w:sz w:val="18"/>
              </w:rPr>
            </w:pPr>
            <w:r>
              <w:rPr>
                <w:rFonts w:ascii="Calibri"/>
                <w:sz w:val="18"/>
              </w:rPr>
              <w:t>6</w:t>
            </w:r>
          </w:p>
        </w:tc>
      </w:tr>
      <w:tr>
        <w:trPr>
          <w:trHeight w:val="308" w:hRule="exact"/>
        </w:trPr>
        <w:tc>
          <w:tcPr>
            <w:tcW w:w="2402" w:type="dxa"/>
            <w:tcBorders>
              <w:top w:val="single" w:sz="3" w:space="0" w:color="000000"/>
              <w:bottom w:val="single" w:sz="3" w:space="0" w:color="000000"/>
              <w:right w:val="single" w:sz="3" w:space="0" w:color="000000"/>
            </w:tcBorders>
          </w:tcPr>
          <w:p>
            <w:pPr>
              <w:pStyle w:val="TableParagraph"/>
              <w:spacing w:before="80"/>
              <w:ind w:left="516" w:right="517"/>
              <w:jc w:val="center"/>
              <w:rPr>
                <w:rFonts w:ascii="Calibri"/>
                <w:sz w:val="18"/>
              </w:rPr>
            </w:pPr>
            <w:r>
              <w:rPr>
                <w:rFonts w:ascii="Calibri"/>
                <w:sz w:val="18"/>
              </w:rPr>
              <w:t>30%</w:t>
            </w:r>
          </w:p>
        </w:tc>
        <w:tc>
          <w:tcPr>
            <w:tcW w:w="1518" w:type="dxa"/>
            <w:tcBorders>
              <w:top w:val="single" w:sz="3" w:space="0" w:color="000000"/>
              <w:left w:val="single" w:sz="3" w:space="0" w:color="000000"/>
              <w:bottom w:val="single" w:sz="3" w:space="0" w:color="000000"/>
            </w:tcBorders>
          </w:tcPr>
          <w:p>
            <w:pPr>
              <w:pStyle w:val="TableParagraph"/>
              <w:spacing w:before="80"/>
              <w:ind w:left="11"/>
              <w:jc w:val="center"/>
              <w:rPr>
                <w:rFonts w:ascii="Calibri"/>
                <w:sz w:val="18"/>
              </w:rPr>
            </w:pPr>
            <w:r>
              <w:rPr>
                <w:rFonts w:ascii="Calibri"/>
                <w:sz w:val="18"/>
              </w:rPr>
              <w:t>7</w:t>
            </w:r>
          </w:p>
        </w:tc>
      </w:tr>
      <w:tr>
        <w:trPr>
          <w:trHeight w:val="313" w:hRule="exact"/>
        </w:trPr>
        <w:tc>
          <w:tcPr>
            <w:tcW w:w="2402" w:type="dxa"/>
            <w:tcBorders>
              <w:top w:val="single" w:sz="3" w:space="0" w:color="000000"/>
              <w:bottom w:val="single" w:sz="3" w:space="0" w:color="000000"/>
              <w:right w:val="single" w:sz="3" w:space="0" w:color="000000"/>
            </w:tcBorders>
          </w:tcPr>
          <w:p>
            <w:pPr>
              <w:pStyle w:val="TableParagraph"/>
              <w:spacing w:before="81"/>
              <w:ind w:left="516" w:right="517"/>
              <w:jc w:val="center"/>
              <w:rPr>
                <w:rFonts w:ascii="Calibri"/>
                <w:sz w:val="18"/>
              </w:rPr>
            </w:pPr>
            <w:r>
              <w:rPr>
                <w:rFonts w:ascii="Calibri"/>
                <w:sz w:val="18"/>
              </w:rPr>
              <w:t>20%</w:t>
            </w:r>
          </w:p>
        </w:tc>
        <w:tc>
          <w:tcPr>
            <w:tcW w:w="1518" w:type="dxa"/>
            <w:tcBorders>
              <w:top w:val="single" w:sz="3" w:space="0" w:color="000000"/>
              <w:left w:val="single" w:sz="3" w:space="0" w:color="000000"/>
              <w:bottom w:val="single" w:sz="3" w:space="0" w:color="000000"/>
            </w:tcBorders>
          </w:tcPr>
          <w:p>
            <w:pPr>
              <w:pStyle w:val="TableParagraph"/>
              <w:spacing w:before="81"/>
              <w:ind w:left="11"/>
              <w:jc w:val="center"/>
              <w:rPr>
                <w:rFonts w:ascii="Calibri"/>
                <w:sz w:val="18"/>
              </w:rPr>
            </w:pPr>
            <w:r>
              <w:rPr>
                <w:rFonts w:ascii="Calibri"/>
                <w:sz w:val="18"/>
              </w:rPr>
              <w:t>8</w:t>
            </w:r>
          </w:p>
        </w:tc>
      </w:tr>
      <w:tr>
        <w:trPr>
          <w:trHeight w:val="308" w:hRule="exact"/>
        </w:trPr>
        <w:tc>
          <w:tcPr>
            <w:tcW w:w="2402" w:type="dxa"/>
            <w:tcBorders>
              <w:top w:val="single" w:sz="3" w:space="0" w:color="000000"/>
              <w:bottom w:val="single" w:sz="3" w:space="0" w:color="000000"/>
              <w:right w:val="single" w:sz="3" w:space="0" w:color="000000"/>
            </w:tcBorders>
          </w:tcPr>
          <w:p>
            <w:pPr>
              <w:pStyle w:val="TableParagraph"/>
              <w:spacing w:before="80"/>
              <w:ind w:left="516" w:right="517"/>
              <w:jc w:val="center"/>
              <w:rPr>
                <w:rFonts w:ascii="Calibri"/>
                <w:sz w:val="18"/>
              </w:rPr>
            </w:pPr>
            <w:r>
              <w:rPr>
                <w:rFonts w:ascii="Calibri"/>
                <w:sz w:val="18"/>
              </w:rPr>
              <w:t>10%</w:t>
            </w:r>
          </w:p>
        </w:tc>
        <w:tc>
          <w:tcPr>
            <w:tcW w:w="1518" w:type="dxa"/>
            <w:tcBorders>
              <w:top w:val="single" w:sz="3" w:space="0" w:color="000000"/>
              <w:left w:val="single" w:sz="3" w:space="0" w:color="000000"/>
              <w:bottom w:val="single" w:sz="3" w:space="0" w:color="000000"/>
            </w:tcBorders>
          </w:tcPr>
          <w:p>
            <w:pPr>
              <w:pStyle w:val="TableParagraph"/>
              <w:spacing w:before="80"/>
              <w:ind w:left="11"/>
              <w:jc w:val="center"/>
              <w:rPr>
                <w:rFonts w:ascii="Calibri"/>
                <w:sz w:val="18"/>
              </w:rPr>
            </w:pPr>
            <w:r>
              <w:rPr>
                <w:rFonts w:ascii="Calibri"/>
                <w:sz w:val="18"/>
              </w:rPr>
              <w:t>9</w:t>
            </w:r>
          </w:p>
        </w:tc>
      </w:tr>
      <w:tr>
        <w:trPr>
          <w:trHeight w:val="334" w:hRule="exact"/>
        </w:trPr>
        <w:tc>
          <w:tcPr>
            <w:tcW w:w="2402" w:type="dxa"/>
            <w:tcBorders>
              <w:top w:val="single" w:sz="3" w:space="0" w:color="000000"/>
              <w:right w:val="single" w:sz="3" w:space="0" w:color="000000"/>
            </w:tcBorders>
          </w:tcPr>
          <w:p>
            <w:pPr>
              <w:pStyle w:val="TableParagraph"/>
              <w:spacing w:before="96"/>
              <w:ind w:left="516" w:right="516"/>
              <w:jc w:val="center"/>
              <w:rPr>
                <w:rFonts w:ascii="Calibri"/>
                <w:sz w:val="18"/>
              </w:rPr>
            </w:pPr>
            <w:r>
              <w:rPr>
                <w:rFonts w:ascii="Calibri"/>
                <w:sz w:val="18"/>
              </w:rPr>
              <w:t>0%</w:t>
            </w:r>
          </w:p>
        </w:tc>
        <w:tc>
          <w:tcPr>
            <w:tcW w:w="1518" w:type="dxa"/>
            <w:tcBorders>
              <w:top w:val="single" w:sz="3" w:space="0" w:color="000000"/>
              <w:left w:val="single" w:sz="3" w:space="0" w:color="000000"/>
            </w:tcBorders>
          </w:tcPr>
          <w:p>
            <w:pPr>
              <w:pStyle w:val="TableParagraph"/>
              <w:spacing w:before="96"/>
              <w:ind w:left="539" w:right="531"/>
              <w:jc w:val="center"/>
              <w:rPr>
                <w:rFonts w:ascii="Calibri"/>
                <w:sz w:val="18"/>
              </w:rPr>
            </w:pPr>
            <w:r>
              <w:rPr>
                <w:rFonts w:ascii="Calibri"/>
                <w:sz w:val="18"/>
              </w:rPr>
              <w:t>10</w:t>
            </w:r>
          </w:p>
        </w:tc>
      </w:tr>
    </w:tbl>
    <w:p>
      <w:pPr>
        <w:spacing w:line="202" w:lineRule="exact" w:before="0"/>
        <w:ind w:left="3457" w:right="235" w:firstLine="0"/>
        <w:jc w:val="left"/>
        <w:rPr>
          <w:sz w:val="18"/>
        </w:rPr>
      </w:pPr>
      <w:r>
        <w:rPr>
          <w:sz w:val="18"/>
        </w:rPr>
        <w:t>(Fuente: Elaboración propia, 2015).</w:t>
      </w:r>
    </w:p>
    <w:p>
      <w:pPr>
        <w:spacing w:after="0" w:line="202" w:lineRule="exact"/>
        <w:jc w:val="left"/>
        <w:rPr>
          <w:sz w:val="18"/>
        </w:rPr>
        <w:sectPr>
          <w:pgSz w:w="12240" w:h="15840"/>
          <w:pgMar w:header="0" w:footer="1031" w:top="1360" w:bottom="1220" w:left="1600" w:right="1580"/>
        </w:sectPr>
      </w:pPr>
    </w:p>
    <w:p>
      <w:pPr>
        <w:pStyle w:val="BodyText"/>
        <w:spacing w:line="360" w:lineRule="auto" w:before="55"/>
        <w:ind w:left="100" w:right="116"/>
        <w:jc w:val="both"/>
      </w:pPr>
      <w:r>
        <w:rPr/>
        <w:t>En el objetivo de Costo se tienen características cualitativas (caro, regular, económico) que se deben cuantificar, así que se agrega un valor como se hizo anteriormente, y estos se mantienen en los tres escenarios como muestra en la siguiente </w:t>
      </w:r>
      <w:hyperlink w:history="true" w:anchor="_bookmark199">
        <w:r>
          <w:rPr/>
          <w:t>Tabla 5.22</w:t>
        </w:r>
      </w:hyperlink>
      <w:r>
        <w:rPr/>
        <w:t>.</w:t>
      </w:r>
    </w:p>
    <w:p>
      <w:pPr>
        <w:pStyle w:val="BodyText"/>
      </w:pPr>
    </w:p>
    <w:p>
      <w:pPr>
        <w:spacing w:before="139" w:after="6"/>
        <w:ind w:left="1748" w:right="235" w:firstLine="0"/>
        <w:jc w:val="left"/>
        <w:rPr>
          <w:sz w:val="18"/>
        </w:rPr>
      </w:pPr>
      <w:bookmarkStart w:name="_bookmark199" w:id="309"/>
      <w:bookmarkEnd w:id="309"/>
      <w:r>
        <w:rPr/>
      </w:r>
      <w:r>
        <w:rPr>
          <w:sz w:val="18"/>
        </w:rPr>
        <w:t>Tabla 5.22. Costos y su valor para calificar en los arboles de decisiones.</w:t>
      </w:r>
    </w:p>
    <w:tbl>
      <w:tblPr>
        <w:tblW w:w="0" w:type="auto"/>
        <w:jc w:val="left"/>
        <w:tblInd w:w="25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402"/>
        <w:gridCol w:w="1518"/>
      </w:tblGrid>
      <w:tr>
        <w:trPr>
          <w:trHeight w:val="314" w:hRule="exact"/>
        </w:trPr>
        <w:tc>
          <w:tcPr>
            <w:tcW w:w="2402" w:type="dxa"/>
            <w:tcBorders>
              <w:bottom w:val="single" w:sz="3" w:space="0" w:color="000000"/>
              <w:right w:val="single" w:sz="3" w:space="0" w:color="000000"/>
            </w:tcBorders>
          </w:tcPr>
          <w:p>
            <w:pPr>
              <w:pStyle w:val="TableParagraph"/>
              <w:spacing w:before="76"/>
              <w:ind w:left="516" w:right="517"/>
              <w:jc w:val="center"/>
              <w:rPr>
                <w:rFonts w:ascii="Calibri"/>
                <w:sz w:val="18"/>
              </w:rPr>
            </w:pPr>
            <w:r>
              <w:rPr>
                <w:rFonts w:ascii="Calibri"/>
                <w:sz w:val="18"/>
              </w:rPr>
              <w:t>Costo</w:t>
            </w:r>
          </w:p>
        </w:tc>
        <w:tc>
          <w:tcPr>
            <w:tcW w:w="1518" w:type="dxa"/>
            <w:tcBorders>
              <w:left w:val="single" w:sz="3" w:space="0" w:color="000000"/>
              <w:bottom w:val="single" w:sz="3" w:space="0" w:color="000000"/>
            </w:tcBorders>
          </w:tcPr>
          <w:p>
            <w:pPr>
              <w:pStyle w:val="TableParagraph"/>
              <w:spacing w:before="76"/>
              <w:ind w:left="545" w:right="531"/>
              <w:jc w:val="center"/>
              <w:rPr>
                <w:rFonts w:ascii="Calibri"/>
                <w:sz w:val="18"/>
              </w:rPr>
            </w:pPr>
            <w:r>
              <w:rPr>
                <w:rFonts w:ascii="Calibri"/>
                <w:sz w:val="18"/>
              </w:rPr>
              <w:t>Valor</w:t>
            </w:r>
          </w:p>
        </w:tc>
      </w:tr>
      <w:tr>
        <w:trPr>
          <w:trHeight w:val="308" w:hRule="exact"/>
        </w:trPr>
        <w:tc>
          <w:tcPr>
            <w:tcW w:w="2402" w:type="dxa"/>
            <w:tcBorders>
              <w:top w:val="single" w:sz="3" w:space="0" w:color="000000"/>
              <w:bottom w:val="single" w:sz="3" w:space="0" w:color="000000"/>
              <w:right w:val="single" w:sz="3" w:space="0" w:color="000000"/>
            </w:tcBorders>
          </w:tcPr>
          <w:p>
            <w:pPr>
              <w:pStyle w:val="TableParagraph"/>
              <w:spacing w:before="76"/>
              <w:ind w:left="516" w:right="515"/>
              <w:jc w:val="center"/>
              <w:rPr>
                <w:rFonts w:ascii="Calibri"/>
                <w:sz w:val="18"/>
              </w:rPr>
            </w:pPr>
            <w:r>
              <w:rPr>
                <w:rFonts w:ascii="Calibri"/>
                <w:sz w:val="18"/>
              </w:rPr>
              <w:t>Caro</w:t>
            </w:r>
          </w:p>
        </w:tc>
        <w:tc>
          <w:tcPr>
            <w:tcW w:w="1518" w:type="dxa"/>
            <w:tcBorders>
              <w:top w:val="single" w:sz="3" w:space="0" w:color="000000"/>
              <w:left w:val="single" w:sz="3" w:space="0" w:color="000000"/>
              <w:bottom w:val="single" w:sz="3" w:space="0" w:color="000000"/>
            </w:tcBorders>
          </w:tcPr>
          <w:p>
            <w:pPr>
              <w:pStyle w:val="TableParagraph"/>
              <w:spacing w:before="76"/>
              <w:ind w:left="11"/>
              <w:jc w:val="center"/>
              <w:rPr>
                <w:rFonts w:ascii="Calibri"/>
                <w:sz w:val="18"/>
              </w:rPr>
            </w:pPr>
            <w:r>
              <w:rPr>
                <w:rFonts w:ascii="Calibri"/>
                <w:sz w:val="18"/>
              </w:rPr>
              <w:t>1</w:t>
            </w:r>
          </w:p>
        </w:tc>
      </w:tr>
      <w:tr>
        <w:trPr>
          <w:trHeight w:val="312" w:hRule="exact"/>
        </w:trPr>
        <w:tc>
          <w:tcPr>
            <w:tcW w:w="2402" w:type="dxa"/>
            <w:tcBorders>
              <w:top w:val="single" w:sz="3" w:space="0" w:color="000000"/>
              <w:bottom w:val="single" w:sz="3" w:space="0" w:color="000000"/>
              <w:right w:val="single" w:sz="3" w:space="0" w:color="000000"/>
            </w:tcBorders>
          </w:tcPr>
          <w:p>
            <w:pPr>
              <w:pStyle w:val="TableParagraph"/>
              <w:spacing w:before="80"/>
              <w:ind w:left="516" w:right="516"/>
              <w:jc w:val="center"/>
              <w:rPr>
                <w:rFonts w:ascii="Calibri"/>
                <w:sz w:val="18"/>
              </w:rPr>
            </w:pPr>
            <w:r>
              <w:rPr>
                <w:rFonts w:ascii="Calibri"/>
                <w:sz w:val="18"/>
              </w:rPr>
              <w:t>Regular</w:t>
            </w:r>
          </w:p>
        </w:tc>
        <w:tc>
          <w:tcPr>
            <w:tcW w:w="1518" w:type="dxa"/>
            <w:tcBorders>
              <w:top w:val="single" w:sz="3" w:space="0" w:color="000000"/>
              <w:left w:val="single" w:sz="3" w:space="0" w:color="000000"/>
              <w:bottom w:val="single" w:sz="3" w:space="0" w:color="000000"/>
            </w:tcBorders>
          </w:tcPr>
          <w:p>
            <w:pPr>
              <w:pStyle w:val="TableParagraph"/>
              <w:spacing w:before="80"/>
              <w:ind w:left="11"/>
              <w:jc w:val="center"/>
              <w:rPr>
                <w:rFonts w:ascii="Calibri"/>
                <w:sz w:val="18"/>
              </w:rPr>
            </w:pPr>
            <w:r>
              <w:rPr>
                <w:rFonts w:ascii="Calibri"/>
                <w:sz w:val="18"/>
              </w:rPr>
              <w:t>2</w:t>
            </w:r>
          </w:p>
        </w:tc>
      </w:tr>
      <w:tr>
        <w:trPr>
          <w:trHeight w:val="330" w:hRule="exact"/>
        </w:trPr>
        <w:tc>
          <w:tcPr>
            <w:tcW w:w="2402" w:type="dxa"/>
            <w:tcBorders>
              <w:top w:val="single" w:sz="3" w:space="0" w:color="000000"/>
              <w:right w:val="single" w:sz="3" w:space="0" w:color="000000"/>
            </w:tcBorders>
          </w:tcPr>
          <w:p>
            <w:pPr>
              <w:pStyle w:val="TableParagraph"/>
              <w:spacing w:before="92"/>
              <w:ind w:left="516" w:right="515"/>
              <w:jc w:val="center"/>
              <w:rPr>
                <w:rFonts w:ascii="Calibri" w:hAnsi="Calibri"/>
                <w:sz w:val="18"/>
              </w:rPr>
            </w:pPr>
            <w:r>
              <w:rPr>
                <w:rFonts w:ascii="Calibri" w:hAnsi="Calibri"/>
                <w:sz w:val="18"/>
              </w:rPr>
              <w:t>Económico</w:t>
            </w:r>
          </w:p>
        </w:tc>
        <w:tc>
          <w:tcPr>
            <w:tcW w:w="1518" w:type="dxa"/>
            <w:tcBorders>
              <w:top w:val="single" w:sz="3" w:space="0" w:color="000000"/>
              <w:left w:val="single" w:sz="3" w:space="0" w:color="000000"/>
            </w:tcBorders>
          </w:tcPr>
          <w:p>
            <w:pPr>
              <w:pStyle w:val="TableParagraph"/>
              <w:spacing w:before="92"/>
              <w:ind w:left="11"/>
              <w:jc w:val="center"/>
              <w:rPr>
                <w:rFonts w:ascii="Calibri"/>
                <w:sz w:val="18"/>
              </w:rPr>
            </w:pPr>
            <w:r>
              <w:rPr>
                <w:rFonts w:ascii="Calibri"/>
                <w:sz w:val="18"/>
              </w:rPr>
              <w:t>3</w:t>
            </w:r>
          </w:p>
        </w:tc>
      </w:tr>
    </w:tbl>
    <w:p>
      <w:pPr>
        <w:spacing w:line="203" w:lineRule="exact" w:before="0"/>
        <w:ind w:left="1009" w:right="1029" w:firstLine="0"/>
        <w:jc w:val="center"/>
        <w:rPr>
          <w:sz w:val="18"/>
        </w:rPr>
      </w:pPr>
      <w:r>
        <w:rPr>
          <w:sz w:val="18"/>
        </w:rPr>
        <w:t>(Fuente: Elaboración propia, 2015).</w:t>
      </w:r>
    </w:p>
    <w:p>
      <w:pPr>
        <w:pStyle w:val="BodyText"/>
        <w:tabs>
          <w:tab w:pos="3240" w:val="left" w:leader="none"/>
          <w:tab w:pos="5690" w:val="left" w:leader="none"/>
          <w:tab w:pos="8942" w:val="right" w:leader="none"/>
        </w:tabs>
        <w:spacing w:line="362" w:lineRule="auto" w:before="520"/>
        <w:ind w:left="100" w:right="115"/>
      </w:pPr>
      <w:r>
        <w:rPr/>
        <w:t>Iniciaremos con el primer escenario donde se otorga el mismo valor a los cuatro aspectos,</w:t>
        <w:tab/>
        <w:t>ver</w:t>
        <w:tab/>
      </w:r>
      <w:hyperlink w:history="true" w:anchor="_bookmark200">
        <w:r>
          <w:rPr/>
          <w:t>Tabla</w:t>
          <w:tab/>
          <w:t>5.23</w:t>
        </w:r>
      </w:hyperlink>
      <w:r>
        <w:rPr/>
        <w:t>.</w:t>
      </w:r>
    </w:p>
    <w:p>
      <w:pPr>
        <w:spacing w:after="0" w:line="362" w:lineRule="auto"/>
        <w:sectPr>
          <w:pgSz w:w="12240" w:h="15840"/>
          <w:pgMar w:header="0" w:footer="1031" w:top="1360" w:bottom="1220" w:left="1600" w:right="1580"/>
        </w:sectPr>
      </w:pPr>
    </w:p>
    <w:p>
      <w:pPr>
        <w:spacing w:before="751"/>
        <w:ind w:left="3749" w:right="0" w:firstLine="0"/>
        <w:jc w:val="left"/>
        <w:rPr>
          <w:sz w:val="18"/>
        </w:rPr>
      </w:pPr>
      <w:bookmarkStart w:name="_bookmark200" w:id="310"/>
      <w:bookmarkEnd w:id="310"/>
      <w:r>
        <w:rPr/>
      </w:r>
      <w:r>
        <w:rPr>
          <w:sz w:val="18"/>
        </w:rPr>
        <w:t>Tabla 5.23. Árbol de decisión, primer escenario con ponderaciones iguales.</w:t>
      </w:r>
    </w:p>
    <w:tbl>
      <w:tblPr>
        <w:tblW w:w="0" w:type="auto"/>
        <w:jc w:val="left"/>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022"/>
        <w:gridCol w:w="1152"/>
        <w:gridCol w:w="1153"/>
        <w:gridCol w:w="2386"/>
        <w:gridCol w:w="1035"/>
        <w:gridCol w:w="1060"/>
        <w:gridCol w:w="1090"/>
        <w:gridCol w:w="1046"/>
        <w:gridCol w:w="1061"/>
        <w:gridCol w:w="1090"/>
      </w:tblGrid>
      <w:tr>
        <w:trPr>
          <w:trHeight w:val="336" w:hRule="exact"/>
        </w:trPr>
        <w:tc>
          <w:tcPr>
            <w:tcW w:w="9899" w:type="dxa"/>
            <w:gridSpan w:val="7"/>
          </w:tcPr>
          <w:p>
            <w:pPr>
              <w:pStyle w:val="TableParagraph"/>
              <w:spacing w:before="4"/>
              <w:ind w:right="619"/>
              <w:jc w:val="right"/>
              <w:rPr>
                <w:sz w:val="18"/>
              </w:rPr>
            </w:pPr>
            <w:r>
              <w:rPr>
                <w:sz w:val="18"/>
              </w:rPr>
              <w:t>Fibra de Vidrio y Resina</w:t>
            </w:r>
          </w:p>
        </w:tc>
        <w:tc>
          <w:tcPr>
            <w:tcW w:w="3196" w:type="dxa"/>
            <w:gridSpan w:val="3"/>
          </w:tcPr>
          <w:p>
            <w:pPr>
              <w:pStyle w:val="TableParagraph"/>
              <w:spacing w:before="4"/>
              <w:ind w:left="1052"/>
              <w:rPr>
                <w:sz w:val="18"/>
              </w:rPr>
            </w:pPr>
            <w:r>
              <w:rPr>
                <w:sz w:val="18"/>
              </w:rPr>
              <w:t>Impresión 3D</w:t>
            </w:r>
          </w:p>
        </w:tc>
      </w:tr>
      <w:tr>
        <w:trPr>
          <w:trHeight w:val="330" w:hRule="exact"/>
        </w:trPr>
        <w:tc>
          <w:tcPr>
            <w:tcW w:w="2022" w:type="dxa"/>
            <w:tcBorders>
              <w:bottom w:val="single" w:sz="3" w:space="0" w:color="000000"/>
              <w:right w:val="single" w:sz="3" w:space="0" w:color="000000"/>
            </w:tcBorders>
          </w:tcPr>
          <w:p>
            <w:pPr>
              <w:pStyle w:val="TableParagraph"/>
              <w:spacing w:line="207" w:lineRule="exact"/>
              <w:ind w:left="653" w:right="654"/>
              <w:jc w:val="center"/>
              <w:rPr>
                <w:sz w:val="18"/>
              </w:rPr>
            </w:pPr>
            <w:r>
              <w:rPr>
                <w:sz w:val="18"/>
              </w:rPr>
              <w:t>Objetivo</w:t>
            </w:r>
          </w:p>
        </w:tc>
        <w:tc>
          <w:tcPr>
            <w:tcW w:w="1152" w:type="dxa"/>
            <w:tcBorders>
              <w:left w:val="single" w:sz="3" w:space="0" w:color="000000"/>
              <w:bottom w:val="single" w:sz="3" w:space="0" w:color="000000"/>
              <w:right w:val="single" w:sz="3" w:space="0" w:color="000000"/>
            </w:tcBorders>
          </w:tcPr>
          <w:p>
            <w:pPr>
              <w:pStyle w:val="TableParagraph"/>
              <w:spacing w:line="207" w:lineRule="exact"/>
              <w:ind w:left="48" w:right="45"/>
              <w:jc w:val="center"/>
              <w:rPr>
                <w:sz w:val="18"/>
              </w:rPr>
            </w:pPr>
            <w:r>
              <w:rPr>
                <w:sz w:val="18"/>
              </w:rPr>
              <w:t>Ponderación</w:t>
            </w:r>
          </w:p>
        </w:tc>
        <w:tc>
          <w:tcPr>
            <w:tcW w:w="1153" w:type="dxa"/>
            <w:tcBorders>
              <w:left w:val="single" w:sz="3" w:space="0" w:color="000000"/>
              <w:bottom w:val="single" w:sz="3" w:space="0" w:color="000000"/>
              <w:right w:val="single" w:sz="3" w:space="0" w:color="000000"/>
            </w:tcBorders>
          </w:tcPr>
          <w:p>
            <w:pPr>
              <w:pStyle w:val="TableParagraph"/>
              <w:spacing w:line="207" w:lineRule="exact"/>
              <w:ind w:left="48" w:right="45"/>
              <w:jc w:val="center"/>
              <w:rPr>
                <w:sz w:val="18"/>
              </w:rPr>
            </w:pPr>
            <w:r>
              <w:rPr>
                <w:sz w:val="18"/>
              </w:rPr>
              <w:t>Ponderación</w:t>
            </w:r>
          </w:p>
        </w:tc>
        <w:tc>
          <w:tcPr>
            <w:tcW w:w="2386" w:type="dxa"/>
            <w:tcBorders>
              <w:left w:val="single" w:sz="3" w:space="0" w:color="000000"/>
              <w:bottom w:val="single" w:sz="3" w:space="0" w:color="000000"/>
              <w:right w:val="single" w:sz="3" w:space="0" w:color="000000"/>
            </w:tcBorders>
          </w:tcPr>
          <w:p>
            <w:pPr>
              <w:pStyle w:val="TableParagraph"/>
              <w:spacing w:line="207" w:lineRule="exact"/>
              <w:ind w:left="749" w:right="748"/>
              <w:jc w:val="center"/>
              <w:rPr>
                <w:sz w:val="18"/>
              </w:rPr>
            </w:pPr>
            <w:r>
              <w:rPr>
                <w:sz w:val="18"/>
              </w:rPr>
              <w:t>Parámetro</w:t>
            </w:r>
          </w:p>
        </w:tc>
        <w:tc>
          <w:tcPr>
            <w:tcW w:w="1035" w:type="dxa"/>
            <w:tcBorders>
              <w:left w:val="single" w:sz="3" w:space="0" w:color="000000"/>
              <w:right w:val="single" w:sz="3" w:space="0" w:color="000000"/>
            </w:tcBorders>
          </w:tcPr>
          <w:p>
            <w:pPr>
              <w:pStyle w:val="TableParagraph"/>
              <w:spacing w:line="207" w:lineRule="exact"/>
              <w:ind w:left="125" w:right="120"/>
              <w:jc w:val="center"/>
              <w:rPr>
                <w:sz w:val="18"/>
              </w:rPr>
            </w:pPr>
            <w:r>
              <w:rPr>
                <w:sz w:val="18"/>
              </w:rPr>
              <w:t>Magnitud</w:t>
            </w:r>
          </w:p>
        </w:tc>
        <w:tc>
          <w:tcPr>
            <w:tcW w:w="1060" w:type="dxa"/>
            <w:tcBorders>
              <w:left w:val="single" w:sz="3" w:space="0" w:color="000000"/>
              <w:right w:val="single" w:sz="3" w:space="0" w:color="000000"/>
            </w:tcBorders>
          </w:tcPr>
          <w:p>
            <w:pPr>
              <w:pStyle w:val="TableParagraph"/>
              <w:spacing w:line="207" w:lineRule="exact"/>
              <w:ind w:left="49" w:right="42"/>
              <w:jc w:val="center"/>
              <w:rPr>
                <w:sz w:val="18"/>
              </w:rPr>
            </w:pPr>
            <w:r>
              <w:rPr>
                <w:sz w:val="18"/>
              </w:rPr>
              <w:t>Calificación</w:t>
            </w:r>
          </w:p>
        </w:tc>
        <w:tc>
          <w:tcPr>
            <w:tcW w:w="1090" w:type="dxa"/>
            <w:tcBorders>
              <w:left w:val="single" w:sz="3" w:space="0" w:color="000000"/>
              <w:right w:val="single" w:sz="3" w:space="0" w:color="000000"/>
            </w:tcBorders>
          </w:tcPr>
          <w:p>
            <w:pPr>
              <w:pStyle w:val="TableParagraph"/>
              <w:spacing w:line="207" w:lineRule="exact"/>
              <w:ind w:left="44" w:right="43"/>
              <w:jc w:val="center"/>
              <w:rPr>
                <w:sz w:val="18"/>
              </w:rPr>
            </w:pPr>
            <w:r>
              <w:rPr>
                <w:sz w:val="18"/>
              </w:rPr>
              <w:t>Valor</w:t>
            </w:r>
          </w:p>
        </w:tc>
        <w:tc>
          <w:tcPr>
            <w:tcW w:w="1046" w:type="dxa"/>
            <w:tcBorders>
              <w:left w:val="single" w:sz="3" w:space="0" w:color="000000"/>
              <w:right w:val="single" w:sz="3" w:space="0" w:color="000000"/>
            </w:tcBorders>
          </w:tcPr>
          <w:p>
            <w:pPr>
              <w:pStyle w:val="TableParagraph"/>
              <w:spacing w:line="207" w:lineRule="exact"/>
              <w:ind w:left="129" w:right="128"/>
              <w:jc w:val="center"/>
              <w:rPr>
                <w:sz w:val="18"/>
              </w:rPr>
            </w:pPr>
            <w:r>
              <w:rPr>
                <w:sz w:val="18"/>
              </w:rPr>
              <w:t>Magnitud</w:t>
            </w:r>
          </w:p>
        </w:tc>
        <w:tc>
          <w:tcPr>
            <w:tcW w:w="1061" w:type="dxa"/>
            <w:tcBorders>
              <w:left w:val="single" w:sz="3" w:space="0" w:color="000000"/>
              <w:right w:val="single" w:sz="3" w:space="0" w:color="000000"/>
            </w:tcBorders>
          </w:tcPr>
          <w:p>
            <w:pPr>
              <w:pStyle w:val="TableParagraph"/>
              <w:spacing w:line="207" w:lineRule="exact"/>
              <w:ind w:left="49" w:right="43"/>
              <w:jc w:val="center"/>
              <w:rPr>
                <w:sz w:val="18"/>
              </w:rPr>
            </w:pPr>
            <w:r>
              <w:rPr>
                <w:sz w:val="18"/>
              </w:rPr>
              <w:t>Calificación</w:t>
            </w:r>
          </w:p>
        </w:tc>
        <w:tc>
          <w:tcPr>
            <w:tcW w:w="1090" w:type="dxa"/>
            <w:tcBorders>
              <w:left w:val="single" w:sz="3" w:space="0" w:color="000000"/>
            </w:tcBorders>
          </w:tcPr>
          <w:p>
            <w:pPr>
              <w:pStyle w:val="TableParagraph"/>
              <w:spacing w:line="207" w:lineRule="exact"/>
              <w:ind w:left="43" w:right="36"/>
              <w:jc w:val="center"/>
              <w:rPr>
                <w:sz w:val="18"/>
              </w:rPr>
            </w:pPr>
            <w:r>
              <w:rPr>
                <w:sz w:val="18"/>
              </w:rPr>
              <w:t>Valor</w:t>
            </w:r>
          </w:p>
        </w:tc>
      </w:tr>
      <w:tr>
        <w:trPr>
          <w:trHeight w:val="620" w:hRule="exact"/>
        </w:trPr>
        <w:tc>
          <w:tcPr>
            <w:tcW w:w="2022" w:type="dxa"/>
            <w:vMerge w:val="restart"/>
            <w:tcBorders>
              <w:top w:val="single" w:sz="3" w:space="0" w:color="000000"/>
              <w:right w:val="single" w:sz="3" w:space="0" w:color="000000"/>
            </w:tcBorders>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3"/>
              <w:rPr>
                <w:sz w:val="20"/>
              </w:rPr>
            </w:pPr>
          </w:p>
          <w:p>
            <w:pPr>
              <w:pStyle w:val="TableParagraph"/>
              <w:ind w:left="600"/>
              <w:rPr>
                <w:sz w:val="18"/>
              </w:rPr>
            </w:pPr>
            <w:r>
              <w:rPr>
                <w:sz w:val="18"/>
              </w:rPr>
              <w:t>Ambiental</w:t>
            </w:r>
          </w:p>
        </w:tc>
        <w:tc>
          <w:tcPr>
            <w:tcW w:w="1152" w:type="dxa"/>
            <w:vMerge w:val="restart"/>
            <w:tcBorders>
              <w:top w:val="single" w:sz="3" w:space="0" w:color="000000"/>
              <w:left w:val="single" w:sz="3" w:space="0" w:color="000000"/>
              <w:right w:val="single" w:sz="3" w:space="0" w:color="000000"/>
            </w:tcBorders>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3"/>
              <w:rPr>
                <w:sz w:val="20"/>
              </w:rPr>
            </w:pPr>
          </w:p>
          <w:p>
            <w:pPr>
              <w:pStyle w:val="TableParagraph"/>
              <w:ind w:left="45" w:right="45"/>
              <w:jc w:val="center"/>
              <w:rPr>
                <w:sz w:val="18"/>
              </w:rPr>
            </w:pPr>
            <w:r>
              <w:rPr>
                <w:sz w:val="18"/>
              </w:rPr>
              <w:t>0.25</w:t>
            </w:r>
          </w:p>
        </w:tc>
        <w:tc>
          <w:tcPr>
            <w:tcW w:w="1153" w:type="dxa"/>
            <w:tcBorders>
              <w:top w:val="single" w:sz="3" w:space="0" w:color="000000"/>
              <w:left w:val="single" w:sz="3" w:space="0" w:color="000000"/>
              <w:bottom w:val="single" w:sz="3" w:space="0" w:color="000000"/>
              <w:right w:val="single" w:sz="3" w:space="0" w:color="000000"/>
            </w:tcBorders>
          </w:tcPr>
          <w:p>
            <w:pPr>
              <w:pStyle w:val="TableParagraph"/>
              <w:spacing w:before="155"/>
              <w:ind w:left="45" w:right="45"/>
              <w:jc w:val="center"/>
              <w:rPr>
                <w:sz w:val="18"/>
              </w:rPr>
            </w:pPr>
            <w:r>
              <w:rPr>
                <w:sz w:val="18"/>
              </w:rPr>
              <w:t>0.14</w:t>
            </w:r>
          </w:p>
        </w:tc>
        <w:tc>
          <w:tcPr>
            <w:tcW w:w="2386" w:type="dxa"/>
            <w:tcBorders>
              <w:top w:val="single" w:sz="3" w:space="0" w:color="000000"/>
              <w:left w:val="single" w:sz="3" w:space="0" w:color="000000"/>
              <w:bottom w:val="single" w:sz="3" w:space="0" w:color="000000"/>
            </w:tcBorders>
          </w:tcPr>
          <w:p>
            <w:pPr>
              <w:pStyle w:val="TableParagraph"/>
              <w:spacing w:before="155"/>
              <w:ind w:left="147" w:right="137"/>
              <w:jc w:val="center"/>
              <w:rPr>
                <w:sz w:val="18"/>
              </w:rPr>
            </w:pPr>
            <w:r>
              <w:rPr>
                <w:sz w:val="18"/>
              </w:rPr>
              <w:t>Cambio Climático</w:t>
            </w:r>
          </w:p>
        </w:tc>
        <w:tc>
          <w:tcPr>
            <w:tcW w:w="1035" w:type="dxa"/>
            <w:tcBorders>
              <w:bottom w:val="single" w:sz="3" w:space="0" w:color="000000"/>
              <w:right w:val="single" w:sz="3" w:space="0" w:color="000000"/>
            </w:tcBorders>
          </w:tcPr>
          <w:p>
            <w:pPr>
              <w:pStyle w:val="TableParagraph"/>
              <w:spacing w:before="149"/>
              <w:jc w:val="center"/>
              <w:rPr>
                <w:sz w:val="18"/>
              </w:rPr>
            </w:pPr>
            <w:r>
              <w:rPr>
                <w:w w:val="99"/>
                <w:sz w:val="18"/>
              </w:rPr>
              <w:t>1</w:t>
            </w:r>
          </w:p>
        </w:tc>
        <w:tc>
          <w:tcPr>
            <w:tcW w:w="1060" w:type="dxa"/>
            <w:tcBorders>
              <w:left w:val="single" w:sz="3" w:space="0" w:color="000000"/>
              <w:bottom w:val="single" w:sz="3" w:space="0" w:color="000000"/>
              <w:right w:val="single" w:sz="3" w:space="0" w:color="000000"/>
            </w:tcBorders>
          </w:tcPr>
          <w:p>
            <w:pPr>
              <w:pStyle w:val="TableParagraph"/>
              <w:spacing w:before="149"/>
              <w:jc w:val="center"/>
              <w:rPr>
                <w:sz w:val="18"/>
              </w:rPr>
            </w:pPr>
            <w:r>
              <w:rPr>
                <w:w w:val="99"/>
                <w:sz w:val="18"/>
              </w:rPr>
              <w:t>0</w:t>
            </w:r>
          </w:p>
        </w:tc>
        <w:tc>
          <w:tcPr>
            <w:tcW w:w="1090" w:type="dxa"/>
            <w:tcBorders>
              <w:left w:val="single" w:sz="3" w:space="0" w:color="000000"/>
              <w:bottom w:val="single" w:sz="3" w:space="0" w:color="000000"/>
            </w:tcBorders>
          </w:tcPr>
          <w:p>
            <w:pPr>
              <w:pStyle w:val="TableParagraph"/>
              <w:spacing w:before="149"/>
              <w:ind w:left="7"/>
              <w:jc w:val="center"/>
              <w:rPr>
                <w:sz w:val="18"/>
              </w:rPr>
            </w:pPr>
            <w:r>
              <w:rPr>
                <w:w w:val="99"/>
                <w:sz w:val="18"/>
              </w:rPr>
              <w:t>0</w:t>
            </w:r>
          </w:p>
        </w:tc>
        <w:tc>
          <w:tcPr>
            <w:tcW w:w="1046" w:type="dxa"/>
            <w:tcBorders>
              <w:bottom w:val="single" w:sz="3" w:space="0" w:color="000000"/>
              <w:right w:val="single" w:sz="3" w:space="0" w:color="000000"/>
            </w:tcBorders>
          </w:tcPr>
          <w:p>
            <w:pPr>
              <w:pStyle w:val="TableParagraph"/>
              <w:spacing w:before="149"/>
              <w:ind w:left="179" w:right="181"/>
              <w:jc w:val="center"/>
              <w:rPr>
                <w:sz w:val="18"/>
              </w:rPr>
            </w:pPr>
            <w:r>
              <w:rPr>
                <w:sz w:val="18"/>
              </w:rPr>
              <w:t>0.7</w:t>
            </w:r>
          </w:p>
        </w:tc>
        <w:tc>
          <w:tcPr>
            <w:tcW w:w="1061" w:type="dxa"/>
            <w:tcBorders>
              <w:left w:val="single" w:sz="3" w:space="0" w:color="000000"/>
              <w:bottom w:val="single" w:sz="3" w:space="0" w:color="000000"/>
              <w:right w:val="single" w:sz="3" w:space="0" w:color="000000"/>
            </w:tcBorders>
          </w:tcPr>
          <w:p>
            <w:pPr>
              <w:pStyle w:val="TableParagraph"/>
              <w:spacing w:before="149"/>
              <w:jc w:val="center"/>
              <w:rPr>
                <w:sz w:val="18"/>
              </w:rPr>
            </w:pPr>
            <w:r>
              <w:rPr>
                <w:w w:val="99"/>
                <w:sz w:val="18"/>
              </w:rPr>
              <w:t>3</w:t>
            </w:r>
          </w:p>
        </w:tc>
        <w:tc>
          <w:tcPr>
            <w:tcW w:w="1090" w:type="dxa"/>
            <w:tcBorders>
              <w:left w:val="single" w:sz="3" w:space="0" w:color="000000"/>
              <w:bottom w:val="single" w:sz="3" w:space="0" w:color="000000"/>
            </w:tcBorders>
          </w:tcPr>
          <w:p>
            <w:pPr>
              <w:pStyle w:val="TableParagraph"/>
              <w:spacing w:before="149"/>
              <w:ind w:left="48" w:right="36"/>
              <w:jc w:val="center"/>
              <w:rPr>
                <w:sz w:val="18"/>
              </w:rPr>
            </w:pPr>
            <w:r>
              <w:rPr>
                <w:sz w:val="18"/>
              </w:rPr>
              <w:t>0.10714286</w:t>
            </w:r>
          </w:p>
        </w:tc>
      </w:tr>
      <w:tr>
        <w:trPr>
          <w:trHeight w:val="320" w:hRule="exact"/>
        </w:trPr>
        <w:tc>
          <w:tcPr>
            <w:tcW w:w="2022" w:type="dxa"/>
            <w:vMerge/>
            <w:tcBorders>
              <w:right w:val="single" w:sz="3" w:space="0" w:color="000000"/>
            </w:tcBorders>
          </w:tcPr>
          <w:p>
            <w:pPr/>
          </w:p>
        </w:tc>
        <w:tc>
          <w:tcPr>
            <w:tcW w:w="1152" w:type="dxa"/>
            <w:vMerge/>
            <w:tcBorders>
              <w:left w:val="single" w:sz="3" w:space="0" w:color="000000"/>
              <w:right w:val="single" w:sz="3" w:space="0" w:color="000000"/>
            </w:tcBorders>
          </w:tcPr>
          <w:p>
            <w:pPr/>
          </w:p>
        </w:tc>
        <w:tc>
          <w:tcPr>
            <w:tcW w:w="1153" w:type="dxa"/>
            <w:tcBorders>
              <w:top w:val="single" w:sz="3" w:space="0" w:color="000000"/>
              <w:left w:val="single" w:sz="3" w:space="0" w:color="000000"/>
              <w:bottom w:val="single" w:sz="3" w:space="0" w:color="000000"/>
              <w:right w:val="single" w:sz="3" w:space="0" w:color="000000"/>
            </w:tcBorders>
          </w:tcPr>
          <w:p>
            <w:pPr>
              <w:pStyle w:val="TableParagraph"/>
              <w:ind w:left="45" w:right="45"/>
              <w:jc w:val="center"/>
              <w:rPr>
                <w:sz w:val="18"/>
              </w:rPr>
            </w:pPr>
            <w:r>
              <w:rPr>
                <w:sz w:val="18"/>
              </w:rPr>
              <w:t>0.14</w:t>
            </w:r>
          </w:p>
        </w:tc>
        <w:tc>
          <w:tcPr>
            <w:tcW w:w="2386" w:type="dxa"/>
            <w:tcBorders>
              <w:top w:val="single" w:sz="3" w:space="0" w:color="000000"/>
              <w:left w:val="single" w:sz="3" w:space="0" w:color="000000"/>
              <w:bottom w:val="single" w:sz="3" w:space="0" w:color="000000"/>
            </w:tcBorders>
          </w:tcPr>
          <w:p>
            <w:pPr>
              <w:pStyle w:val="TableParagraph"/>
              <w:ind w:left="146" w:right="143"/>
              <w:jc w:val="center"/>
              <w:rPr>
                <w:sz w:val="18"/>
              </w:rPr>
            </w:pPr>
            <w:r>
              <w:rPr>
                <w:sz w:val="18"/>
              </w:rPr>
              <w:t>Radiación</w:t>
            </w:r>
          </w:p>
        </w:tc>
        <w:tc>
          <w:tcPr>
            <w:tcW w:w="1035" w:type="dxa"/>
            <w:tcBorders>
              <w:top w:val="single" w:sz="3" w:space="0" w:color="000000"/>
              <w:bottom w:val="single" w:sz="3" w:space="0" w:color="000000"/>
              <w:right w:val="single" w:sz="3" w:space="0" w:color="000000"/>
            </w:tcBorders>
          </w:tcPr>
          <w:p>
            <w:pPr>
              <w:pStyle w:val="TableParagraph"/>
              <w:jc w:val="center"/>
              <w:rPr>
                <w:sz w:val="18"/>
              </w:rPr>
            </w:pPr>
            <w:r>
              <w:rPr>
                <w:w w:val="99"/>
                <w:sz w:val="18"/>
              </w:rPr>
              <w:t>1</w:t>
            </w:r>
          </w:p>
        </w:tc>
        <w:tc>
          <w:tcPr>
            <w:tcW w:w="1060" w:type="dxa"/>
            <w:tcBorders>
              <w:top w:val="single" w:sz="3" w:space="0" w:color="000000"/>
              <w:left w:val="single" w:sz="3" w:space="0" w:color="000000"/>
              <w:bottom w:val="single" w:sz="3" w:space="0" w:color="000000"/>
              <w:right w:val="single" w:sz="3" w:space="0" w:color="000000"/>
            </w:tcBorders>
          </w:tcPr>
          <w:p>
            <w:pPr>
              <w:pStyle w:val="TableParagraph"/>
              <w:jc w:val="center"/>
              <w:rPr>
                <w:sz w:val="18"/>
              </w:rPr>
            </w:pPr>
            <w:r>
              <w:rPr>
                <w:w w:val="99"/>
                <w:sz w:val="18"/>
              </w:rPr>
              <w:t>0</w:t>
            </w:r>
          </w:p>
        </w:tc>
        <w:tc>
          <w:tcPr>
            <w:tcW w:w="1090" w:type="dxa"/>
            <w:tcBorders>
              <w:top w:val="single" w:sz="3" w:space="0" w:color="000000"/>
              <w:left w:val="single" w:sz="3" w:space="0" w:color="000000"/>
              <w:bottom w:val="single" w:sz="3" w:space="0" w:color="000000"/>
            </w:tcBorders>
          </w:tcPr>
          <w:p>
            <w:pPr>
              <w:pStyle w:val="TableParagraph"/>
              <w:ind w:left="7"/>
              <w:jc w:val="center"/>
              <w:rPr>
                <w:sz w:val="18"/>
              </w:rPr>
            </w:pPr>
            <w:r>
              <w:rPr>
                <w:w w:val="99"/>
                <w:sz w:val="18"/>
              </w:rPr>
              <w:t>0</w:t>
            </w:r>
          </w:p>
        </w:tc>
        <w:tc>
          <w:tcPr>
            <w:tcW w:w="1046" w:type="dxa"/>
            <w:tcBorders>
              <w:top w:val="single" w:sz="3" w:space="0" w:color="000000"/>
              <w:bottom w:val="single" w:sz="3" w:space="0" w:color="000000"/>
              <w:right w:val="single" w:sz="3" w:space="0" w:color="000000"/>
            </w:tcBorders>
          </w:tcPr>
          <w:p>
            <w:pPr>
              <w:pStyle w:val="TableParagraph"/>
              <w:ind w:left="179" w:right="181"/>
              <w:jc w:val="center"/>
              <w:rPr>
                <w:sz w:val="18"/>
              </w:rPr>
            </w:pPr>
            <w:r>
              <w:rPr>
                <w:sz w:val="18"/>
              </w:rPr>
              <w:t>0.6</w:t>
            </w:r>
          </w:p>
        </w:tc>
        <w:tc>
          <w:tcPr>
            <w:tcW w:w="1061" w:type="dxa"/>
            <w:tcBorders>
              <w:top w:val="single" w:sz="3" w:space="0" w:color="000000"/>
              <w:left w:val="single" w:sz="3" w:space="0" w:color="000000"/>
              <w:bottom w:val="single" w:sz="3" w:space="0" w:color="000000"/>
              <w:right w:val="single" w:sz="3" w:space="0" w:color="000000"/>
            </w:tcBorders>
          </w:tcPr>
          <w:p>
            <w:pPr>
              <w:pStyle w:val="TableParagraph"/>
              <w:jc w:val="center"/>
              <w:rPr>
                <w:sz w:val="18"/>
              </w:rPr>
            </w:pPr>
            <w:r>
              <w:rPr>
                <w:w w:val="99"/>
                <w:sz w:val="18"/>
              </w:rPr>
              <w:t>4</w:t>
            </w:r>
          </w:p>
        </w:tc>
        <w:tc>
          <w:tcPr>
            <w:tcW w:w="1090" w:type="dxa"/>
            <w:tcBorders>
              <w:top w:val="single" w:sz="3" w:space="0" w:color="000000"/>
              <w:left w:val="single" w:sz="3" w:space="0" w:color="000000"/>
              <w:bottom w:val="single" w:sz="3" w:space="0" w:color="000000"/>
            </w:tcBorders>
          </w:tcPr>
          <w:p>
            <w:pPr>
              <w:pStyle w:val="TableParagraph"/>
              <w:ind w:left="48" w:right="36"/>
              <w:jc w:val="center"/>
              <w:rPr>
                <w:sz w:val="18"/>
              </w:rPr>
            </w:pPr>
            <w:r>
              <w:rPr>
                <w:sz w:val="18"/>
              </w:rPr>
              <w:t>0.14285714</w:t>
            </w:r>
          </w:p>
        </w:tc>
      </w:tr>
      <w:tr>
        <w:trPr>
          <w:trHeight w:val="321" w:hRule="exact"/>
        </w:trPr>
        <w:tc>
          <w:tcPr>
            <w:tcW w:w="2022" w:type="dxa"/>
            <w:vMerge/>
            <w:tcBorders>
              <w:right w:val="single" w:sz="3" w:space="0" w:color="000000"/>
            </w:tcBorders>
          </w:tcPr>
          <w:p>
            <w:pPr/>
          </w:p>
        </w:tc>
        <w:tc>
          <w:tcPr>
            <w:tcW w:w="1152" w:type="dxa"/>
            <w:vMerge/>
            <w:tcBorders>
              <w:left w:val="single" w:sz="3" w:space="0" w:color="000000"/>
              <w:right w:val="single" w:sz="3" w:space="0" w:color="000000"/>
            </w:tcBorders>
          </w:tcPr>
          <w:p>
            <w:pPr/>
          </w:p>
        </w:tc>
        <w:tc>
          <w:tcPr>
            <w:tcW w:w="1153" w:type="dxa"/>
            <w:tcBorders>
              <w:top w:val="single" w:sz="3" w:space="0" w:color="000000"/>
              <w:left w:val="single" w:sz="3" w:space="0" w:color="000000"/>
              <w:bottom w:val="single" w:sz="3" w:space="0" w:color="000000"/>
              <w:right w:val="single" w:sz="3" w:space="0" w:color="000000"/>
            </w:tcBorders>
          </w:tcPr>
          <w:p>
            <w:pPr>
              <w:pStyle w:val="TableParagraph"/>
              <w:ind w:left="45" w:right="45"/>
              <w:jc w:val="center"/>
              <w:rPr>
                <w:sz w:val="18"/>
              </w:rPr>
            </w:pPr>
            <w:r>
              <w:rPr>
                <w:sz w:val="18"/>
              </w:rPr>
              <w:t>0.14</w:t>
            </w:r>
          </w:p>
        </w:tc>
        <w:tc>
          <w:tcPr>
            <w:tcW w:w="2386" w:type="dxa"/>
            <w:tcBorders>
              <w:top w:val="single" w:sz="3" w:space="0" w:color="000000"/>
              <w:left w:val="single" w:sz="3" w:space="0" w:color="000000"/>
              <w:bottom w:val="single" w:sz="3" w:space="0" w:color="000000"/>
            </w:tcBorders>
          </w:tcPr>
          <w:p>
            <w:pPr>
              <w:pStyle w:val="TableParagraph"/>
              <w:ind w:left="147" w:right="140"/>
              <w:jc w:val="center"/>
              <w:rPr>
                <w:sz w:val="18"/>
              </w:rPr>
            </w:pPr>
            <w:r>
              <w:rPr>
                <w:sz w:val="18"/>
              </w:rPr>
              <w:t>Capa de ozono</w:t>
            </w:r>
          </w:p>
        </w:tc>
        <w:tc>
          <w:tcPr>
            <w:tcW w:w="1035" w:type="dxa"/>
            <w:tcBorders>
              <w:top w:val="single" w:sz="3" w:space="0" w:color="000000"/>
              <w:bottom w:val="single" w:sz="3" w:space="0" w:color="000000"/>
              <w:right w:val="single" w:sz="3" w:space="0" w:color="000000"/>
            </w:tcBorders>
          </w:tcPr>
          <w:p>
            <w:pPr>
              <w:pStyle w:val="TableParagraph"/>
              <w:jc w:val="center"/>
              <w:rPr>
                <w:sz w:val="18"/>
              </w:rPr>
            </w:pPr>
            <w:r>
              <w:rPr>
                <w:w w:val="99"/>
                <w:sz w:val="18"/>
              </w:rPr>
              <w:t>1</w:t>
            </w:r>
          </w:p>
        </w:tc>
        <w:tc>
          <w:tcPr>
            <w:tcW w:w="1060" w:type="dxa"/>
            <w:tcBorders>
              <w:top w:val="single" w:sz="3" w:space="0" w:color="000000"/>
              <w:left w:val="single" w:sz="3" w:space="0" w:color="000000"/>
              <w:bottom w:val="single" w:sz="3" w:space="0" w:color="000000"/>
              <w:right w:val="single" w:sz="3" w:space="0" w:color="000000"/>
            </w:tcBorders>
          </w:tcPr>
          <w:p>
            <w:pPr>
              <w:pStyle w:val="TableParagraph"/>
              <w:jc w:val="center"/>
              <w:rPr>
                <w:sz w:val="18"/>
              </w:rPr>
            </w:pPr>
            <w:r>
              <w:rPr>
                <w:w w:val="99"/>
                <w:sz w:val="18"/>
              </w:rPr>
              <w:t>0</w:t>
            </w:r>
          </w:p>
        </w:tc>
        <w:tc>
          <w:tcPr>
            <w:tcW w:w="1090" w:type="dxa"/>
            <w:tcBorders>
              <w:top w:val="single" w:sz="3" w:space="0" w:color="000000"/>
              <w:left w:val="single" w:sz="3" w:space="0" w:color="000000"/>
              <w:bottom w:val="single" w:sz="3" w:space="0" w:color="000000"/>
            </w:tcBorders>
          </w:tcPr>
          <w:p>
            <w:pPr>
              <w:pStyle w:val="TableParagraph"/>
              <w:ind w:left="7"/>
              <w:jc w:val="center"/>
              <w:rPr>
                <w:sz w:val="18"/>
              </w:rPr>
            </w:pPr>
            <w:r>
              <w:rPr>
                <w:w w:val="99"/>
                <w:sz w:val="18"/>
              </w:rPr>
              <w:t>0</w:t>
            </w:r>
          </w:p>
        </w:tc>
        <w:tc>
          <w:tcPr>
            <w:tcW w:w="1046" w:type="dxa"/>
            <w:tcBorders>
              <w:top w:val="single" w:sz="3" w:space="0" w:color="000000"/>
              <w:bottom w:val="single" w:sz="3" w:space="0" w:color="000000"/>
              <w:right w:val="single" w:sz="3" w:space="0" w:color="000000"/>
            </w:tcBorders>
          </w:tcPr>
          <w:p>
            <w:pPr>
              <w:pStyle w:val="TableParagraph"/>
              <w:ind w:left="179" w:right="181"/>
              <w:jc w:val="center"/>
              <w:rPr>
                <w:sz w:val="18"/>
              </w:rPr>
            </w:pPr>
            <w:r>
              <w:rPr>
                <w:sz w:val="18"/>
              </w:rPr>
              <w:t>0.1</w:t>
            </w:r>
          </w:p>
        </w:tc>
        <w:tc>
          <w:tcPr>
            <w:tcW w:w="1061" w:type="dxa"/>
            <w:tcBorders>
              <w:top w:val="single" w:sz="3" w:space="0" w:color="000000"/>
              <w:left w:val="single" w:sz="3" w:space="0" w:color="000000"/>
              <w:bottom w:val="single" w:sz="3" w:space="0" w:color="000000"/>
              <w:right w:val="single" w:sz="3" w:space="0" w:color="000000"/>
            </w:tcBorders>
          </w:tcPr>
          <w:p>
            <w:pPr>
              <w:pStyle w:val="TableParagraph"/>
              <w:jc w:val="center"/>
              <w:rPr>
                <w:sz w:val="18"/>
              </w:rPr>
            </w:pPr>
            <w:r>
              <w:rPr>
                <w:w w:val="99"/>
                <w:sz w:val="18"/>
              </w:rPr>
              <w:t>9</w:t>
            </w:r>
          </w:p>
        </w:tc>
        <w:tc>
          <w:tcPr>
            <w:tcW w:w="1090" w:type="dxa"/>
            <w:tcBorders>
              <w:top w:val="single" w:sz="3" w:space="0" w:color="000000"/>
              <w:left w:val="single" w:sz="3" w:space="0" w:color="000000"/>
              <w:bottom w:val="single" w:sz="3" w:space="0" w:color="000000"/>
            </w:tcBorders>
          </w:tcPr>
          <w:p>
            <w:pPr>
              <w:pStyle w:val="TableParagraph"/>
              <w:ind w:left="48" w:right="36"/>
              <w:jc w:val="center"/>
              <w:rPr>
                <w:sz w:val="18"/>
              </w:rPr>
            </w:pPr>
            <w:r>
              <w:rPr>
                <w:sz w:val="18"/>
              </w:rPr>
              <w:t>0.32142857</w:t>
            </w:r>
          </w:p>
        </w:tc>
      </w:tr>
      <w:tr>
        <w:trPr>
          <w:trHeight w:val="320" w:hRule="exact"/>
        </w:trPr>
        <w:tc>
          <w:tcPr>
            <w:tcW w:w="2022" w:type="dxa"/>
            <w:vMerge/>
            <w:tcBorders>
              <w:right w:val="single" w:sz="3" w:space="0" w:color="000000"/>
            </w:tcBorders>
          </w:tcPr>
          <w:p>
            <w:pPr/>
          </w:p>
        </w:tc>
        <w:tc>
          <w:tcPr>
            <w:tcW w:w="1152" w:type="dxa"/>
            <w:vMerge/>
            <w:tcBorders>
              <w:left w:val="single" w:sz="3" w:space="0" w:color="000000"/>
              <w:right w:val="single" w:sz="3" w:space="0" w:color="000000"/>
            </w:tcBorders>
          </w:tcPr>
          <w:p>
            <w:pPr/>
          </w:p>
        </w:tc>
        <w:tc>
          <w:tcPr>
            <w:tcW w:w="1153" w:type="dxa"/>
            <w:tcBorders>
              <w:top w:val="single" w:sz="3" w:space="0" w:color="000000"/>
              <w:left w:val="single" w:sz="3" w:space="0" w:color="000000"/>
              <w:bottom w:val="single" w:sz="3" w:space="0" w:color="000000"/>
              <w:right w:val="single" w:sz="3" w:space="0" w:color="000000"/>
            </w:tcBorders>
          </w:tcPr>
          <w:p>
            <w:pPr>
              <w:pStyle w:val="TableParagraph"/>
              <w:ind w:left="45" w:right="45"/>
              <w:jc w:val="center"/>
              <w:rPr>
                <w:sz w:val="18"/>
              </w:rPr>
            </w:pPr>
            <w:r>
              <w:rPr>
                <w:sz w:val="18"/>
              </w:rPr>
              <w:t>0.14</w:t>
            </w:r>
          </w:p>
        </w:tc>
        <w:tc>
          <w:tcPr>
            <w:tcW w:w="2386" w:type="dxa"/>
            <w:tcBorders>
              <w:top w:val="single" w:sz="3" w:space="0" w:color="000000"/>
              <w:left w:val="single" w:sz="3" w:space="0" w:color="000000"/>
              <w:bottom w:val="single" w:sz="3" w:space="0" w:color="000000"/>
            </w:tcBorders>
          </w:tcPr>
          <w:p>
            <w:pPr>
              <w:pStyle w:val="TableParagraph"/>
              <w:ind w:left="145" w:right="143"/>
              <w:jc w:val="center"/>
              <w:rPr>
                <w:sz w:val="18"/>
              </w:rPr>
            </w:pPr>
            <w:r>
              <w:rPr>
                <w:sz w:val="18"/>
              </w:rPr>
              <w:t>Ecotoxicidad</w:t>
            </w:r>
          </w:p>
        </w:tc>
        <w:tc>
          <w:tcPr>
            <w:tcW w:w="1035" w:type="dxa"/>
            <w:tcBorders>
              <w:top w:val="single" w:sz="3" w:space="0" w:color="000000"/>
              <w:bottom w:val="single" w:sz="3" w:space="0" w:color="000000"/>
              <w:right w:val="single" w:sz="3" w:space="0" w:color="000000"/>
            </w:tcBorders>
          </w:tcPr>
          <w:p>
            <w:pPr>
              <w:pStyle w:val="TableParagraph"/>
              <w:jc w:val="center"/>
              <w:rPr>
                <w:sz w:val="18"/>
              </w:rPr>
            </w:pPr>
            <w:r>
              <w:rPr>
                <w:w w:val="99"/>
                <w:sz w:val="18"/>
              </w:rPr>
              <w:t>1</w:t>
            </w:r>
          </w:p>
        </w:tc>
        <w:tc>
          <w:tcPr>
            <w:tcW w:w="1060" w:type="dxa"/>
            <w:tcBorders>
              <w:top w:val="single" w:sz="3" w:space="0" w:color="000000"/>
              <w:left w:val="single" w:sz="3" w:space="0" w:color="000000"/>
              <w:bottom w:val="single" w:sz="3" w:space="0" w:color="000000"/>
              <w:right w:val="single" w:sz="3" w:space="0" w:color="000000"/>
            </w:tcBorders>
          </w:tcPr>
          <w:p>
            <w:pPr>
              <w:pStyle w:val="TableParagraph"/>
              <w:jc w:val="center"/>
              <w:rPr>
                <w:sz w:val="18"/>
              </w:rPr>
            </w:pPr>
            <w:r>
              <w:rPr>
                <w:w w:val="99"/>
                <w:sz w:val="18"/>
              </w:rPr>
              <w:t>0</w:t>
            </w:r>
          </w:p>
        </w:tc>
        <w:tc>
          <w:tcPr>
            <w:tcW w:w="1090" w:type="dxa"/>
            <w:tcBorders>
              <w:top w:val="single" w:sz="3" w:space="0" w:color="000000"/>
              <w:left w:val="single" w:sz="3" w:space="0" w:color="000000"/>
              <w:bottom w:val="single" w:sz="3" w:space="0" w:color="000000"/>
            </w:tcBorders>
          </w:tcPr>
          <w:p>
            <w:pPr>
              <w:pStyle w:val="TableParagraph"/>
              <w:ind w:left="7"/>
              <w:jc w:val="center"/>
              <w:rPr>
                <w:sz w:val="18"/>
              </w:rPr>
            </w:pPr>
            <w:r>
              <w:rPr>
                <w:w w:val="99"/>
                <w:sz w:val="18"/>
              </w:rPr>
              <w:t>0</w:t>
            </w:r>
          </w:p>
        </w:tc>
        <w:tc>
          <w:tcPr>
            <w:tcW w:w="1046" w:type="dxa"/>
            <w:tcBorders>
              <w:top w:val="single" w:sz="3" w:space="0" w:color="000000"/>
              <w:bottom w:val="single" w:sz="3" w:space="0" w:color="000000"/>
              <w:right w:val="single" w:sz="3" w:space="0" w:color="000000"/>
            </w:tcBorders>
          </w:tcPr>
          <w:p>
            <w:pPr>
              <w:pStyle w:val="TableParagraph"/>
              <w:ind w:left="179" w:right="181"/>
              <w:jc w:val="center"/>
              <w:rPr>
                <w:sz w:val="18"/>
              </w:rPr>
            </w:pPr>
            <w:r>
              <w:rPr>
                <w:sz w:val="18"/>
              </w:rPr>
              <w:t>0.8</w:t>
            </w:r>
          </w:p>
        </w:tc>
        <w:tc>
          <w:tcPr>
            <w:tcW w:w="1061" w:type="dxa"/>
            <w:tcBorders>
              <w:top w:val="single" w:sz="3" w:space="0" w:color="000000"/>
              <w:left w:val="single" w:sz="3" w:space="0" w:color="000000"/>
              <w:bottom w:val="single" w:sz="3" w:space="0" w:color="000000"/>
              <w:right w:val="single" w:sz="3" w:space="0" w:color="000000"/>
            </w:tcBorders>
          </w:tcPr>
          <w:p>
            <w:pPr>
              <w:pStyle w:val="TableParagraph"/>
              <w:jc w:val="center"/>
              <w:rPr>
                <w:sz w:val="18"/>
              </w:rPr>
            </w:pPr>
            <w:r>
              <w:rPr>
                <w:w w:val="99"/>
                <w:sz w:val="18"/>
              </w:rPr>
              <w:t>2</w:t>
            </w:r>
          </w:p>
        </w:tc>
        <w:tc>
          <w:tcPr>
            <w:tcW w:w="1090" w:type="dxa"/>
            <w:tcBorders>
              <w:top w:val="single" w:sz="3" w:space="0" w:color="000000"/>
              <w:left w:val="single" w:sz="3" w:space="0" w:color="000000"/>
              <w:bottom w:val="single" w:sz="3" w:space="0" w:color="000000"/>
            </w:tcBorders>
          </w:tcPr>
          <w:p>
            <w:pPr>
              <w:pStyle w:val="TableParagraph"/>
              <w:ind w:left="48" w:right="36"/>
              <w:jc w:val="center"/>
              <w:rPr>
                <w:sz w:val="18"/>
              </w:rPr>
            </w:pPr>
            <w:r>
              <w:rPr>
                <w:sz w:val="18"/>
              </w:rPr>
              <w:t>0.07142857</w:t>
            </w:r>
          </w:p>
        </w:tc>
      </w:tr>
      <w:tr>
        <w:trPr>
          <w:trHeight w:val="320" w:hRule="exact"/>
        </w:trPr>
        <w:tc>
          <w:tcPr>
            <w:tcW w:w="2022" w:type="dxa"/>
            <w:vMerge/>
            <w:tcBorders>
              <w:right w:val="single" w:sz="3" w:space="0" w:color="000000"/>
            </w:tcBorders>
          </w:tcPr>
          <w:p>
            <w:pPr/>
          </w:p>
        </w:tc>
        <w:tc>
          <w:tcPr>
            <w:tcW w:w="1152" w:type="dxa"/>
            <w:vMerge/>
            <w:tcBorders>
              <w:left w:val="single" w:sz="3" w:space="0" w:color="000000"/>
              <w:right w:val="single" w:sz="3" w:space="0" w:color="000000"/>
            </w:tcBorders>
          </w:tcPr>
          <w:p>
            <w:pPr/>
          </w:p>
        </w:tc>
        <w:tc>
          <w:tcPr>
            <w:tcW w:w="1153" w:type="dxa"/>
            <w:tcBorders>
              <w:top w:val="single" w:sz="3" w:space="0" w:color="000000"/>
              <w:left w:val="single" w:sz="3" w:space="0" w:color="000000"/>
              <w:bottom w:val="single" w:sz="3" w:space="0" w:color="000000"/>
              <w:right w:val="single" w:sz="3" w:space="0" w:color="000000"/>
            </w:tcBorders>
          </w:tcPr>
          <w:p>
            <w:pPr>
              <w:pStyle w:val="TableParagraph"/>
              <w:ind w:left="45" w:right="45"/>
              <w:jc w:val="center"/>
              <w:rPr>
                <w:sz w:val="18"/>
              </w:rPr>
            </w:pPr>
            <w:r>
              <w:rPr>
                <w:sz w:val="18"/>
              </w:rPr>
              <w:t>0.14</w:t>
            </w:r>
          </w:p>
        </w:tc>
        <w:tc>
          <w:tcPr>
            <w:tcW w:w="2386" w:type="dxa"/>
            <w:tcBorders>
              <w:top w:val="single" w:sz="3" w:space="0" w:color="000000"/>
              <w:left w:val="single" w:sz="3" w:space="0" w:color="000000"/>
              <w:bottom w:val="single" w:sz="3" w:space="0" w:color="000000"/>
            </w:tcBorders>
          </w:tcPr>
          <w:p>
            <w:pPr>
              <w:pStyle w:val="TableParagraph"/>
              <w:ind w:left="147" w:right="141"/>
              <w:jc w:val="center"/>
              <w:rPr>
                <w:sz w:val="18"/>
              </w:rPr>
            </w:pPr>
            <w:r>
              <w:rPr>
                <w:sz w:val="18"/>
              </w:rPr>
              <w:t>Eurotroficación</w:t>
            </w:r>
          </w:p>
        </w:tc>
        <w:tc>
          <w:tcPr>
            <w:tcW w:w="1035" w:type="dxa"/>
            <w:tcBorders>
              <w:top w:val="single" w:sz="3" w:space="0" w:color="000000"/>
              <w:bottom w:val="single" w:sz="3" w:space="0" w:color="000000"/>
              <w:right w:val="single" w:sz="3" w:space="0" w:color="000000"/>
            </w:tcBorders>
          </w:tcPr>
          <w:p>
            <w:pPr>
              <w:pStyle w:val="TableParagraph"/>
              <w:ind w:left="44" w:right="44"/>
              <w:jc w:val="center"/>
              <w:rPr>
                <w:sz w:val="18"/>
              </w:rPr>
            </w:pPr>
            <w:r>
              <w:rPr>
                <w:sz w:val="18"/>
              </w:rPr>
              <w:t>0.9</w:t>
            </w:r>
          </w:p>
        </w:tc>
        <w:tc>
          <w:tcPr>
            <w:tcW w:w="1060" w:type="dxa"/>
            <w:tcBorders>
              <w:top w:val="single" w:sz="3" w:space="0" w:color="000000"/>
              <w:left w:val="single" w:sz="3" w:space="0" w:color="000000"/>
              <w:bottom w:val="single" w:sz="3" w:space="0" w:color="000000"/>
              <w:right w:val="single" w:sz="3" w:space="0" w:color="000000"/>
            </w:tcBorders>
          </w:tcPr>
          <w:p>
            <w:pPr>
              <w:pStyle w:val="TableParagraph"/>
              <w:jc w:val="center"/>
              <w:rPr>
                <w:sz w:val="18"/>
              </w:rPr>
            </w:pPr>
            <w:r>
              <w:rPr>
                <w:w w:val="99"/>
                <w:sz w:val="18"/>
              </w:rPr>
              <w:t>1</w:t>
            </w:r>
          </w:p>
        </w:tc>
        <w:tc>
          <w:tcPr>
            <w:tcW w:w="1090" w:type="dxa"/>
            <w:tcBorders>
              <w:top w:val="single" w:sz="3" w:space="0" w:color="000000"/>
              <w:left w:val="single" w:sz="3" w:space="0" w:color="000000"/>
              <w:bottom w:val="single" w:sz="3" w:space="0" w:color="000000"/>
            </w:tcBorders>
          </w:tcPr>
          <w:p>
            <w:pPr>
              <w:pStyle w:val="TableParagraph"/>
              <w:ind w:left="48" w:right="37"/>
              <w:jc w:val="center"/>
              <w:rPr>
                <w:sz w:val="18"/>
              </w:rPr>
            </w:pPr>
            <w:r>
              <w:rPr>
                <w:sz w:val="18"/>
              </w:rPr>
              <w:t>0.03571429</w:t>
            </w:r>
          </w:p>
        </w:tc>
        <w:tc>
          <w:tcPr>
            <w:tcW w:w="1046" w:type="dxa"/>
            <w:tcBorders>
              <w:top w:val="single" w:sz="3" w:space="0" w:color="000000"/>
              <w:bottom w:val="single" w:sz="3" w:space="0" w:color="000000"/>
              <w:right w:val="single" w:sz="3" w:space="0" w:color="000000"/>
            </w:tcBorders>
          </w:tcPr>
          <w:p>
            <w:pPr>
              <w:pStyle w:val="TableParagraph"/>
              <w:ind w:right="1"/>
              <w:jc w:val="center"/>
              <w:rPr>
                <w:sz w:val="18"/>
              </w:rPr>
            </w:pPr>
            <w:r>
              <w:rPr>
                <w:w w:val="99"/>
                <w:sz w:val="18"/>
              </w:rPr>
              <w:t>1</w:t>
            </w:r>
          </w:p>
        </w:tc>
        <w:tc>
          <w:tcPr>
            <w:tcW w:w="1061" w:type="dxa"/>
            <w:tcBorders>
              <w:top w:val="single" w:sz="3" w:space="0" w:color="000000"/>
              <w:left w:val="single" w:sz="3" w:space="0" w:color="000000"/>
              <w:bottom w:val="single" w:sz="3" w:space="0" w:color="000000"/>
              <w:right w:val="single" w:sz="3" w:space="0" w:color="000000"/>
            </w:tcBorders>
          </w:tcPr>
          <w:p>
            <w:pPr>
              <w:pStyle w:val="TableParagraph"/>
              <w:jc w:val="center"/>
              <w:rPr>
                <w:sz w:val="18"/>
              </w:rPr>
            </w:pPr>
            <w:r>
              <w:rPr>
                <w:w w:val="99"/>
                <w:sz w:val="18"/>
              </w:rPr>
              <w:t>0</w:t>
            </w:r>
          </w:p>
        </w:tc>
        <w:tc>
          <w:tcPr>
            <w:tcW w:w="1090" w:type="dxa"/>
            <w:tcBorders>
              <w:top w:val="single" w:sz="3" w:space="0" w:color="000000"/>
              <w:left w:val="single" w:sz="3" w:space="0" w:color="000000"/>
              <w:bottom w:val="single" w:sz="3" w:space="0" w:color="000000"/>
            </w:tcBorders>
          </w:tcPr>
          <w:p>
            <w:pPr>
              <w:pStyle w:val="TableParagraph"/>
              <w:ind w:left="7"/>
              <w:jc w:val="center"/>
              <w:rPr>
                <w:sz w:val="18"/>
              </w:rPr>
            </w:pPr>
            <w:r>
              <w:rPr>
                <w:w w:val="99"/>
                <w:sz w:val="18"/>
              </w:rPr>
              <w:t>0</w:t>
            </w:r>
          </w:p>
        </w:tc>
      </w:tr>
      <w:tr>
        <w:trPr>
          <w:trHeight w:val="320" w:hRule="exact"/>
        </w:trPr>
        <w:tc>
          <w:tcPr>
            <w:tcW w:w="2022" w:type="dxa"/>
            <w:vMerge/>
            <w:tcBorders>
              <w:right w:val="single" w:sz="3" w:space="0" w:color="000000"/>
            </w:tcBorders>
          </w:tcPr>
          <w:p>
            <w:pPr/>
          </w:p>
        </w:tc>
        <w:tc>
          <w:tcPr>
            <w:tcW w:w="1152" w:type="dxa"/>
            <w:vMerge/>
            <w:tcBorders>
              <w:left w:val="single" w:sz="3" w:space="0" w:color="000000"/>
              <w:right w:val="single" w:sz="3" w:space="0" w:color="000000"/>
            </w:tcBorders>
          </w:tcPr>
          <w:p>
            <w:pPr/>
          </w:p>
        </w:tc>
        <w:tc>
          <w:tcPr>
            <w:tcW w:w="1153" w:type="dxa"/>
            <w:tcBorders>
              <w:top w:val="single" w:sz="3" w:space="0" w:color="000000"/>
              <w:left w:val="single" w:sz="3" w:space="0" w:color="000000"/>
              <w:bottom w:val="single" w:sz="3" w:space="0" w:color="000000"/>
              <w:right w:val="single" w:sz="3" w:space="0" w:color="000000"/>
            </w:tcBorders>
          </w:tcPr>
          <w:p>
            <w:pPr>
              <w:pStyle w:val="TableParagraph"/>
              <w:spacing w:before="3"/>
              <w:ind w:left="45" w:right="45"/>
              <w:jc w:val="center"/>
              <w:rPr>
                <w:sz w:val="18"/>
              </w:rPr>
            </w:pPr>
            <w:r>
              <w:rPr>
                <w:sz w:val="18"/>
              </w:rPr>
              <w:t>0.14</w:t>
            </w:r>
          </w:p>
        </w:tc>
        <w:tc>
          <w:tcPr>
            <w:tcW w:w="2386" w:type="dxa"/>
            <w:tcBorders>
              <w:top w:val="single" w:sz="3" w:space="0" w:color="000000"/>
              <w:left w:val="single" w:sz="3" w:space="0" w:color="000000"/>
              <w:bottom w:val="single" w:sz="3" w:space="0" w:color="000000"/>
            </w:tcBorders>
          </w:tcPr>
          <w:p>
            <w:pPr>
              <w:pStyle w:val="TableParagraph"/>
              <w:spacing w:before="3"/>
              <w:ind w:left="147" w:right="142"/>
              <w:jc w:val="center"/>
              <w:rPr>
                <w:sz w:val="18"/>
              </w:rPr>
            </w:pPr>
            <w:r>
              <w:rPr>
                <w:sz w:val="18"/>
              </w:rPr>
              <w:t>Minerales</w:t>
            </w:r>
          </w:p>
        </w:tc>
        <w:tc>
          <w:tcPr>
            <w:tcW w:w="1035" w:type="dxa"/>
            <w:tcBorders>
              <w:top w:val="single" w:sz="3" w:space="0" w:color="000000"/>
              <w:bottom w:val="single" w:sz="3" w:space="0" w:color="000000"/>
              <w:right w:val="single" w:sz="3" w:space="0" w:color="000000"/>
            </w:tcBorders>
          </w:tcPr>
          <w:p>
            <w:pPr>
              <w:pStyle w:val="TableParagraph"/>
              <w:spacing w:before="3"/>
              <w:jc w:val="center"/>
              <w:rPr>
                <w:sz w:val="18"/>
              </w:rPr>
            </w:pPr>
            <w:r>
              <w:rPr>
                <w:w w:val="99"/>
                <w:sz w:val="18"/>
              </w:rPr>
              <w:t>1</w:t>
            </w:r>
          </w:p>
        </w:tc>
        <w:tc>
          <w:tcPr>
            <w:tcW w:w="1060" w:type="dxa"/>
            <w:tcBorders>
              <w:top w:val="single" w:sz="3" w:space="0" w:color="000000"/>
              <w:left w:val="single" w:sz="3" w:space="0" w:color="000000"/>
              <w:bottom w:val="single" w:sz="3" w:space="0" w:color="000000"/>
              <w:right w:val="single" w:sz="3" w:space="0" w:color="000000"/>
            </w:tcBorders>
          </w:tcPr>
          <w:p>
            <w:pPr>
              <w:pStyle w:val="TableParagraph"/>
              <w:spacing w:before="3"/>
              <w:jc w:val="center"/>
              <w:rPr>
                <w:sz w:val="18"/>
              </w:rPr>
            </w:pPr>
            <w:r>
              <w:rPr>
                <w:w w:val="99"/>
                <w:sz w:val="18"/>
              </w:rPr>
              <w:t>0</w:t>
            </w:r>
          </w:p>
        </w:tc>
        <w:tc>
          <w:tcPr>
            <w:tcW w:w="1090" w:type="dxa"/>
            <w:tcBorders>
              <w:top w:val="single" w:sz="3" w:space="0" w:color="000000"/>
              <w:left w:val="single" w:sz="3" w:space="0" w:color="000000"/>
              <w:bottom w:val="single" w:sz="3" w:space="0" w:color="000000"/>
            </w:tcBorders>
          </w:tcPr>
          <w:p>
            <w:pPr>
              <w:pStyle w:val="TableParagraph"/>
              <w:spacing w:before="3"/>
              <w:ind w:left="7"/>
              <w:jc w:val="center"/>
              <w:rPr>
                <w:sz w:val="18"/>
              </w:rPr>
            </w:pPr>
            <w:r>
              <w:rPr>
                <w:w w:val="99"/>
                <w:sz w:val="18"/>
              </w:rPr>
              <w:t>0</w:t>
            </w:r>
          </w:p>
        </w:tc>
        <w:tc>
          <w:tcPr>
            <w:tcW w:w="1046" w:type="dxa"/>
            <w:tcBorders>
              <w:top w:val="single" w:sz="3" w:space="0" w:color="000000"/>
              <w:bottom w:val="single" w:sz="3" w:space="0" w:color="000000"/>
              <w:right w:val="single" w:sz="3" w:space="0" w:color="000000"/>
            </w:tcBorders>
          </w:tcPr>
          <w:p>
            <w:pPr>
              <w:pStyle w:val="TableParagraph"/>
              <w:spacing w:before="3"/>
              <w:ind w:left="179" w:right="181"/>
              <w:jc w:val="center"/>
              <w:rPr>
                <w:sz w:val="18"/>
              </w:rPr>
            </w:pPr>
            <w:r>
              <w:rPr>
                <w:sz w:val="18"/>
              </w:rPr>
              <w:t>0.8</w:t>
            </w:r>
          </w:p>
        </w:tc>
        <w:tc>
          <w:tcPr>
            <w:tcW w:w="1061" w:type="dxa"/>
            <w:tcBorders>
              <w:top w:val="single" w:sz="3" w:space="0" w:color="000000"/>
              <w:left w:val="single" w:sz="3" w:space="0" w:color="000000"/>
              <w:bottom w:val="single" w:sz="3" w:space="0" w:color="000000"/>
              <w:right w:val="single" w:sz="3" w:space="0" w:color="000000"/>
            </w:tcBorders>
          </w:tcPr>
          <w:p>
            <w:pPr>
              <w:pStyle w:val="TableParagraph"/>
              <w:spacing w:before="3"/>
              <w:jc w:val="center"/>
              <w:rPr>
                <w:sz w:val="18"/>
              </w:rPr>
            </w:pPr>
            <w:r>
              <w:rPr>
                <w:w w:val="99"/>
                <w:sz w:val="18"/>
              </w:rPr>
              <w:t>2</w:t>
            </w:r>
          </w:p>
        </w:tc>
        <w:tc>
          <w:tcPr>
            <w:tcW w:w="1090" w:type="dxa"/>
            <w:tcBorders>
              <w:top w:val="single" w:sz="3" w:space="0" w:color="000000"/>
              <w:left w:val="single" w:sz="3" w:space="0" w:color="000000"/>
              <w:bottom w:val="single" w:sz="3" w:space="0" w:color="000000"/>
            </w:tcBorders>
          </w:tcPr>
          <w:p>
            <w:pPr>
              <w:pStyle w:val="TableParagraph"/>
              <w:spacing w:before="3"/>
              <w:ind w:left="48" w:right="36"/>
              <w:jc w:val="center"/>
              <w:rPr>
                <w:sz w:val="18"/>
              </w:rPr>
            </w:pPr>
            <w:r>
              <w:rPr>
                <w:sz w:val="18"/>
              </w:rPr>
              <w:t>0.07142857</w:t>
            </w:r>
          </w:p>
        </w:tc>
      </w:tr>
      <w:tr>
        <w:trPr>
          <w:trHeight w:val="624" w:hRule="exact"/>
        </w:trPr>
        <w:tc>
          <w:tcPr>
            <w:tcW w:w="2022" w:type="dxa"/>
            <w:vMerge/>
            <w:tcBorders>
              <w:bottom w:val="single" w:sz="3" w:space="0" w:color="000000"/>
              <w:right w:val="single" w:sz="3" w:space="0" w:color="000000"/>
            </w:tcBorders>
          </w:tcPr>
          <w:p>
            <w:pPr/>
          </w:p>
        </w:tc>
        <w:tc>
          <w:tcPr>
            <w:tcW w:w="1152" w:type="dxa"/>
            <w:vMerge/>
            <w:tcBorders>
              <w:left w:val="single" w:sz="3" w:space="0" w:color="000000"/>
              <w:bottom w:val="single" w:sz="3" w:space="0" w:color="000000"/>
              <w:right w:val="single" w:sz="3" w:space="0" w:color="000000"/>
            </w:tcBorders>
          </w:tcPr>
          <w:p>
            <w:pPr/>
          </w:p>
        </w:tc>
        <w:tc>
          <w:tcPr>
            <w:tcW w:w="1153" w:type="dxa"/>
            <w:tcBorders>
              <w:top w:val="single" w:sz="3" w:space="0" w:color="000000"/>
              <w:left w:val="single" w:sz="3" w:space="0" w:color="000000"/>
              <w:bottom w:val="single" w:sz="3" w:space="0" w:color="000000"/>
              <w:right w:val="single" w:sz="3" w:space="0" w:color="000000"/>
            </w:tcBorders>
          </w:tcPr>
          <w:p>
            <w:pPr>
              <w:pStyle w:val="TableParagraph"/>
              <w:spacing w:before="155"/>
              <w:ind w:left="45" w:right="45"/>
              <w:jc w:val="center"/>
              <w:rPr>
                <w:sz w:val="18"/>
              </w:rPr>
            </w:pPr>
            <w:r>
              <w:rPr>
                <w:sz w:val="18"/>
              </w:rPr>
              <w:t>0.14</w:t>
            </w:r>
          </w:p>
        </w:tc>
        <w:tc>
          <w:tcPr>
            <w:tcW w:w="2386" w:type="dxa"/>
            <w:tcBorders>
              <w:top w:val="single" w:sz="3" w:space="0" w:color="000000"/>
              <w:left w:val="single" w:sz="3" w:space="0" w:color="000000"/>
              <w:bottom w:val="single" w:sz="3" w:space="0" w:color="000000"/>
            </w:tcBorders>
          </w:tcPr>
          <w:p>
            <w:pPr>
              <w:pStyle w:val="TableParagraph"/>
              <w:spacing w:before="155"/>
              <w:ind w:left="147" w:right="143"/>
              <w:jc w:val="center"/>
              <w:rPr>
                <w:sz w:val="18"/>
              </w:rPr>
            </w:pPr>
            <w:r>
              <w:rPr>
                <w:sz w:val="18"/>
              </w:rPr>
              <w:t>Combustibles Fósiles</w:t>
            </w:r>
          </w:p>
        </w:tc>
        <w:tc>
          <w:tcPr>
            <w:tcW w:w="1035" w:type="dxa"/>
            <w:tcBorders>
              <w:top w:val="single" w:sz="3" w:space="0" w:color="000000"/>
              <w:right w:val="single" w:sz="3" w:space="0" w:color="000000"/>
            </w:tcBorders>
          </w:tcPr>
          <w:p>
            <w:pPr>
              <w:pStyle w:val="TableParagraph"/>
              <w:spacing w:before="155"/>
              <w:jc w:val="center"/>
              <w:rPr>
                <w:sz w:val="18"/>
              </w:rPr>
            </w:pPr>
            <w:r>
              <w:rPr>
                <w:w w:val="99"/>
                <w:sz w:val="18"/>
              </w:rPr>
              <w:t>1</w:t>
            </w:r>
          </w:p>
        </w:tc>
        <w:tc>
          <w:tcPr>
            <w:tcW w:w="1060" w:type="dxa"/>
            <w:tcBorders>
              <w:top w:val="single" w:sz="3" w:space="0" w:color="000000"/>
              <w:left w:val="single" w:sz="3" w:space="0" w:color="000000"/>
              <w:right w:val="single" w:sz="3" w:space="0" w:color="000000"/>
            </w:tcBorders>
          </w:tcPr>
          <w:p>
            <w:pPr>
              <w:pStyle w:val="TableParagraph"/>
              <w:spacing w:before="155"/>
              <w:jc w:val="center"/>
              <w:rPr>
                <w:sz w:val="18"/>
              </w:rPr>
            </w:pPr>
            <w:r>
              <w:rPr>
                <w:w w:val="99"/>
                <w:sz w:val="18"/>
              </w:rPr>
              <w:t>0</w:t>
            </w:r>
          </w:p>
        </w:tc>
        <w:tc>
          <w:tcPr>
            <w:tcW w:w="1090" w:type="dxa"/>
            <w:tcBorders>
              <w:top w:val="single" w:sz="3" w:space="0" w:color="000000"/>
              <w:left w:val="single" w:sz="3" w:space="0" w:color="000000"/>
            </w:tcBorders>
          </w:tcPr>
          <w:p>
            <w:pPr>
              <w:pStyle w:val="TableParagraph"/>
              <w:spacing w:before="155"/>
              <w:ind w:left="7"/>
              <w:jc w:val="center"/>
              <w:rPr>
                <w:sz w:val="18"/>
              </w:rPr>
            </w:pPr>
            <w:r>
              <w:rPr>
                <w:w w:val="99"/>
                <w:sz w:val="18"/>
              </w:rPr>
              <w:t>0</w:t>
            </w:r>
          </w:p>
        </w:tc>
        <w:tc>
          <w:tcPr>
            <w:tcW w:w="1046" w:type="dxa"/>
            <w:tcBorders>
              <w:top w:val="single" w:sz="3" w:space="0" w:color="000000"/>
              <w:right w:val="single" w:sz="3" w:space="0" w:color="000000"/>
            </w:tcBorders>
          </w:tcPr>
          <w:p>
            <w:pPr>
              <w:pStyle w:val="TableParagraph"/>
              <w:spacing w:before="155"/>
              <w:ind w:right="1"/>
              <w:jc w:val="center"/>
              <w:rPr>
                <w:sz w:val="18"/>
              </w:rPr>
            </w:pPr>
            <w:r>
              <w:rPr>
                <w:w w:val="99"/>
                <w:sz w:val="18"/>
              </w:rPr>
              <w:t>1</w:t>
            </w:r>
          </w:p>
        </w:tc>
        <w:tc>
          <w:tcPr>
            <w:tcW w:w="1061" w:type="dxa"/>
            <w:tcBorders>
              <w:top w:val="single" w:sz="3" w:space="0" w:color="000000"/>
              <w:left w:val="single" w:sz="3" w:space="0" w:color="000000"/>
              <w:right w:val="single" w:sz="3" w:space="0" w:color="000000"/>
            </w:tcBorders>
          </w:tcPr>
          <w:p>
            <w:pPr>
              <w:pStyle w:val="TableParagraph"/>
              <w:spacing w:before="155"/>
              <w:jc w:val="center"/>
              <w:rPr>
                <w:sz w:val="18"/>
              </w:rPr>
            </w:pPr>
            <w:r>
              <w:rPr>
                <w:w w:val="99"/>
                <w:sz w:val="18"/>
              </w:rPr>
              <w:t>0</w:t>
            </w:r>
          </w:p>
        </w:tc>
        <w:tc>
          <w:tcPr>
            <w:tcW w:w="1090" w:type="dxa"/>
            <w:tcBorders>
              <w:top w:val="single" w:sz="3" w:space="0" w:color="000000"/>
              <w:left w:val="single" w:sz="3" w:space="0" w:color="000000"/>
            </w:tcBorders>
          </w:tcPr>
          <w:p>
            <w:pPr>
              <w:pStyle w:val="TableParagraph"/>
              <w:spacing w:before="155"/>
              <w:ind w:left="7"/>
              <w:jc w:val="center"/>
              <w:rPr>
                <w:sz w:val="18"/>
              </w:rPr>
            </w:pPr>
            <w:r>
              <w:rPr>
                <w:w w:val="99"/>
                <w:sz w:val="18"/>
              </w:rPr>
              <w:t>0</w:t>
            </w:r>
          </w:p>
        </w:tc>
      </w:tr>
      <w:tr>
        <w:trPr>
          <w:trHeight w:val="332" w:hRule="exact"/>
        </w:trPr>
        <w:tc>
          <w:tcPr>
            <w:tcW w:w="2022" w:type="dxa"/>
            <w:vMerge w:val="restart"/>
            <w:tcBorders>
              <w:top w:val="single" w:sz="3" w:space="0" w:color="000000"/>
              <w:right w:val="single" w:sz="3" w:space="0" w:color="000000"/>
            </w:tcBorders>
          </w:tcPr>
          <w:p>
            <w:pPr>
              <w:pStyle w:val="TableParagraph"/>
              <w:rPr>
                <w:sz w:val="18"/>
              </w:rPr>
            </w:pPr>
          </w:p>
          <w:p>
            <w:pPr>
              <w:pStyle w:val="TableParagraph"/>
              <w:rPr>
                <w:sz w:val="18"/>
              </w:rPr>
            </w:pPr>
          </w:p>
          <w:p>
            <w:pPr>
              <w:pStyle w:val="TableParagraph"/>
              <w:spacing w:before="10"/>
              <w:rPr>
                <w:sz w:val="18"/>
              </w:rPr>
            </w:pPr>
          </w:p>
          <w:p>
            <w:pPr>
              <w:pStyle w:val="TableParagraph"/>
              <w:spacing w:before="1"/>
              <w:ind w:left="652" w:right="654"/>
              <w:jc w:val="center"/>
              <w:rPr>
                <w:sz w:val="18"/>
              </w:rPr>
            </w:pPr>
            <w:r>
              <w:rPr>
                <w:sz w:val="18"/>
              </w:rPr>
              <w:t>Salud</w:t>
            </w:r>
          </w:p>
        </w:tc>
        <w:tc>
          <w:tcPr>
            <w:tcW w:w="1152" w:type="dxa"/>
            <w:vMerge w:val="restart"/>
            <w:tcBorders>
              <w:top w:val="single" w:sz="3" w:space="0" w:color="000000"/>
              <w:left w:val="single" w:sz="3" w:space="0" w:color="000000"/>
              <w:right w:val="single" w:sz="3" w:space="0" w:color="000000"/>
            </w:tcBorders>
          </w:tcPr>
          <w:p>
            <w:pPr>
              <w:pStyle w:val="TableParagraph"/>
              <w:rPr>
                <w:sz w:val="18"/>
              </w:rPr>
            </w:pPr>
          </w:p>
          <w:p>
            <w:pPr>
              <w:pStyle w:val="TableParagraph"/>
              <w:rPr>
                <w:sz w:val="18"/>
              </w:rPr>
            </w:pPr>
          </w:p>
          <w:p>
            <w:pPr>
              <w:pStyle w:val="TableParagraph"/>
              <w:spacing w:before="10"/>
              <w:rPr>
                <w:sz w:val="18"/>
              </w:rPr>
            </w:pPr>
          </w:p>
          <w:p>
            <w:pPr>
              <w:pStyle w:val="TableParagraph"/>
              <w:spacing w:before="1"/>
              <w:ind w:left="45" w:right="45"/>
              <w:jc w:val="center"/>
              <w:rPr>
                <w:sz w:val="18"/>
              </w:rPr>
            </w:pPr>
            <w:r>
              <w:rPr>
                <w:sz w:val="18"/>
              </w:rPr>
              <w:t>0.25</w:t>
            </w:r>
          </w:p>
        </w:tc>
        <w:tc>
          <w:tcPr>
            <w:tcW w:w="1153" w:type="dxa"/>
            <w:tcBorders>
              <w:top w:val="single" w:sz="3" w:space="0" w:color="000000"/>
              <w:left w:val="single" w:sz="3" w:space="0" w:color="000000"/>
              <w:bottom w:val="single" w:sz="3" w:space="0" w:color="000000"/>
              <w:right w:val="single" w:sz="3" w:space="0" w:color="000000"/>
            </w:tcBorders>
          </w:tcPr>
          <w:p>
            <w:pPr>
              <w:pStyle w:val="TableParagraph"/>
              <w:spacing w:before="11"/>
              <w:ind w:left="45" w:right="45"/>
              <w:jc w:val="center"/>
              <w:rPr>
                <w:sz w:val="18"/>
              </w:rPr>
            </w:pPr>
            <w:r>
              <w:rPr>
                <w:sz w:val="18"/>
              </w:rPr>
              <w:t>0.33</w:t>
            </w:r>
          </w:p>
        </w:tc>
        <w:tc>
          <w:tcPr>
            <w:tcW w:w="2386" w:type="dxa"/>
            <w:tcBorders>
              <w:top w:val="single" w:sz="3" w:space="0" w:color="000000"/>
              <w:left w:val="single" w:sz="3" w:space="0" w:color="000000"/>
              <w:bottom w:val="single" w:sz="3" w:space="0" w:color="000000"/>
            </w:tcBorders>
          </w:tcPr>
          <w:p>
            <w:pPr>
              <w:pStyle w:val="TableParagraph"/>
              <w:spacing w:before="11"/>
              <w:ind w:left="147" w:right="142"/>
              <w:jc w:val="center"/>
              <w:rPr>
                <w:sz w:val="18"/>
              </w:rPr>
            </w:pPr>
            <w:r>
              <w:rPr>
                <w:sz w:val="18"/>
              </w:rPr>
              <w:t>Cancerígenos</w:t>
            </w:r>
          </w:p>
        </w:tc>
        <w:tc>
          <w:tcPr>
            <w:tcW w:w="1035" w:type="dxa"/>
            <w:tcBorders>
              <w:bottom w:val="single" w:sz="3" w:space="0" w:color="000000"/>
              <w:right w:val="single" w:sz="3" w:space="0" w:color="000000"/>
            </w:tcBorders>
          </w:tcPr>
          <w:p>
            <w:pPr>
              <w:pStyle w:val="TableParagraph"/>
              <w:spacing w:before="5"/>
              <w:jc w:val="center"/>
              <w:rPr>
                <w:sz w:val="18"/>
              </w:rPr>
            </w:pPr>
            <w:r>
              <w:rPr>
                <w:w w:val="99"/>
                <w:sz w:val="18"/>
              </w:rPr>
              <w:t>1</w:t>
            </w:r>
          </w:p>
        </w:tc>
        <w:tc>
          <w:tcPr>
            <w:tcW w:w="1060" w:type="dxa"/>
            <w:tcBorders>
              <w:left w:val="single" w:sz="3" w:space="0" w:color="000000"/>
              <w:bottom w:val="single" w:sz="3" w:space="0" w:color="000000"/>
              <w:right w:val="single" w:sz="3" w:space="0" w:color="000000"/>
            </w:tcBorders>
          </w:tcPr>
          <w:p>
            <w:pPr>
              <w:pStyle w:val="TableParagraph"/>
              <w:spacing w:before="5"/>
              <w:jc w:val="center"/>
              <w:rPr>
                <w:sz w:val="18"/>
              </w:rPr>
            </w:pPr>
            <w:r>
              <w:rPr>
                <w:w w:val="99"/>
                <w:sz w:val="18"/>
              </w:rPr>
              <w:t>0</w:t>
            </w:r>
          </w:p>
        </w:tc>
        <w:tc>
          <w:tcPr>
            <w:tcW w:w="1090" w:type="dxa"/>
            <w:tcBorders>
              <w:left w:val="single" w:sz="3" w:space="0" w:color="000000"/>
              <w:bottom w:val="single" w:sz="3" w:space="0" w:color="000000"/>
            </w:tcBorders>
          </w:tcPr>
          <w:p>
            <w:pPr>
              <w:pStyle w:val="TableParagraph"/>
              <w:spacing w:before="5"/>
              <w:ind w:left="7"/>
              <w:jc w:val="center"/>
              <w:rPr>
                <w:sz w:val="18"/>
              </w:rPr>
            </w:pPr>
            <w:r>
              <w:rPr>
                <w:w w:val="99"/>
                <w:sz w:val="18"/>
              </w:rPr>
              <w:t>0</w:t>
            </w:r>
          </w:p>
        </w:tc>
        <w:tc>
          <w:tcPr>
            <w:tcW w:w="1046" w:type="dxa"/>
            <w:tcBorders>
              <w:bottom w:val="single" w:sz="3" w:space="0" w:color="000000"/>
              <w:right w:val="single" w:sz="3" w:space="0" w:color="000000"/>
            </w:tcBorders>
          </w:tcPr>
          <w:p>
            <w:pPr>
              <w:pStyle w:val="TableParagraph"/>
              <w:spacing w:before="5"/>
              <w:ind w:left="179" w:right="181"/>
              <w:jc w:val="center"/>
              <w:rPr>
                <w:sz w:val="18"/>
              </w:rPr>
            </w:pPr>
            <w:r>
              <w:rPr>
                <w:sz w:val="18"/>
              </w:rPr>
              <w:t>0.6</w:t>
            </w:r>
          </w:p>
        </w:tc>
        <w:tc>
          <w:tcPr>
            <w:tcW w:w="1061" w:type="dxa"/>
            <w:tcBorders>
              <w:left w:val="single" w:sz="3" w:space="0" w:color="000000"/>
              <w:bottom w:val="single" w:sz="3" w:space="0" w:color="000000"/>
              <w:right w:val="single" w:sz="3" w:space="0" w:color="000000"/>
            </w:tcBorders>
          </w:tcPr>
          <w:p>
            <w:pPr>
              <w:pStyle w:val="TableParagraph"/>
              <w:spacing w:before="5"/>
              <w:jc w:val="center"/>
              <w:rPr>
                <w:sz w:val="18"/>
              </w:rPr>
            </w:pPr>
            <w:r>
              <w:rPr>
                <w:w w:val="99"/>
                <w:sz w:val="18"/>
              </w:rPr>
              <w:t>4</w:t>
            </w:r>
          </w:p>
        </w:tc>
        <w:tc>
          <w:tcPr>
            <w:tcW w:w="1090" w:type="dxa"/>
            <w:tcBorders>
              <w:left w:val="single" w:sz="3" w:space="0" w:color="000000"/>
              <w:bottom w:val="single" w:sz="3" w:space="0" w:color="000000"/>
            </w:tcBorders>
          </w:tcPr>
          <w:p>
            <w:pPr>
              <w:pStyle w:val="TableParagraph"/>
              <w:spacing w:before="5"/>
              <w:ind w:left="48" w:right="36"/>
              <w:jc w:val="center"/>
              <w:rPr>
                <w:sz w:val="18"/>
              </w:rPr>
            </w:pPr>
            <w:r>
              <w:rPr>
                <w:sz w:val="18"/>
              </w:rPr>
              <w:t>0.33333333</w:t>
            </w:r>
          </w:p>
        </w:tc>
      </w:tr>
      <w:tr>
        <w:trPr>
          <w:trHeight w:val="612" w:hRule="exact"/>
        </w:trPr>
        <w:tc>
          <w:tcPr>
            <w:tcW w:w="2022" w:type="dxa"/>
            <w:vMerge/>
            <w:tcBorders>
              <w:right w:val="single" w:sz="3" w:space="0" w:color="000000"/>
            </w:tcBorders>
          </w:tcPr>
          <w:p>
            <w:pPr/>
          </w:p>
        </w:tc>
        <w:tc>
          <w:tcPr>
            <w:tcW w:w="1152" w:type="dxa"/>
            <w:vMerge/>
            <w:tcBorders>
              <w:left w:val="single" w:sz="3" w:space="0" w:color="000000"/>
              <w:right w:val="single" w:sz="3" w:space="0" w:color="000000"/>
            </w:tcBorders>
          </w:tcPr>
          <w:p>
            <w:pPr/>
          </w:p>
        </w:tc>
        <w:tc>
          <w:tcPr>
            <w:tcW w:w="1153" w:type="dxa"/>
            <w:tcBorders>
              <w:top w:val="single" w:sz="3" w:space="0" w:color="000000"/>
              <w:left w:val="single" w:sz="3" w:space="0" w:color="000000"/>
              <w:bottom w:val="single" w:sz="3" w:space="0" w:color="000000"/>
              <w:right w:val="single" w:sz="3" w:space="0" w:color="000000"/>
            </w:tcBorders>
          </w:tcPr>
          <w:p>
            <w:pPr>
              <w:pStyle w:val="TableParagraph"/>
              <w:spacing w:before="148"/>
              <w:ind w:left="45" w:right="45"/>
              <w:jc w:val="center"/>
              <w:rPr>
                <w:sz w:val="18"/>
              </w:rPr>
            </w:pPr>
            <w:r>
              <w:rPr>
                <w:sz w:val="18"/>
              </w:rPr>
              <w:t>0.33</w:t>
            </w:r>
          </w:p>
        </w:tc>
        <w:tc>
          <w:tcPr>
            <w:tcW w:w="2386" w:type="dxa"/>
            <w:tcBorders>
              <w:top w:val="single" w:sz="3" w:space="0" w:color="000000"/>
              <w:left w:val="single" w:sz="3" w:space="0" w:color="000000"/>
              <w:bottom w:val="single" w:sz="3" w:space="0" w:color="000000"/>
            </w:tcBorders>
          </w:tcPr>
          <w:p>
            <w:pPr>
              <w:pStyle w:val="TableParagraph"/>
              <w:spacing w:before="148"/>
              <w:ind w:left="147" w:right="139"/>
              <w:jc w:val="center"/>
              <w:rPr>
                <w:sz w:val="18"/>
              </w:rPr>
            </w:pPr>
            <w:r>
              <w:rPr>
                <w:sz w:val="18"/>
              </w:rPr>
              <w:t>Respiratorios Orgánicos</w:t>
            </w:r>
          </w:p>
        </w:tc>
        <w:tc>
          <w:tcPr>
            <w:tcW w:w="1035" w:type="dxa"/>
            <w:tcBorders>
              <w:top w:val="single" w:sz="3" w:space="0" w:color="000000"/>
              <w:bottom w:val="single" w:sz="3" w:space="0" w:color="000000"/>
              <w:right w:val="single" w:sz="3" w:space="0" w:color="000000"/>
            </w:tcBorders>
          </w:tcPr>
          <w:p>
            <w:pPr>
              <w:pStyle w:val="TableParagraph"/>
              <w:spacing w:before="148"/>
              <w:jc w:val="center"/>
              <w:rPr>
                <w:sz w:val="18"/>
              </w:rPr>
            </w:pPr>
            <w:r>
              <w:rPr>
                <w:w w:val="99"/>
                <w:sz w:val="18"/>
              </w:rPr>
              <w:t>1</w:t>
            </w:r>
          </w:p>
        </w:tc>
        <w:tc>
          <w:tcPr>
            <w:tcW w:w="1060" w:type="dxa"/>
            <w:tcBorders>
              <w:top w:val="single" w:sz="3" w:space="0" w:color="000000"/>
              <w:left w:val="single" w:sz="3" w:space="0" w:color="000000"/>
              <w:bottom w:val="single" w:sz="3" w:space="0" w:color="000000"/>
              <w:right w:val="single" w:sz="3" w:space="0" w:color="000000"/>
            </w:tcBorders>
          </w:tcPr>
          <w:p>
            <w:pPr>
              <w:pStyle w:val="TableParagraph"/>
              <w:spacing w:before="148"/>
              <w:jc w:val="center"/>
              <w:rPr>
                <w:sz w:val="18"/>
              </w:rPr>
            </w:pPr>
            <w:r>
              <w:rPr>
                <w:w w:val="99"/>
                <w:sz w:val="18"/>
              </w:rPr>
              <w:t>0</w:t>
            </w:r>
          </w:p>
        </w:tc>
        <w:tc>
          <w:tcPr>
            <w:tcW w:w="1090" w:type="dxa"/>
            <w:tcBorders>
              <w:top w:val="single" w:sz="3" w:space="0" w:color="000000"/>
              <w:left w:val="single" w:sz="3" w:space="0" w:color="000000"/>
              <w:bottom w:val="single" w:sz="3" w:space="0" w:color="000000"/>
            </w:tcBorders>
          </w:tcPr>
          <w:p>
            <w:pPr>
              <w:pStyle w:val="TableParagraph"/>
              <w:spacing w:before="148"/>
              <w:ind w:left="7"/>
              <w:jc w:val="center"/>
              <w:rPr>
                <w:sz w:val="18"/>
              </w:rPr>
            </w:pPr>
            <w:r>
              <w:rPr>
                <w:w w:val="99"/>
                <w:sz w:val="18"/>
              </w:rPr>
              <w:t>0</w:t>
            </w:r>
          </w:p>
        </w:tc>
        <w:tc>
          <w:tcPr>
            <w:tcW w:w="1046" w:type="dxa"/>
            <w:tcBorders>
              <w:top w:val="single" w:sz="3" w:space="0" w:color="000000"/>
              <w:bottom w:val="single" w:sz="3" w:space="0" w:color="000000"/>
              <w:right w:val="single" w:sz="3" w:space="0" w:color="000000"/>
            </w:tcBorders>
          </w:tcPr>
          <w:p>
            <w:pPr>
              <w:pStyle w:val="TableParagraph"/>
              <w:spacing w:before="148"/>
              <w:ind w:left="179" w:right="181"/>
              <w:jc w:val="center"/>
              <w:rPr>
                <w:sz w:val="18"/>
              </w:rPr>
            </w:pPr>
            <w:r>
              <w:rPr>
                <w:sz w:val="18"/>
              </w:rPr>
              <w:t>0.5</w:t>
            </w:r>
          </w:p>
        </w:tc>
        <w:tc>
          <w:tcPr>
            <w:tcW w:w="1061" w:type="dxa"/>
            <w:tcBorders>
              <w:top w:val="single" w:sz="3" w:space="0" w:color="000000"/>
              <w:left w:val="single" w:sz="3" w:space="0" w:color="000000"/>
              <w:bottom w:val="single" w:sz="3" w:space="0" w:color="000000"/>
              <w:right w:val="single" w:sz="3" w:space="0" w:color="000000"/>
            </w:tcBorders>
          </w:tcPr>
          <w:p>
            <w:pPr>
              <w:pStyle w:val="TableParagraph"/>
              <w:spacing w:before="148"/>
              <w:jc w:val="center"/>
              <w:rPr>
                <w:sz w:val="18"/>
              </w:rPr>
            </w:pPr>
            <w:r>
              <w:rPr>
                <w:w w:val="99"/>
                <w:sz w:val="18"/>
              </w:rPr>
              <w:t>5</w:t>
            </w:r>
          </w:p>
        </w:tc>
        <w:tc>
          <w:tcPr>
            <w:tcW w:w="1090" w:type="dxa"/>
            <w:tcBorders>
              <w:top w:val="single" w:sz="3" w:space="0" w:color="000000"/>
              <w:left w:val="single" w:sz="3" w:space="0" w:color="000000"/>
              <w:bottom w:val="single" w:sz="3" w:space="0" w:color="000000"/>
            </w:tcBorders>
          </w:tcPr>
          <w:p>
            <w:pPr>
              <w:pStyle w:val="TableParagraph"/>
              <w:spacing w:before="148"/>
              <w:ind w:left="7"/>
              <w:jc w:val="center"/>
              <w:rPr>
                <w:sz w:val="18"/>
              </w:rPr>
            </w:pPr>
            <w:r>
              <w:rPr>
                <w:w w:val="99"/>
                <w:sz w:val="18"/>
              </w:rPr>
              <w:t>1</w:t>
            </w:r>
          </w:p>
        </w:tc>
      </w:tr>
      <w:tr>
        <w:trPr>
          <w:trHeight w:val="625" w:hRule="exact"/>
        </w:trPr>
        <w:tc>
          <w:tcPr>
            <w:tcW w:w="2022" w:type="dxa"/>
            <w:vMerge/>
            <w:tcBorders>
              <w:bottom w:val="single" w:sz="3" w:space="0" w:color="000000"/>
              <w:right w:val="single" w:sz="3" w:space="0" w:color="000000"/>
            </w:tcBorders>
          </w:tcPr>
          <w:p>
            <w:pPr/>
          </w:p>
        </w:tc>
        <w:tc>
          <w:tcPr>
            <w:tcW w:w="1152" w:type="dxa"/>
            <w:vMerge/>
            <w:tcBorders>
              <w:left w:val="single" w:sz="3" w:space="0" w:color="000000"/>
              <w:bottom w:val="single" w:sz="3" w:space="0" w:color="000000"/>
              <w:right w:val="single" w:sz="3" w:space="0" w:color="000000"/>
            </w:tcBorders>
          </w:tcPr>
          <w:p>
            <w:pPr/>
          </w:p>
        </w:tc>
        <w:tc>
          <w:tcPr>
            <w:tcW w:w="1153" w:type="dxa"/>
            <w:tcBorders>
              <w:top w:val="single" w:sz="3" w:space="0" w:color="000000"/>
              <w:left w:val="single" w:sz="3" w:space="0" w:color="000000"/>
              <w:bottom w:val="single" w:sz="3" w:space="0" w:color="000000"/>
              <w:right w:val="single" w:sz="3" w:space="0" w:color="000000"/>
            </w:tcBorders>
          </w:tcPr>
          <w:p>
            <w:pPr>
              <w:pStyle w:val="TableParagraph"/>
              <w:spacing w:before="152"/>
              <w:ind w:left="45" w:right="45"/>
              <w:jc w:val="center"/>
              <w:rPr>
                <w:sz w:val="18"/>
              </w:rPr>
            </w:pPr>
            <w:r>
              <w:rPr>
                <w:sz w:val="18"/>
              </w:rPr>
              <w:t>0.33</w:t>
            </w:r>
          </w:p>
        </w:tc>
        <w:tc>
          <w:tcPr>
            <w:tcW w:w="2386" w:type="dxa"/>
            <w:tcBorders>
              <w:top w:val="single" w:sz="3" w:space="0" w:color="000000"/>
              <w:left w:val="single" w:sz="3" w:space="0" w:color="000000"/>
              <w:bottom w:val="single" w:sz="3" w:space="0" w:color="000000"/>
            </w:tcBorders>
          </w:tcPr>
          <w:p>
            <w:pPr>
              <w:pStyle w:val="TableParagraph"/>
              <w:spacing w:before="152"/>
              <w:ind w:left="147" w:right="143"/>
              <w:jc w:val="center"/>
              <w:rPr>
                <w:sz w:val="18"/>
              </w:rPr>
            </w:pPr>
            <w:r>
              <w:rPr>
                <w:sz w:val="18"/>
              </w:rPr>
              <w:t>Respiratorios Inorgánicos</w:t>
            </w:r>
          </w:p>
        </w:tc>
        <w:tc>
          <w:tcPr>
            <w:tcW w:w="1035" w:type="dxa"/>
            <w:tcBorders>
              <w:top w:val="single" w:sz="3" w:space="0" w:color="000000"/>
              <w:right w:val="single" w:sz="3" w:space="0" w:color="000000"/>
            </w:tcBorders>
          </w:tcPr>
          <w:p>
            <w:pPr>
              <w:pStyle w:val="TableParagraph"/>
              <w:spacing w:before="152"/>
              <w:jc w:val="center"/>
              <w:rPr>
                <w:sz w:val="18"/>
              </w:rPr>
            </w:pPr>
            <w:r>
              <w:rPr>
                <w:w w:val="99"/>
                <w:sz w:val="18"/>
              </w:rPr>
              <w:t>1</w:t>
            </w:r>
          </w:p>
        </w:tc>
        <w:tc>
          <w:tcPr>
            <w:tcW w:w="1060" w:type="dxa"/>
            <w:tcBorders>
              <w:top w:val="single" w:sz="3" w:space="0" w:color="000000"/>
              <w:left w:val="single" w:sz="3" w:space="0" w:color="000000"/>
              <w:right w:val="single" w:sz="3" w:space="0" w:color="000000"/>
            </w:tcBorders>
          </w:tcPr>
          <w:p>
            <w:pPr>
              <w:pStyle w:val="TableParagraph"/>
              <w:spacing w:before="152"/>
              <w:jc w:val="center"/>
              <w:rPr>
                <w:sz w:val="18"/>
              </w:rPr>
            </w:pPr>
            <w:r>
              <w:rPr>
                <w:w w:val="99"/>
                <w:sz w:val="18"/>
              </w:rPr>
              <w:t>0</w:t>
            </w:r>
          </w:p>
        </w:tc>
        <w:tc>
          <w:tcPr>
            <w:tcW w:w="1090" w:type="dxa"/>
            <w:tcBorders>
              <w:top w:val="single" w:sz="3" w:space="0" w:color="000000"/>
              <w:left w:val="single" w:sz="3" w:space="0" w:color="000000"/>
            </w:tcBorders>
          </w:tcPr>
          <w:p>
            <w:pPr>
              <w:pStyle w:val="TableParagraph"/>
              <w:spacing w:before="152"/>
              <w:ind w:left="7"/>
              <w:jc w:val="center"/>
              <w:rPr>
                <w:sz w:val="18"/>
              </w:rPr>
            </w:pPr>
            <w:r>
              <w:rPr>
                <w:w w:val="99"/>
                <w:sz w:val="18"/>
              </w:rPr>
              <w:t>0</w:t>
            </w:r>
          </w:p>
        </w:tc>
        <w:tc>
          <w:tcPr>
            <w:tcW w:w="1046" w:type="dxa"/>
            <w:tcBorders>
              <w:top w:val="single" w:sz="3" w:space="0" w:color="000000"/>
              <w:right w:val="single" w:sz="3" w:space="0" w:color="000000"/>
            </w:tcBorders>
          </w:tcPr>
          <w:p>
            <w:pPr>
              <w:pStyle w:val="TableParagraph"/>
              <w:spacing w:before="152"/>
              <w:ind w:left="179" w:right="181"/>
              <w:jc w:val="center"/>
              <w:rPr>
                <w:sz w:val="18"/>
              </w:rPr>
            </w:pPr>
            <w:r>
              <w:rPr>
                <w:sz w:val="18"/>
              </w:rPr>
              <w:t>0.9</w:t>
            </w:r>
          </w:p>
        </w:tc>
        <w:tc>
          <w:tcPr>
            <w:tcW w:w="1061" w:type="dxa"/>
            <w:tcBorders>
              <w:top w:val="single" w:sz="3" w:space="0" w:color="000000"/>
              <w:left w:val="single" w:sz="3" w:space="0" w:color="000000"/>
              <w:right w:val="single" w:sz="3" w:space="0" w:color="000000"/>
            </w:tcBorders>
          </w:tcPr>
          <w:p>
            <w:pPr>
              <w:pStyle w:val="TableParagraph"/>
              <w:spacing w:before="152"/>
              <w:jc w:val="center"/>
              <w:rPr>
                <w:sz w:val="18"/>
              </w:rPr>
            </w:pPr>
            <w:r>
              <w:rPr>
                <w:w w:val="99"/>
                <w:sz w:val="18"/>
              </w:rPr>
              <w:t>1</w:t>
            </w:r>
          </w:p>
        </w:tc>
        <w:tc>
          <w:tcPr>
            <w:tcW w:w="1090" w:type="dxa"/>
            <w:tcBorders>
              <w:top w:val="single" w:sz="3" w:space="0" w:color="000000"/>
              <w:left w:val="single" w:sz="3" w:space="0" w:color="000000"/>
            </w:tcBorders>
          </w:tcPr>
          <w:p>
            <w:pPr>
              <w:pStyle w:val="TableParagraph"/>
              <w:spacing w:before="152"/>
              <w:ind w:left="7"/>
              <w:jc w:val="center"/>
              <w:rPr>
                <w:sz w:val="18"/>
              </w:rPr>
            </w:pPr>
            <w:r>
              <w:rPr>
                <w:w w:val="99"/>
                <w:sz w:val="18"/>
              </w:rPr>
              <w:t>1</w:t>
            </w:r>
          </w:p>
        </w:tc>
      </w:tr>
      <w:tr>
        <w:trPr>
          <w:trHeight w:val="636" w:hRule="exact"/>
        </w:trPr>
        <w:tc>
          <w:tcPr>
            <w:tcW w:w="2022" w:type="dxa"/>
            <w:tcBorders>
              <w:top w:val="single" w:sz="3" w:space="0" w:color="000000"/>
              <w:bottom w:val="single" w:sz="3" w:space="0" w:color="000000"/>
              <w:right w:val="single" w:sz="3" w:space="0" w:color="000000"/>
            </w:tcBorders>
          </w:tcPr>
          <w:p>
            <w:pPr>
              <w:pStyle w:val="TableParagraph"/>
              <w:spacing w:before="2"/>
              <w:rPr>
                <w:sz w:val="14"/>
              </w:rPr>
            </w:pPr>
          </w:p>
          <w:p>
            <w:pPr>
              <w:pStyle w:val="TableParagraph"/>
              <w:spacing w:before="1"/>
              <w:ind w:left="653" w:right="653"/>
              <w:jc w:val="center"/>
              <w:rPr>
                <w:sz w:val="18"/>
              </w:rPr>
            </w:pPr>
            <w:r>
              <w:rPr>
                <w:sz w:val="18"/>
              </w:rPr>
              <w:t>Costo</w:t>
            </w:r>
          </w:p>
        </w:tc>
        <w:tc>
          <w:tcPr>
            <w:tcW w:w="1152" w:type="dxa"/>
            <w:tcBorders>
              <w:top w:val="single" w:sz="3" w:space="0" w:color="000000"/>
              <w:left w:val="single" w:sz="3" w:space="0" w:color="000000"/>
              <w:bottom w:val="single" w:sz="3" w:space="0" w:color="000000"/>
              <w:right w:val="single" w:sz="3" w:space="0" w:color="000000"/>
            </w:tcBorders>
          </w:tcPr>
          <w:p>
            <w:pPr>
              <w:pStyle w:val="TableParagraph"/>
              <w:spacing w:before="2"/>
              <w:rPr>
                <w:sz w:val="14"/>
              </w:rPr>
            </w:pPr>
          </w:p>
          <w:p>
            <w:pPr>
              <w:pStyle w:val="TableParagraph"/>
              <w:spacing w:before="1"/>
              <w:ind w:left="45" w:right="45"/>
              <w:jc w:val="center"/>
              <w:rPr>
                <w:sz w:val="18"/>
              </w:rPr>
            </w:pPr>
            <w:r>
              <w:rPr>
                <w:sz w:val="18"/>
              </w:rPr>
              <w:t>0.25</w:t>
            </w:r>
          </w:p>
        </w:tc>
        <w:tc>
          <w:tcPr>
            <w:tcW w:w="1153" w:type="dxa"/>
            <w:tcBorders>
              <w:top w:val="single" w:sz="3" w:space="0" w:color="000000"/>
              <w:left w:val="single" w:sz="3" w:space="0" w:color="000000"/>
              <w:bottom w:val="single" w:sz="3" w:space="0" w:color="000000"/>
              <w:right w:val="single" w:sz="3" w:space="0" w:color="000000"/>
            </w:tcBorders>
          </w:tcPr>
          <w:p>
            <w:pPr>
              <w:pStyle w:val="TableParagraph"/>
              <w:spacing w:before="2"/>
              <w:rPr>
                <w:sz w:val="14"/>
              </w:rPr>
            </w:pPr>
          </w:p>
          <w:p>
            <w:pPr>
              <w:pStyle w:val="TableParagraph"/>
              <w:spacing w:before="1"/>
              <w:ind w:left="45" w:right="45"/>
              <w:jc w:val="center"/>
              <w:rPr>
                <w:sz w:val="18"/>
              </w:rPr>
            </w:pPr>
            <w:r>
              <w:rPr>
                <w:sz w:val="18"/>
              </w:rPr>
              <w:t>1.00</w:t>
            </w:r>
          </w:p>
        </w:tc>
        <w:tc>
          <w:tcPr>
            <w:tcW w:w="2386" w:type="dxa"/>
            <w:tcBorders>
              <w:top w:val="single" w:sz="3" w:space="0" w:color="000000"/>
              <w:left w:val="single" w:sz="3" w:space="0" w:color="000000"/>
              <w:bottom w:val="single" w:sz="3" w:space="0" w:color="000000"/>
            </w:tcBorders>
          </w:tcPr>
          <w:p>
            <w:pPr>
              <w:pStyle w:val="TableParagraph"/>
              <w:spacing w:before="2"/>
              <w:rPr>
                <w:sz w:val="14"/>
              </w:rPr>
            </w:pPr>
          </w:p>
          <w:p>
            <w:pPr>
              <w:pStyle w:val="TableParagraph"/>
              <w:spacing w:before="1"/>
              <w:ind w:left="147" w:right="137"/>
              <w:jc w:val="center"/>
              <w:rPr>
                <w:sz w:val="18"/>
              </w:rPr>
            </w:pPr>
            <w:r>
              <w:rPr>
                <w:sz w:val="18"/>
              </w:rPr>
              <w:t>Costo de Fabricación</w:t>
            </w:r>
          </w:p>
        </w:tc>
        <w:tc>
          <w:tcPr>
            <w:tcW w:w="1035" w:type="dxa"/>
            <w:tcBorders>
              <w:right w:val="single" w:sz="3" w:space="0" w:color="000000"/>
            </w:tcBorders>
          </w:tcPr>
          <w:p>
            <w:pPr>
              <w:pStyle w:val="TableParagraph"/>
              <w:spacing w:before="158"/>
              <w:ind w:left="46" w:right="44"/>
              <w:jc w:val="center"/>
              <w:rPr>
                <w:sz w:val="18"/>
              </w:rPr>
            </w:pPr>
            <w:r>
              <w:rPr>
                <w:sz w:val="18"/>
              </w:rPr>
              <w:t>Económico</w:t>
            </w:r>
          </w:p>
        </w:tc>
        <w:tc>
          <w:tcPr>
            <w:tcW w:w="1060" w:type="dxa"/>
            <w:tcBorders>
              <w:left w:val="single" w:sz="3" w:space="0" w:color="000000"/>
              <w:right w:val="single" w:sz="3" w:space="0" w:color="000000"/>
            </w:tcBorders>
          </w:tcPr>
          <w:p>
            <w:pPr>
              <w:pStyle w:val="TableParagraph"/>
              <w:spacing w:before="158"/>
              <w:jc w:val="center"/>
              <w:rPr>
                <w:sz w:val="18"/>
              </w:rPr>
            </w:pPr>
            <w:r>
              <w:rPr>
                <w:w w:val="99"/>
                <w:sz w:val="18"/>
              </w:rPr>
              <w:t>1</w:t>
            </w:r>
          </w:p>
        </w:tc>
        <w:tc>
          <w:tcPr>
            <w:tcW w:w="1090" w:type="dxa"/>
            <w:tcBorders>
              <w:left w:val="single" w:sz="3" w:space="0" w:color="000000"/>
            </w:tcBorders>
          </w:tcPr>
          <w:p>
            <w:pPr>
              <w:pStyle w:val="TableParagraph"/>
              <w:spacing w:before="158"/>
              <w:ind w:left="48" w:right="37"/>
              <w:jc w:val="center"/>
              <w:rPr>
                <w:sz w:val="18"/>
              </w:rPr>
            </w:pPr>
            <w:r>
              <w:rPr>
                <w:sz w:val="18"/>
              </w:rPr>
              <w:t>0.25</w:t>
            </w:r>
          </w:p>
        </w:tc>
        <w:tc>
          <w:tcPr>
            <w:tcW w:w="1046" w:type="dxa"/>
            <w:tcBorders>
              <w:right w:val="single" w:sz="3" w:space="0" w:color="000000"/>
            </w:tcBorders>
          </w:tcPr>
          <w:p>
            <w:pPr>
              <w:pStyle w:val="TableParagraph"/>
              <w:spacing w:before="158"/>
              <w:ind w:left="180" w:right="181"/>
              <w:jc w:val="center"/>
              <w:rPr>
                <w:sz w:val="18"/>
              </w:rPr>
            </w:pPr>
            <w:r>
              <w:rPr>
                <w:sz w:val="18"/>
              </w:rPr>
              <w:t>Regular</w:t>
            </w:r>
          </w:p>
        </w:tc>
        <w:tc>
          <w:tcPr>
            <w:tcW w:w="1061" w:type="dxa"/>
            <w:tcBorders>
              <w:left w:val="single" w:sz="3" w:space="0" w:color="000000"/>
              <w:right w:val="single" w:sz="3" w:space="0" w:color="000000"/>
            </w:tcBorders>
          </w:tcPr>
          <w:p>
            <w:pPr>
              <w:pStyle w:val="TableParagraph"/>
              <w:spacing w:before="158"/>
              <w:jc w:val="center"/>
              <w:rPr>
                <w:sz w:val="18"/>
              </w:rPr>
            </w:pPr>
            <w:r>
              <w:rPr>
                <w:w w:val="99"/>
                <w:sz w:val="18"/>
              </w:rPr>
              <w:t>2</w:t>
            </w:r>
          </w:p>
        </w:tc>
        <w:tc>
          <w:tcPr>
            <w:tcW w:w="1090" w:type="dxa"/>
            <w:tcBorders>
              <w:left w:val="single" w:sz="3" w:space="0" w:color="000000"/>
            </w:tcBorders>
          </w:tcPr>
          <w:p>
            <w:pPr>
              <w:pStyle w:val="TableParagraph"/>
              <w:spacing w:before="158"/>
              <w:ind w:left="43" w:right="36"/>
              <w:jc w:val="center"/>
              <w:rPr>
                <w:sz w:val="18"/>
              </w:rPr>
            </w:pPr>
            <w:r>
              <w:rPr>
                <w:sz w:val="18"/>
              </w:rPr>
              <w:t>0.5</w:t>
            </w:r>
          </w:p>
        </w:tc>
      </w:tr>
      <w:tr>
        <w:trPr>
          <w:trHeight w:val="920" w:hRule="exact"/>
        </w:trPr>
        <w:tc>
          <w:tcPr>
            <w:tcW w:w="2022" w:type="dxa"/>
            <w:vMerge w:val="restart"/>
            <w:tcBorders>
              <w:top w:val="single" w:sz="3" w:space="0" w:color="000000"/>
              <w:right w:val="single" w:sz="3" w:space="0" w:color="000000"/>
            </w:tcBorders>
          </w:tcPr>
          <w:p>
            <w:pPr>
              <w:pStyle w:val="TableParagraph"/>
              <w:rPr>
                <w:sz w:val="18"/>
              </w:rPr>
            </w:pPr>
          </w:p>
          <w:p>
            <w:pPr>
              <w:pStyle w:val="TableParagraph"/>
              <w:rPr>
                <w:sz w:val="18"/>
              </w:rPr>
            </w:pPr>
          </w:p>
          <w:p>
            <w:pPr>
              <w:pStyle w:val="TableParagraph"/>
              <w:rPr>
                <w:sz w:val="18"/>
              </w:rPr>
            </w:pPr>
          </w:p>
          <w:p>
            <w:pPr>
              <w:pStyle w:val="TableParagraph"/>
              <w:spacing w:before="151"/>
              <w:ind w:left="653" w:right="653"/>
              <w:jc w:val="center"/>
              <w:rPr>
                <w:sz w:val="18"/>
              </w:rPr>
            </w:pPr>
            <w:r>
              <w:rPr>
                <w:sz w:val="18"/>
              </w:rPr>
              <w:t>Función</w:t>
            </w:r>
          </w:p>
        </w:tc>
        <w:tc>
          <w:tcPr>
            <w:tcW w:w="1152" w:type="dxa"/>
            <w:vMerge w:val="restart"/>
            <w:tcBorders>
              <w:top w:val="single" w:sz="3" w:space="0" w:color="000000"/>
              <w:left w:val="single" w:sz="3" w:space="0" w:color="000000"/>
              <w:right w:val="single" w:sz="3" w:space="0" w:color="000000"/>
            </w:tcBorders>
          </w:tcPr>
          <w:p>
            <w:pPr>
              <w:pStyle w:val="TableParagraph"/>
              <w:rPr>
                <w:sz w:val="18"/>
              </w:rPr>
            </w:pPr>
          </w:p>
          <w:p>
            <w:pPr>
              <w:pStyle w:val="TableParagraph"/>
              <w:rPr>
                <w:sz w:val="18"/>
              </w:rPr>
            </w:pPr>
          </w:p>
          <w:p>
            <w:pPr>
              <w:pStyle w:val="TableParagraph"/>
              <w:rPr>
                <w:sz w:val="18"/>
              </w:rPr>
            </w:pPr>
          </w:p>
          <w:p>
            <w:pPr>
              <w:pStyle w:val="TableParagraph"/>
              <w:spacing w:before="151"/>
              <w:ind w:left="45" w:right="45"/>
              <w:jc w:val="center"/>
              <w:rPr>
                <w:sz w:val="18"/>
              </w:rPr>
            </w:pPr>
            <w:r>
              <w:rPr>
                <w:sz w:val="18"/>
              </w:rPr>
              <w:t>0.25</w:t>
            </w:r>
          </w:p>
        </w:tc>
        <w:tc>
          <w:tcPr>
            <w:tcW w:w="1153" w:type="dxa"/>
            <w:tcBorders>
              <w:top w:val="single" w:sz="3" w:space="0" w:color="000000"/>
              <w:left w:val="single" w:sz="3" w:space="0" w:color="000000"/>
              <w:bottom w:val="single" w:sz="3" w:space="0" w:color="000000"/>
              <w:right w:val="single" w:sz="3" w:space="0" w:color="000000"/>
            </w:tcBorders>
          </w:tcPr>
          <w:p>
            <w:pPr>
              <w:pStyle w:val="TableParagraph"/>
              <w:spacing w:before="4"/>
              <w:rPr>
                <w:sz w:val="26"/>
              </w:rPr>
            </w:pPr>
          </w:p>
          <w:p>
            <w:pPr>
              <w:pStyle w:val="TableParagraph"/>
              <w:ind w:left="45" w:right="45"/>
              <w:jc w:val="center"/>
              <w:rPr>
                <w:sz w:val="18"/>
              </w:rPr>
            </w:pPr>
            <w:r>
              <w:rPr>
                <w:sz w:val="18"/>
              </w:rPr>
              <w:t>0.33</w:t>
            </w:r>
          </w:p>
        </w:tc>
        <w:tc>
          <w:tcPr>
            <w:tcW w:w="2386" w:type="dxa"/>
            <w:tcBorders>
              <w:top w:val="single" w:sz="3" w:space="0" w:color="000000"/>
              <w:left w:val="single" w:sz="3" w:space="0" w:color="000000"/>
              <w:bottom w:val="single" w:sz="3" w:space="0" w:color="000000"/>
            </w:tcBorders>
          </w:tcPr>
          <w:p>
            <w:pPr>
              <w:pStyle w:val="TableParagraph"/>
              <w:spacing w:line="362" w:lineRule="auto" w:before="147"/>
              <w:ind w:left="832" w:right="389" w:hanging="420"/>
              <w:rPr>
                <w:sz w:val="18"/>
              </w:rPr>
            </w:pPr>
            <w:r>
              <w:rPr>
                <w:sz w:val="18"/>
              </w:rPr>
              <w:t>Exactitud Trasladar Volumen</w:t>
            </w:r>
          </w:p>
        </w:tc>
        <w:tc>
          <w:tcPr>
            <w:tcW w:w="1035" w:type="dxa"/>
            <w:tcBorders>
              <w:bottom w:val="single" w:sz="3" w:space="0" w:color="000000"/>
              <w:right w:val="single" w:sz="3" w:space="0" w:color="000000"/>
            </w:tcBorders>
          </w:tcPr>
          <w:p>
            <w:pPr>
              <w:pStyle w:val="TableParagraph"/>
              <w:spacing w:before="10"/>
              <w:rPr>
                <w:sz w:val="25"/>
              </w:rPr>
            </w:pPr>
          </w:p>
          <w:p>
            <w:pPr>
              <w:pStyle w:val="TableParagraph"/>
              <w:ind w:left="38" w:right="44"/>
              <w:jc w:val="center"/>
              <w:rPr>
                <w:sz w:val="18"/>
              </w:rPr>
            </w:pPr>
            <w:r>
              <w:rPr>
                <w:sz w:val="18"/>
              </w:rPr>
              <w:t>Regular</w:t>
            </w:r>
          </w:p>
        </w:tc>
        <w:tc>
          <w:tcPr>
            <w:tcW w:w="1060" w:type="dxa"/>
            <w:tcBorders>
              <w:left w:val="single" w:sz="3" w:space="0" w:color="000000"/>
              <w:bottom w:val="single" w:sz="3" w:space="0" w:color="000000"/>
              <w:right w:val="single" w:sz="3" w:space="0" w:color="000000"/>
            </w:tcBorders>
          </w:tcPr>
          <w:p>
            <w:pPr>
              <w:pStyle w:val="TableParagraph"/>
              <w:spacing w:before="10"/>
              <w:rPr>
                <w:sz w:val="25"/>
              </w:rPr>
            </w:pPr>
          </w:p>
          <w:p>
            <w:pPr>
              <w:pStyle w:val="TableParagraph"/>
              <w:jc w:val="center"/>
              <w:rPr>
                <w:sz w:val="18"/>
              </w:rPr>
            </w:pPr>
            <w:r>
              <w:rPr>
                <w:w w:val="99"/>
                <w:sz w:val="18"/>
              </w:rPr>
              <w:t>3</w:t>
            </w:r>
          </w:p>
        </w:tc>
        <w:tc>
          <w:tcPr>
            <w:tcW w:w="1090" w:type="dxa"/>
            <w:tcBorders>
              <w:left w:val="single" w:sz="3" w:space="0" w:color="000000"/>
              <w:bottom w:val="single" w:sz="3" w:space="0" w:color="000000"/>
            </w:tcBorders>
          </w:tcPr>
          <w:p>
            <w:pPr>
              <w:pStyle w:val="TableParagraph"/>
              <w:spacing w:before="10"/>
              <w:rPr>
                <w:sz w:val="25"/>
              </w:rPr>
            </w:pPr>
          </w:p>
          <w:p>
            <w:pPr>
              <w:pStyle w:val="TableParagraph"/>
              <w:ind w:left="48" w:right="37"/>
              <w:jc w:val="center"/>
              <w:rPr>
                <w:sz w:val="18"/>
              </w:rPr>
            </w:pPr>
            <w:r>
              <w:rPr>
                <w:sz w:val="18"/>
              </w:rPr>
              <w:t>0.25</w:t>
            </w:r>
          </w:p>
        </w:tc>
        <w:tc>
          <w:tcPr>
            <w:tcW w:w="1046" w:type="dxa"/>
            <w:tcBorders>
              <w:bottom w:val="single" w:sz="3" w:space="0" w:color="000000"/>
              <w:right w:val="single" w:sz="3" w:space="0" w:color="000000"/>
            </w:tcBorders>
          </w:tcPr>
          <w:p>
            <w:pPr>
              <w:pStyle w:val="TableParagraph"/>
              <w:spacing w:line="362" w:lineRule="auto" w:before="141"/>
              <w:ind w:left="255" w:right="236" w:firstLine="92"/>
              <w:rPr>
                <w:sz w:val="18"/>
              </w:rPr>
            </w:pPr>
            <w:r>
              <w:rPr>
                <w:sz w:val="18"/>
              </w:rPr>
              <w:t>Muy Buena</w:t>
            </w:r>
          </w:p>
        </w:tc>
        <w:tc>
          <w:tcPr>
            <w:tcW w:w="1061" w:type="dxa"/>
            <w:tcBorders>
              <w:left w:val="single" w:sz="3" w:space="0" w:color="000000"/>
              <w:bottom w:val="single" w:sz="3" w:space="0" w:color="000000"/>
              <w:right w:val="single" w:sz="3" w:space="0" w:color="000000"/>
            </w:tcBorders>
          </w:tcPr>
          <w:p>
            <w:pPr>
              <w:pStyle w:val="TableParagraph"/>
              <w:spacing w:before="10"/>
              <w:rPr>
                <w:sz w:val="25"/>
              </w:rPr>
            </w:pPr>
          </w:p>
          <w:p>
            <w:pPr>
              <w:pStyle w:val="TableParagraph"/>
              <w:jc w:val="center"/>
              <w:rPr>
                <w:sz w:val="18"/>
              </w:rPr>
            </w:pPr>
            <w:r>
              <w:rPr>
                <w:w w:val="99"/>
                <w:sz w:val="18"/>
              </w:rPr>
              <w:t>5</w:t>
            </w:r>
          </w:p>
        </w:tc>
        <w:tc>
          <w:tcPr>
            <w:tcW w:w="1090" w:type="dxa"/>
            <w:tcBorders>
              <w:left w:val="single" w:sz="3" w:space="0" w:color="000000"/>
              <w:bottom w:val="single" w:sz="3" w:space="0" w:color="000000"/>
            </w:tcBorders>
          </w:tcPr>
          <w:p>
            <w:pPr>
              <w:pStyle w:val="TableParagraph"/>
              <w:rPr>
                <w:sz w:val="18"/>
              </w:rPr>
            </w:pPr>
          </w:p>
          <w:p>
            <w:pPr>
              <w:pStyle w:val="TableParagraph"/>
              <w:rPr>
                <w:sz w:val="18"/>
              </w:rPr>
            </w:pPr>
          </w:p>
          <w:p>
            <w:pPr>
              <w:pStyle w:val="TableParagraph"/>
              <w:spacing w:before="7"/>
              <w:rPr>
                <w:sz w:val="15"/>
              </w:rPr>
            </w:pPr>
          </w:p>
          <w:p>
            <w:pPr>
              <w:pStyle w:val="TableParagraph"/>
              <w:ind w:left="48" w:right="36"/>
              <w:jc w:val="center"/>
              <w:rPr>
                <w:sz w:val="18"/>
              </w:rPr>
            </w:pPr>
            <w:r>
              <w:rPr>
                <w:sz w:val="18"/>
              </w:rPr>
              <w:t>0.41666667</w:t>
            </w:r>
          </w:p>
        </w:tc>
      </w:tr>
      <w:tr>
        <w:trPr>
          <w:trHeight w:val="608" w:hRule="exact"/>
        </w:trPr>
        <w:tc>
          <w:tcPr>
            <w:tcW w:w="2022" w:type="dxa"/>
            <w:vMerge/>
            <w:tcBorders>
              <w:right w:val="single" w:sz="3" w:space="0" w:color="000000"/>
            </w:tcBorders>
          </w:tcPr>
          <w:p>
            <w:pPr/>
          </w:p>
        </w:tc>
        <w:tc>
          <w:tcPr>
            <w:tcW w:w="1152" w:type="dxa"/>
            <w:vMerge/>
            <w:tcBorders>
              <w:left w:val="single" w:sz="3" w:space="0" w:color="000000"/>
              <w:right w:val="single" w:sz="3" w:space="0" w:color="000000"/>
            </w:tcBorders>
          </w:tcPr>
          <w:p>
            <w:pPr/>
          </w:p>
        </w:tc>
        <w:tc>
          <w:tcPr>
            <w:tcW w:w="1153" w:type="dxa"/>
            <w:tcBorders>
              <w:top w:val="single" w:sz="3" w:space="0" w:color="000000"/>
              <w:left w:val="single" w:sz="3" w:space="0" w:color="000000"/>
              <w:bottom w:val="single" w:sz="3" w:space="0" w:color="000000"/>
              <w:right w:val="single" w:sz="3" w:space="0" w:color="000000"/>
            </w:tcBorders>
          </w:tcPr>
          <w:p>
            <w:pPr>
              <w:pStyle w:val="TableParagraph"/>
              <w:spacing w:before="143"/>
              <w:ind w:left="45" w:right="45"/>
              <w:jc w:val="center"/>
              <w:rPr>
                <w:sz w:val="18"/>
              </w:rPr>
            </w:pPr>
            <w:r>
              <w:rPr>
                <w:sz w:val="18"/>
              </w:rPr>
              <w:t>0.33</w:t>
            </w:r>
          </w:p>
        </w:tc>
        <w:tc>
          <w:tcPr>
            <w:tcW w:w="2386" w:type="dxa"/>
            <w:tcBorders>
              <w:top w:val="single" w:sz="3" w:space="0" w:color="000000"/>
              <w:left w:val="single" w:sz="3" w:space="0" w:color="000000"/>
              <w:bottom w:val="single" w:sz="3" w:space="0" w:color="000000"/>
            </w:tcBorders>
          </w:tcPr>
          <w:p>
            <w:pPr>
              <w:pStyle w:val="TableParagraph"/>
              <w:spacing w:before="143"/>
              <w:ind w:left="147" w:right="141"/>
              <w:jc w:val="center"/>
              <w:rPr>
                <w:sz w:val="18"/>
              </w:rPr>
            </w:pPr>
            <w:r>
              <w:rPr>
                <w:sz w:val="18"/>
              </w:rPr>
              <w:t>Tiempo de Fabricación</w:t>
            </w:r>
          </w:p>
        </w:tc>
        <w:tc>
          <w:tcPr>
            <w:tcW w:w="1035" w:type="dxa"/>
            <w:tcBorders>
              <w:top w:val="single" w:sz="3" w:space="0" w:color="000000"/>
              <w:bottom w:val="single" w:sz="3" w:space="0" w:color="000000"/>
              <w:right w:val="single" w:sz="3" w:space="0" w:color="000000"/>
            </w:tcBorders>
          </w:tcPr>
          <w:p>
            <w:pPr>
              <w:pStyle w:val="TableParagraph"/>
              <w:spacing w:before="143"/>
              <w:ind w:left="38" w:right="44"/>
              <w:jc w:val="center"/>
              <w:rPr>
                <w:sz w:val="18"/>
              </w:rPr>
            </w:pPr>
            <w:r>
              <w:rPr>
                <w:sz w:val="18"/>
              </w:rPr>
              <w:t>Regular</w:t>
            </w:r>
          </w:p>
        </w:tc>
        <w:tc>
          <w:tcPr>
            <w:tcW w:w="1060" w:type="dxa"/>
            <w:tcBorders>
              <w:top w:val="single" w:sz="3" w:space="0" w:color="000000"/>
              <w:left w:val="single" w:sz="3" w:space="0" w:color="000000"/>
              <w:bottom w:val="single" w:sz="3" w:space="0" w:color="000000"/>
              <w:right w:val="single" w:sz="3" w:space="0" w:color="000000"/>
            </w:tcBorders>
          </w:tcPr>
          <w:p>
            <w:pPr>
              <w:pStyle w:val="TableParagraph"/>
              <w:spacing w:before="143"/>
              <w:jc w:val="center"/>
              <w:rPr>
                <w:sz w:val="18"/>
              </w:rPr>
            </w:pPr>
            <w:r>
              <w:rPr>
                <w:w w:val="99"/>
                <w:sz w:val="18"/>
              </w:rPr>
              <w:t>3</w:t>
            </w:r>
          </w:p>
        </w:tc>
        <w:tc>
          <w:tcPr>
            <w:tcW w:w="1090" w:type="dxa"/>
            <w:tcBorders>
              <w:top w:val="single" w:sz="3" w:space="0" w:color="000000"/>
              <w:left w:val="single" w:sz="3" w:space="0" w:color="000000"/>
              <w:bottom w:val="single" w:sz="3" w:space="0" w:color="000000"/>
            </w:tcBorders>
          </w:tcPr>
          <w:p>
            <w:pPr>
              <w:pStyle w:val="TableParagraph"/>
              <w:spacing w:before="143"/>
              <w:ind w:left="48" w:right="37"/>
              <w:jc w:val="center"/>
              <w:rPr>
                <w:sz w:val="18"/>
              </w:rPr>
            </w:pPr>
            <w:r>
              <w:rPr>
                <w:sz w:val="18"/>
              </w:rPr>
              <w:t>0.25</w:t>
            </w:r>
          </w:p>
        </w:tc>
        <w:tc>
          <w:tcPr>
            <w:tcW w:w="1046" w:type="dxa"/>
            <w:tcBorders>
              <w:top w:val="single" w:sz="3" w:space="0" w:color="000000"/>
              <w:bottom w:val="single" w:sz="3" w:space="0" w:color="000000"/>
              <w:right w:val="single" w:sz="3" w:space="0" w:color="000000"/>
            </w:tcBorders>
          </w:tcPr>
          <w:p>
            <w:pPr>
              <w:pStyle w:val="TableParagraph"/>
              <w:spacing w:before="143"/>
              <w:ind w:left="180" w:right="180"/>
              <w:jc w:val="center"/>
              <w:rPr>
                <w:sz w:val="18"/>
              </w:rPr>
            </w:pPr>
            <w:r>
              <w:rPr>
                <w:sz w:val="18"/>
              </w:rPr>
              <w:t>Buena</w:t>
            </w:r>
          </w:p>
        </w:tc>
        <w:tc>
          <w:tcPr>
            <w:tcW w:w="1061" w:type="dxa"/>
            <w:tcBorders>
              <w:top w:val="single" w:sz="3" w:space="0" w:color="000000"/>
              <w:left w:val="single" w:sz="3" w:space="0" w:color="000000"/>
              <w:bottom w:val="single" w:sz="3" w:space="0" w:color="000000"/>
              <w:right w:val="single" w:sz="3" w:space="0" w:color="000000"/>
            </w:tcBorders>
          </w:tcPr>
          <w:p>
            <w:pPr>
              <w:pStyle w:val="TableParagraph"/>
              <w:spacing w:before="143"/>
              <w:jc w:val="center"/>
              <w:rPr>
                <w:sz w:val="18"/>
              </w:rPr>
            </w:pPr>
            <w:r>
              <w:rPr>
                <w:w w:val="99"/>
                <w:sz w:val="18"/>
              </w:rPr>
              <w:t>4</w:t>
            </w:r>
          </w:p>
        </w:tc>
        <w:tc>
          <w:tcPr>
            <w:tcW w:w="1090" w:type="dxa"/>
            <w:tcBorders>
              <w:top w:val="single" w:sz="3" w:space="0" w:color="000000"/>
              <w:left w:val="single" w:sz="3" w:space="0" w:color="000000"/>
              <w:bottom w:val="single" w:sz="3" w:space="0" w:color="000000"/>
            </w:tcBorders>
          </w:tcPr>
          <w:p>
            <w:pPr>
              <w:pStyle w:val="TableParagraph"/>
              <w:rPr>
                <w:sz w:val="25"/>
              </w:rPr>
            </w:pPr>
          </w:p>
          <w:p>
            <w:pPr>
              <w:pStyle w:val="TableParagraph"/>
              <w:ind w:left="48" w:right="36"/>
              <w:jc w:val="center"/>
              <w:rPr>
                <w:sz w:val="18"/>
              </w:rPr>
            </w:pPr>
            <w:r>
              <w:rPr>
                <w:sz w:val="18"/>
              </w:rPr>
              <w:t>0.33333333</w:t>
            </w:r>
          </w:p>
        </w:tc>
      </w:tr>
      <w:tr>
        <w:trPr>
          <w:trHeight w:val="324" w:hRule="exact"/>
        </w:trPr>
        <w:tc>
          <w:tcPr>
            <w:tcW w:w="2022" w:type="dxa"/>
            <w:vMerge/>
            <w:tcBorders>
              <w:bottom w:val="single" w:sz="3" w:space="0" w:color="000000"/>
              <w:right w:val="single" w:sz="3" w:space="0" w:color="000000"/>
            </w:tcBorders>
          </w:tcPr>
          <w:p>
            <w:pPr/>
          </w:p>
        </w:tc>
        <w:tc>
          <w:tcPr>
            <w:tcW w:w="1152" w:type="dxa"/>
            <w:vMerge/>
            <w:tcBorders>
              <w:left w:val="single" w:sz="3" w:space="0" w:color="000000"/>
              <w:bottom w:val="single" w:sz="3" w:space="0" w:color="000000"/>
              <w:right w:val="single" w:sz="3" w:space="0" w:color="000000"/>
            </w:tcBorders>
          </w:tcPr>
          <w:p>
            <w:pPr/>
          </w:p>
        </w:tc>
        <w:tc>
          <w:tcPr>
            <w:tcW w:w="1153" w:type="dxa"/>
            <w:tcBorders>
              <w:top w:val="single" w:sz="3" w:space="0" w:color="000000"/>
              <w:left w:val="single" w:sz="3" w:space="0" w:color="000000"/>
              <w:bottom w:val="single" w:sz="3" w:space="0" w:color="000000"/>
              <w:right w:val="single" w:sz="3" w:space="0" w:color="000000"/>
            </w:tcBorders>
          </w:tcPr>
          <w:p>
            <w:pPr>
              <w:pStyle w:val="TableParagraph"/>
              <w:spacing w:before="3"/>
              <w:ind w:left="45" w:right="45"/>
              <w:jc w:val="center"/>
              <w:rPr>
                <w:sz w:val="18"/>
              </w:rPr>
            </w:pPr>
            <w:r>
              <w:rPr>
                <w:sz w:val="18"/>
              </w:rPr>
              <w:t>0.33</w:t>
            </w:r>
          </w:p>
        </w:tc>
        <w:tc>
          <w:tcPr>
            <w:tcW w:w="2386" w:type="dxa"/>
            <w:tcBorders>
              <w:top w:val="single" w:sz="3" w:space="0" w:color="000000"/>
              <w:left w:val="single" w:sz="3" w:space="0" w:color="000000"/>
              <w:bottom w:val="single" w:sz="3" w:space="0" w:color="000000"/>
            </w:tcBorders>
          </w:tcPr>
          <w:p>
            <w:pPr>
              <w:pStyle w:val="TableParagraph"/>
              <w:spacing w:before="3"/>
              <w:ind w:left="147" w:right="141"/>
              <w:jc w:val="center"/>
              <w:rPr>
                <w:sz w:val="18"/>
              </w:rPr>
            </w:pPr>
            <w:r>
              <w:rPr>
                <w:sz w:val="18"/>
              </w:rPr>
              <w:t>Estética</w:t>
            </w:r>
          </w:p>
        </w:tc>
        <w:tc>
          <w:tcPr>
            <w:tcW w:w="1035" w:type="dxa"/>
            <w:tcBorders>
              <w:top w:val="single" w:sz="3" w:space="0" w:color="000000"/>
              <w:right w:val="single" w:sz="3" w:space="0" w:color="000000"/>
            </w:tcBorders>
          </w:tcPr>
          <w:p>
            <w:pPr>
              <w:pStyle w:val="TableParagraph"/>
              <w:spacing w:before="3"/>
              <w:ind w:left="42" w:right="44"/>
              <w:jc w:val="center"/>
              <w:rPr>
                <w:sz w:val="18"/>
              </w:rPr>
            </w:pPr>
            <w:r>
              <w:rPr>
                <w:sz w:val="18"/>
              </w:rPr>
              <w:t>Buena</w:t>
            </w:r>
          </w:p>
        </w:tc>
        <w:tc>
          <w:tcPr>
            <w:tcW w:w="1060" w:type="dxa"/>
            <w:tcBorders>
              <w:top w:val="single" w:sz="3" w:space="0" w:color="000000"/>
              <w:left w:val="single" w:sz="3" w:space="0" w:color="000000"/>
              <w:right w:val="single" w:sz="3" w:space="0" w:color="000000"/>
            </w:tcBorders>
          </w:tcPr>
          <w:p>
            <w:pPr>
              <w:pStyle w:val="TableParagraph"/>
              <w:spacing w:before="3"/>
              <w:jc w:val="center"/>
              <w:rPr>
                <w:sz w:val="18"/>
              </w:rPr>
            </w:pPr>
            <w:r>
              <w:rPr>
                <w:w w:val="99"/>
                <w:sz w:val="18"/>
              </w:rPr>
              <w:t>4</w:t>
            </w:r>
          </w:p>
        </w:tc>
        <w:tc>
          <w:tcPr>
            <w:tcW w:w="1090" w:type="dxa"/>
            <w:tcBorders>
              <w:top w:val="single" w:sz="3" w:space="0" w:color="000000"/>
              <w:left w:val="single" w:sz="3" w:space="0" w:color="000000"/>
            </w:tcBorders>
          </w:tcPr>
          <w:p>
            <w:pPr>
              <w:pStyle w:val="TableParagraph"/>
              <w:spacing w:before="3"/>
              <w:ind w:left="48" w:right="37"/>
              <w:jc w:val="center"/>
              <w:rPr>
                <w:sz w:val="18"/>
              </w:rPr>
            </w:pPr>
            <w:r>
              <w:rPr>
                <w:sz w:val="18"/>
              </w:rPr>
              <w:t>0.33333333</w:t>
            </w:r>
          </w:p>
        </w:tc>
        <w:tc>
          <w:tcPr>
            <w:tcW w:w="1046" w:type="dxa"/>
            <w:tcBorders>
              <w:top w:val="single" w:sz="3" w:space="0" w:color="000000"/>
              <w:right w:val="single" w:sz="3" w:space="0" w:color="000000"/>
            </w:tcBorders>
          </w:tcPr>
          <w:p>
            <w:pPr>
              <w:pStyle w:val="TableParagraph"/>
              <w:spacing w:before="3"/>
              <w:ind w:left="180" w:right="181"/>
              <w:jc w:val="center"/>
              <w:rPr>
                <w:sz w:val="18"/>
              </w:rPr>
            </w:pPr>
            <w:r>
              <w:rPr>
                <w:sz w:val="18"/>
              </w:rPr>
              <w:t>Regular</w:t>
            </w:r>
          </w:p>
        </w:tc>
        <w:tc>
          <w:tcPr>
            <w:tcW w:w="1061" w:type="dxa"/>
            <w:tcBorders>
              <w:top w:val="single" w:sz="3" w:space="0" w:color="000000"/>
              <w:left w:val="single" w:sz="3" w:space="0" w:color="000000"/>
              <w:right w:val="single" w:sz="3" w:space="0" w:color="000000"/>
            </w:tcBorders>
          </w:tcPr>
          <w:p>
            <w:pPr>
              <w:pStyle w:val="TableParagraph"/>
              <w:spacing w:before="3"/>
              <w:jc w:val="center"/>
              <w:rPr>
                <w:sz w:val="18"/>
              </w:rPr>
            </w:pPr>
            <w:r>
              <w:rPr>
                <w:w w:val="99"/>
                <w:sz w:val="18"/>
              </w:rPr>
              <w:t>3</w:t>
            </w:r>
          </w:p>
        </w:tc>
        <w:tc>
          <w:tcPr>
            <w:tcW w:w="1090" w:type="dxa"/>
            <w:tcBorders>
              <w:top w:val="single" w:sz="3" w:space="0" w:color="000000"/>
              <w:left w:val="single" w:sz="3" w:space="0" w:color="000000"/>
            </w:tcBorders>
          </w:tcPr>
          <w:p>
            <w:pPr>
              <w:pStyle w:val="TableParagraph"/>
              <w:spacing w:before="7"/>
              <w:ind w:left="48" w:right="36"/>
              <w:jc w:val="center"/>
              <w:rPr>
                <w:sz w:val="18"/>
              </w:rPr>
            </w:pPr>
            <w:r>
              <w:rPr>
                <w:sz w:val="18"/>
              </w:rPr>
              <w:t>0.25</w:t>
            </w:r>
          </w:p>
        </w:tc>
      </w:tr>
      <w:tr>
        <w:trPr>
          <w:trHeight w:val="342" w:hRule="exact"/>
        </w:trPr>
        <w:tc>
          <w:tcPr>
            <w:tcW w:w="6714" w:type="dxa"/>
            <w:gridSpan w:val="4"/>
            <w:tcBorders>
              <w:top w:val="single" w:sz="3" w:space="0" w:color="000000"/>
              <w:right w:val="single" w:sz="3" w:space="0" w:color="000000"/>
            </w:tcBorders>
          </w:tcPr>
          <w:p>
            <w:pPr>
              <w:pStyle w:val="TableParagraph"/>
              <w:spacing w:before="15"/>
              <w:ind w:left="2361" w:right="2356"/>
              <w:jc w:val="center"/>
              <w:rPr>
                <w:sz w:val="18"/>
              </w:rPr>
            </w:pPr>
            <w:r>
              <w:rPr>
                <w:sz w:val="18"/>
              </w:rPr>
              <w:t>Valor general de utilidad</w:t>
            </w:r>
          </w:p>
        </w:tc>
        <w:tc>
          <w:tcPr>
            <w:tcW w:w="2095" w:type="dxa"/>
            <w:gridSpan w:val="2"/>
            <w:tcBorders>
              <w:left w:val="single" w:sz="3" w:space="0" w:color="000000"/>
              <w:right w:val="single" w:sz="3" w:space="0" w:color="000000"/>
            </w:tcBorders>
          </w:tcPr>
          <w:p>
            <w:pPr/>
          </w:p>
        </w:tc>
        <w:tc>
          <w:tcPr>
            <w:tcW w:w="1090" w:type="dxa"/>
            <w:tcBorders>
              <w:left w:val="single" w:sz="3" w:space="0" w:color="000000"/>
              <w:right w:val="single" w:sz="3" w:space="0" w:color="000000"/>
            </w:tcBorders>
            <w:shd w:val="clear" w:color="auto" w:fill="FFC6CE"/>
          </w:tcPr>
          <w:p>
            <w:pPr>
              <w:pStyle w:val="TableParagraph"/>
              <w:spacing w:before="9"/>
              <w:ind w:left="48" w:right="43"/>
              <w:jc w:val="center"/>
              <w:rPr>
                <w:sz w:val="18"/>
              </w:rPr>
            </w:pPr>
            <w:r>
              <w:rPr>
                <w:sz w:val="18"/>
              </w:rPr>
              <w:t>0.53571429</w:t>
            </w:r>
          </w:p>
        </w:tc>
        <w:tc>
          <w:tcPr>
            <w:tcW w:w="2107" w:type="dxa"/>
            <w:gridSpan w:val="2"/>
            <w:tcBorders>
              <w:left w:val="single" w:sz="3" w:space="0" w:color="000000"/>
              <w:right w:val="single" w:sz="3" w:space="0" w:color="000000"/>
            </w:tcBorders>
          </w:tcPr>
          <w:p>
            <w:pPr/>
          </w:p>
        </w:tc>
        <w:tc>
          <w:tcPr>
            <w:tcW w:w="1090" w:type="dxa"/>
            <w:tcBorders>
              <w:left w:val="single" w:sz="3" w:space="0" w:color="000000"/>
            </w:tcBorders>
            <w:shd w:val="clear" w:color="auto" w:fill="C5EECE"/>
          </w:tcPr>
          <w:p>
            <w:pPr>
              <w:pStyle w:val="TableParagraph"/>
              <w:spacing w:before="9"/>
              <w:ind w:left="48" w:right="36"/>
              <w:jc w:val="center"/>
              <w:rPr>
                <w:sz w:val="18"/>
              </w:rPr>
            </w:pPr>
            <w:r>
              <w:rPr>
                <w:sz w:val="18"/>
              </w:rPr>
              <w:t>3.96428571</w:t>
            </w:r>
          </w:p>
        </w:tc>
      </w:tr>
    </w:tbl>
    <w:p>
      <w:pPr>
        <w:spacing w:before="0"/>
        <w:ind w:left="5113" w:right="5172" w:firstLine="0"/>
        <w:jc w:val="center"/>
        <w:rPr>
          <w:sz w:val="18"/>
        </w:rPr>
      </w:pPr>
      <w:r>
        <w:rPr>
          <w:sz w:val="18"/>
        </w:rPr>
        <w:t>(Fuente: Elaboración propia, 2016).</w:t>
      </w:r>
    </w:p>
    <w:p>
      <w:pPr>
        <w:spacing w:after="0"/>
        <w:jc w:val="center"/>
        <w:rPr>
          <w:sz w:val="18"/>
        </w:rPr>
        <w:sectPr>
          <w:footerReference w:type="even" r:id="rId215"/>
          <w:footerReference w:type="default" r:id="rId216"/>
          <w:pgSz w:w="15840" w:h="12240" w:orient="landscape"/>
          <w:pgMar w:footer="1031" w:header="0" w:top="1140" w:bottom="1220" w:left="1280" w:right="1220"/>
          <w:pgNumType w:start="208"/>
        </w:sectPr>
      </w:pPr>
    </w:p>
    <w:p>
      <w:pPr>
        <w:pStyle w:val="BodyText"/>
        <w:spacing w:line="360" w:lineRule="auto" w:before="55"/>
        <w:ind w:left="100" w:right="117"/>
        <w:jc w:val="both"/>
      </w:pPr>
      <w:r>
        <w:rPr/>
        <w:t>En dicha tabla se consideran los pesos relativos de 0.25 respectivamente y para el caso del primer objetivo (Ambiental) 0.14 para cada parámetro, para el caso del segundo objetivo 0.33 para cada parámetro, en el caso del tercer objetivo (Costos) solo hay un parámetro de 0.25; para cada parámetro del cuarto objetivo se toma 0.33.</w:t>
      </w:r>
    </w:p>
    <w:p>
      <w:pPr>
        <w:pStyle w:val="BodyText"/>
        <w:spacing w:before="11"/>
        <w:rPr>
          <w:sz w:val="35"/>
        </w:rPr>
      </w:pPr>
    </w:p>
    <w:p>
      <w:pPr>
        <w:pStyle w:val="BodyText"/>
        <w:spacing w:line="362" w:lineRule="auto"/>
        <w:ind w:left="100" w:right="125"/>
        <w:jc w:val="both"/>
        <w:rPr>
          <w:b/>
        </w:rPr>
      </w:pPr>
      <w:r>
        <w:rPr/>
        <w:t>Los resultados de comparativo muestran que </w:t>
      </w:r>
      <w:r>
        <w:rPr>
          <w:b/>
        </w:rPr>
        <w:t>3.94 </w:t>
      </w:r>
      <w:r>
        <w:rPr/>
        <w:t>del proceso de impresión 3D es mayor y favorable en comparación con el proceso de FV que resulto de </w:t>
      </w:r>
      <w:r>
        <w:rPr>
          <w:b/>
        </w:rPr>
        <w:t>0.53.</w:t>
      </w:r>
    </w:p>
    <w:p>
      <w:pPr>
        <w:pStyle w:val="BodyText"/>
        <w:rPr>
          <w:b/>
        </w:rPr>
      </w:pPr>
    </w:p>
    <w:p>
      <w:pPr>
        <w:pStyle w:val="BodyText"/>
        <w:spacing w:line="360" w:lineRule="auto" w:before="143"/>
        <w:ind w:left="100" w:right="116"/>
        <w:jc w:val="both"/>
      </w:pPr>
      <w:r>
        <w:rPr/>
        <w:t>En el segundo escenario las ponderaciones cambian dando mayor peso a lo “Ambiental” con 0.70, Salud con 0.10, Costos con 0.10 y Función 0.10. </w:t>
      </w:r>
      <w:r>
        <w:rPr>
          <w:spacing w:val="3"/>
        </w:rPr>
        <w:t>Esto </w:t>
      </w:r>
      <w:r>
        <w:rPr/>
        <w:t>porque si la decisión que se toma es porque me importa más el medio ambiente por encima de otros factores. Ver </w:t>
      </w:r>
      <w:hyperlink w:history="true" w:anchor="_bookmark201">
        <w:r>
          <w:rPr/>
          <w:t>Tabla</w:t>
        </w:r>
        <w:r>
          <w:rPr>
            <w:spacing w:val="-21"/>
          </w:rPr>
          <w:t> </w:t>
        </w:r>
        <w:r>
          <w:rPr/>
          <w:t>5.24</w:t>
        </w:r>
      </w:hyperlink>
      <w:r>
        <w:rPr/>
        <w:t>.</w:t>
      </w:r>
    </w:p>
    <w:p>
      <w:pPr>
        <w:spacing w:after="0" w:line="360" w:lineRule="auto"/>
        <w:jc w:val="both"/>
        <w:sectPr>
          <w:pgSz w:w="12240" w:h="15840"/>
          <w:pgMar w:header="0" w:footer="1031" w:top="1360" w:bottom="1220" w:left="1600" w:right="1580"/>
        </w:sectPr>
      </w:pPr>
    </w:p>
    <w:p>
      <w:pPr>
        <w:pStyle w:val="BodyText"/>
        <w:rPr>
          <w:sz w:val="20"/>
        </w:rPr>
      </w:pPr>
    </w:p>
    <w:p>
      <w:pPr>
        <w:pStyle w:val="BodyText"/>
        <w:rPr>
          <w:sz w:val="20"/>
        </w:rPr>
      </w:pPr>
    </w:p>
    <w:p>
      <w:pPr>
        <w:pStyle w:val="BodyText"/>
        <w:spacing w:before="2"/>
        <w:rPr>
          <w:sz w:val="16"/>
        </w:rPr>
      </w:pPr>
    </w:p>
    <w:p>
      <w:pPr>
        <w:spacing w:before="77" w:after="6"/>
        <w:ind w:left="2288" w:right="0" w:firstLine="0"/>
        <w:jc w:val="left"/>
        <w:rPr>
          <w:sz w:val="18"/>
        </w:rPr>
      </w:pPr>
      <w:bookmarkStart w:name="_bookmark201" w:id="311"/>
      <w:bookmarkEnd w:id="311"/>
      <w:r>
        <w:rPr/>
      </w:r>
      <w:r>
        <w:rPr>
          <w:sz w:val="18"/>
        </w:rPr>
        <w:t>Tabla 5.24. Árbol de decisión, segundo escenario con ponderación marcando mayor peso al aspecto ambiental.</w:t>
      </w:r>
    </w:p>
    <w:tbl>
      <w:tblPr>
        <w:tblW w:w="0" w:type="auto"/>
        <w:jc w:val="left"/>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675"/>
        <w:gridCol w:w="1268"/>
        <w:gridCol w:w="1268"/>
        <w:gridCol w:w="2083"/>
        <w:gridCol w:w="1010"/>
        <w:gridCol w:w="1157"/>
        <w:gridCol w:w="1198"/>
        <w:gridCol w:w="1082"/>
        <w:gridCol w:w="1157"/>
        <w:gridCol w:w="1198"/>
      </w:tblGrid>
      <w:tr>
        <w:trPr>
          <w:trHeight w:val="336" w:hRule="exact"/>
        </w:trPr>
        <w:tc>
          <w:tcPr>
            <w:tcW w:w="9659" w:type="dxa"/>
            <w:gridSpan w:val="7"/>
          </w:tcPr>
          <w:p>
            <w:pPr>
              <w:pStyle w:val="TableParagraph"/>
              <w:spacing w:before="23"/>
              <w:ind w:right="625"/>
              <w:jc w:val="right"/>
              <w:rPr>
                <w:rFonts w:ascii="Calibri"/>
                <w:sz w:val="22"/>
              </w:rPr>
            </w:pPr>
            <w:r>
              <w:rPr>
                <w:rFonts w:ascii="Calibri"/>
                <w:sz w:val="22"/>
              </w:rPr>
              <w:t>Fibra de Vidrio y Resina</w:t>
            </w:r>
          </w:p>
        </w:tc>
        <w:tc>
          <w:tcPr>
            <w:tcW w:w="3436" w:type="dxa"/>
            <w:gridSpan w:val="3"/>
          </w:tcPr>
          <w:p>
            <w:pPr>
              <w:pStyle w:val="TableParagraph"/>
              <w:spacing w:before="23"/>
              <w:ind w:left="1112"/>
              <w:rPr>
                <w:rFonts w:ascii="Calibri" w:hAnsi="Calibri"/>
                <w:sz w:val="22"/>
              </w:rPr>
            </w:pPr>
            <w:r>
              <w:rPr>
                <w:rFonts w:ascii="Calibri" w:hAnsi="Calibri"/>
                <w:sz w:val="22"/>
              </w:rPr>
              <w:t>Impresión 3D</w:t>
            </w:r>
          </w:p>
        </w:tc>
      </w:tr>
      <w:tr>
        <w:trPr>
          <w:trHeight w:val="330" w:hRule="exact"/>
        </w:trPr>
        <w:tc>
          <w:tcPr>
            <w:tcW w:w="1675" w:type="dxa"/>
            <w:tcBorders>
              <w:bottom w:val="single" w:sz="3" w:space="0" w:color="000000"/>
              <w:right w:val="single" w:sz="3" w:space="0" w:color="000000"/>
            </w:tcBorders>
          </w:tcPr>
          <w:p>
            <w:pPr/>
          </w:p>
        </w:tc>
        <w:tc>
          <w:tcPr>
            <w:tcW w:w="1268" w:type="dxa"/>
            <w:tcBorders>
              <w:left w:val="single" w:sz="3" w:space="0" w:color="000000"/>
              <w:bottom w:val="single" w:sz="3" w:space="0" w:color="000000"/>
              <w:right w:val="single" w:sz="3" w:space="0" w:color="000000"/>
            </w:tcBorders>
          </w:tcPr>
          <w:p>
            <w:pPr>
              <w:pStyle w:val="TableParagraph"/>
              <w:spacing w:before="22"/>
              <w:ind w:left="46" w:right="46"/>
              <w:jc w:val="center"/>
              <w:rPr>
                <w:rFonts w:ascii="Calibri" w:hAnsi="Calibri"/>
                <w:sz w:val="22"/>
              </w:rPr>
            </w:pPr>
            <w:r>
              <w:rPr>
                <w:rFonts w:ascii="Calibri" w:hAnsi="Calibri"/>
                <w:sz w:val="22"/>
              </w:rPr>
              <w:t>Ponderación</w:t>
            </w:r>
          </w:p>
        </w:tc>
        <w:tc>
          <w:tcPr>
            <w:tcW w:w="1268" w:type="dxa"/>
            <w:tcBorders>
              <w:left w:val="single" w:sz="3" w:space="0" w:color="000000"/>
              <w:bottom w:val="single" w:sz="3" w:space="0" w:color="000000"/>
              <w:right w:val="single" w:sz="3" w:space="0" w:color="000000"/>
            </w:tcBorders>
          </w:tcPr>
          <w:p>
            <w:pPr>
              <w:pStyle w:val="TableParagraph"/>
              <w:spacing w:before="22"/>
              <w:ind w:left="45" w:right="46"/>
              <w:jc w:val="center"/>
              <w:rPr>
                <w:rFonts w:ascii="Calibri" w:hAnsi="Calibri"/>
                <w:sz w:val="22"/>
              </w:rPr>
            </w:pPr>
            <w:r>
              <w:rPr>
                <w:rFonts w:ascii="Calibri" w:hAnsi="Calibri"/>
                <w:sz w:val="22"/>
              </w:rPr>
              <w:t>Ponderación</w:t>
            </w:r>
          </w:p>
        </w:tc>
        <w:tc>
          <w:tcPr>
            <w:tcW w:w="2083" w:type="dxa"/>
            <w:tcBorders>
              <w:left w:val="single" w:sz="3" w:space="0" w:color="000000"/>
              <w:bottom w:val="single" w:sz="3" w:space="0" w:color="000000"/>
              <w:right w:val="single" w:sz="3" w:space="0" w:color="000000"/>
            </w:tcBorders>
          </w:tcPr>
          <w:p>
            <w:pPr>
              <w:pStyle w:val="TableParagraph"/>
              <w:spacing w:before="22"/>
              <w:ind w:left="541" w:right="540"/>
              <w:jc w:val="center"/>
              <w:rPr>
                <w:rFonts w:ascii="Calibri" w:hAnsi="Calibri"/>
                <w:sz w:val="22"/>
              </w:rPr>
            </w:pPr>
            <w:r>
              <w:rPr>
                <w:rFonts w:ascii="Calibri" w:hAnsi="Calibri"/>
                <w:sz w:val="22"/>
              </w:rPr>
              <w:t>Parámetro</w:t>
            </w:r>
          </w:p>
        </w:tc>
        <w:tc>
          <w:tcPr>
            <w:tcW w:w="1010" w:type="dxa"/>
            <w:tcBorders>
              <w:left w:val="single" w:sz="3" w:space="0" w:color="000000"/>
              <w:right w:val="single" w:sz="3" w:space="0" w:color="000000"/>
            </w:tcBorders>
          </w:tcPr>
          <w:p>
            <w:pPr>
              <w:pStyle w:val="TableParagraph"/>
              <w:spacing w:before="22"/>
              <w:ind w:left="49" w:right="45"/>
              <w:jc w:val="center"/>
              <w:rPr>
                <w:rFonts w:ascii="Calibri"/>
                <w:sz w:val="22"/>
              </w:rPr>
            </w:pPr>
            <w:r>
              <w:rPr>
                <w:rFonts w:ascii="Calibri"/>
                <w:sz w:val="22"/>
              </w:rPr>
              <w:t>Magnitud</w:t>
            </w:r>
          </w:p>
        </w:tc>
        <w:tc>
          <w:tcPr>
            <w:tcW w:w="1157" w:type="dxa"/>
            <w:tcBorders>
              <w:left w:val="single" w:sz="3" w:space="0" w:color="000000"/>
              <w:right w:val="single" w:sz="3" w:space="0" w:color="000000"/>
            </w:tcBorders>
          </w:tcPr>
          <w:p>
            <w:pPr>
              <w:pStyle w:val="TableParagraph"/>
              <w:spacing w:before="22"/>
              <w:ind w:left="47" w:right="46"/>
              <w:jc w:val="center"/>
              <w:rPr>
                <w:rFonts w:ascii="Calibri" w:hAnsi="Calibri"/>
                <w:sz w:val="22"/>
              </w:rPr>
            </w:pPr>
            <w:r>
              <w:rPr>
                <w:rFonts w:ascii="Calibri" w:hAnsi="Calibri"/>
                <w:sz w:val="22"/>
              </w:rPr>
              <w:t>Calificación</w:t>
            </w:r>
          </w:p>
        </w:tc>
        <w:tc>
          <w:tcPr>
            <w:tcW w:w="1198" w:type="dxa"/>
            <w:tcBorders>
              <w:left w:val="single" w:sz="3" w:space="0" w:color="000000"/>
              <w:right w:val="single" w:sz="3" w:space="0" w:color="000000"/>
            </w:tcBorders>
          </w:tcPr>
          <w:p>
            <w:pPr>
              <w:pStyle w:val="TableParagraph"/>
              <w:spacing w:before="22"/>
              <w:ind w:left="43" w:right="41"/>
              <w:jc w:val="center"/>
              <w:rPr>
                <w:rFonts w:ascii="Calibri"/>
                <w:sz w:val="22"/>
              </w:rPr>
            </w:pPr>
            <w:r>
              <w:rPr>
                <w:rFonts w:ascii="Calibri"/>
                <w:sz w:val="22"/>
              </w:rPr>
              <w:t>Valor</w:t>
            </w:r>
          </w:p>
        </w:tc>
        <w:tc>
          <w:tcPr>
            <w:tcW w:w="1082" w:type="dxa"/>
            <w:tcBorders>
              <w:left w:val="single" w:sz="3" w:space="0" w:color="000000"/>
              <w:right w:val="single" w:sz="3" w:space="0" w:color="000000"/>
            </w:tcBorders>
          </w:tcPr>
          <w:p>
            <w:pPr>
              <w:pStyle w:val="TableParagraph"/>
              <w:spacing w:before="22"/>
              <w:ind w:left="85" w:right="81"/>
              <w:jc w:val="center"/>
              <w:rPr>
                <w:rFonts w:ascii="Calibri"/>
                <w:sz w:val="22"/>
              </w:rPr>
            </w:pPr>
            <w:r>
              <w:rPr>
                <w:rFonts w:ascii="Calibri"/>
                <w:sz w:val="22"/>
              </w:rPr>
              <w:t>Magnitud</w:t>
            </w:r>
          </w:p>
        </w:tc>
        <w:tc>
          <w:tcPr>
            <w:tcW w:w="1157" w:type="dxa"/>
            <w:tcBorders>
              <w:left w:val="single" w:sz="3" w:space="0" w:color="000000"/>
              <w:right w:val="single" w:sz="3" w:space="0" w:color="000000"/>
            </w:tcBorders>
          </w:tcPr>
          <w:p>
            <w:pPr>
              <w:pStyle w:val="TableParagraph"/>
              <w:spacing w:before="22"/>
              <w:ind w:left="47" w:right="46"/>
              <w:jc w:val="center"/>
              <w:rPr>
                <w:rFonts w:ascii="Calibri" w:hAnsi="Calibri"/>
                <w:sz w:val="22"/>
              </w:rPr>
            </w:pPr>
            <w:r>
              <w:rPr>
                <w:rFonts w:ascii="Calibri" w:hAnsi="Calibri"/>
                <w:sz w:val="22"/>
              </w:rPr>
              <w:t>Calificación</w:t>
            </w:r>
          </w:p>
        </w:tc>
        <w:tc>
          <w:tcPr>
            <w:tcW w:w="1198" w:type="dxa"/>
            <w:tcBorders>
              <w:left w:val="single" w:sz="3" w:space="0" w:color="000000"/>
            </w:tcBorders>
          </w:tcPr>
          <w:p>
            <w:pPr>
              <w:pStyle w:val="TableParagraph"/>
              <w:spacing w:before="22"/>
              <w:ind w:left="355"/>
              <w:rPr>
                <w:rFonts w:ascii="Calibri"/>
                <w:sz w:val="22"/>
              </w:rPr>
            </w:pPr>
            <w:r>
              <w:rPr>
                <w:rFonts w:ascii="Calibri"/>
                <w:sz w:val="22"/>
              </w:rPr>
              <w:t>Valor</w:t>
            </w:r>
          </w:p>
        </w:tc>
      </w:tr>
      <w:tr>
        <w:trPr>
          <w:trHeight w:val="620" w:hRule="exact"/>
        </w:trPr>
        <w:tc>
          <w:tcPr>
            <w:tcW w:w="1675" w:type="dxa"/>
            <w:vMerge w:val="restart"/>
            <w:tcBorders>
              <w:top w:val="single" w:sz="3" w:space="0" w:color="000000"/>
              <w:right w:val="single" w:sz="3" w:space="0" w:color="000000"/>
            </w:tcBorders>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before="9"/>
              <w:rPr>
                <w:sz w:val="21"/>
              </w:rPr>
            </w:pPr>
          </w:p>
          <w:p>
            <w:pPr>
              <w:pStyle w:val="TableParagraph"/>
              <w:ind w:left="368" w:right="145"/>
              <w:rPr>
                <w:rFonts w:ascii="Calibri"/>
                <w:sz w:val="22"/>
              </w:rPr>
            </w:pPr>
            <w:r>
              <w:rPr>
                <w:rFonts w:ascii="Calibri"/>
                <w:sz w:val="22"/>
              </w:rPr>
              <w:t>Ambiental</w:t>
            </w:r>
          </w:p>
        </w:tc>
        <w:tc>
          <w:tcPr>
            <w:tcW w:w="1268" w:type="dxa"/>
            <w:vMerge w:val="restart"/>
            <w:tcBorders>
              <w:top w:val="single" w:sz="3" w:space="0" w:color="000000"/>
              <w:left w:val="single" w:sz="3" w:space="0" w:color="000000"/>
              <w:right w:val="single" w:sz="3" w:space="0" w:color="000000"/>
            </w:tcBorders>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before="9"/>
              <w:rPr>
                <w:sz w:val="21"/>
              </w:rPr>
            </w:pPr>
          </w:p>
          <w:p>
            <w:pPr>
              <w:pStyle w:val="TableParagraph"/>
              <w:ind w:left="46" w:right="42"/>
              <w:jc w:val="center"/>
              <w:rPr>
                <w:rFonts w:ascii="Calibri"/>
                <w:sz w:val="22"/>
              </w:rPr>
            </w:pPr>
            <w:r>
              <w:rPr>
                <w:rFonts w:ascii="Calibri"/>
                <w:sz w:val="22"/>
              </w:rPr>
              <w:t>0.70</w:t>
            </w:r>
          </w:p>
        </w:tc>
        <w:tc>
          <w:tcPr>
            <w:tcW w:w="1268" w:type="dxa"/>
            <w:tcBorders>
              <w:top w:val="single" w:sz="3" w:space="0" w:color="000000"/>
              <w:left w:val="single" w:sz="3" w:space="0" w:color="000000"/>
              <w:bottom w:val="single" w:sz="3" w:space="0" w:color="000000"/>
              <w:right w:val="single" w:sz="3" w:space="0" w:color="000000"/>
            </w:tcBorders>
          </w:tcPr>
          <w:p>
            <w:pPr>
              <w:pStyle w:val="TableParagraph"/>
              <w:spacing w:before="174"/>
              <w:ind w:left="45" w:right="42"/>
              <w:jc w:val="center"/>
              <w:rPr>
                <w:rFonts w:ascii="Calibri"/>
                <w:sz w:val="22"/>
              </w:rPr>
            </w:pPr>
            <w:r>
              <w:rPr>
                <w:rFonts w:ascii="Calibri"/>
                <w:sz w:val="22"/>
              </w:rPr>
              <w:t>0.14</w:t>
            </w:r>
          </w:p>
        </w:tc>
        <w:tc>
          <w:tcPr>
            <w:tcW w:w="2083" w:type="dxa"/>
            <w:tcBorders>
              <w:top w:val="single" w:sz="3" w:space="0" w:color="000000"/>
              <w:left w:val="single" w:sz="3" w:space="0" w:color="000000"/>
              <w:bottom w:val="single" w:sz="3" w:space="0" w:color="000000"/>
            </w:tcBorders>
          </w:tcPr>
          <w:p>
            <w:pPr>
              <w:pStyle w:val="TableParagraph"/>
              <w:spacing w:before="174"/>
              <w:ind w:left="81" w:right="79"/>
              <w:jc w:val="center"/>
              <w:rPr>
                <w:rFonts w:ascii="Calibri" w:hAnsi="Calibri"/>
                <w:sz w:val="22"/>
              </w:rPr>
            </w:pPr>
            <w:r>
              <w:rPr>
                <w:rFonts w:ascii="Calibri" w:hAnsi="Calibri"/>
                <w:sz w:val="22"/>
              </w:rPr>
              <w:t>Cambio Climático</w:t>
            </w:r>
          </w:p>
        </w:tc>
        <w:tc>
          <w:tcPr>
            <w:tcW w:w="1010" w:type="dxa"/>
            <w:tcBorders>
              <w:bottom w:val="single" w:sz="3" w:space="0" w:color="000000"/>
              <w:right w:val="single" w:sz="3" w:space="0" w:color="000000"/>
            </w:tcBorders>
          </w:tcPr>
          <w:p>
            <w:pPr>
              <w:pStyle w:val="TableParagraph"/>
              <w:spacing w:before="168"/>
              <w:ind w:right="2"/>
              <w:jc w:val="center"/>
              <w:rPr>
                <w:rFonts w:ascii="Calibri"/>
                <w:sz w:val="22"/>
              </w:rPr>
            </w:pPr>
            <w:r>
              <w:rPr>
                <w:rFonts w:ascii="Calibri"/>
                <w:sz w:val="22"/>
              </w:rPr>
              <w:t>1</w:t>
            </w:r>
          </w:p>
        </w:tc>
        <w:tc>
          <w:tcPr>
            <w:tcW w:w="1157" w:type="dxa"/>
            <w:tcBorders>
              <w:left w:val="single" w:sz="3" w:space="0" w:color="000000"/>
              <w:bottom w:val="single" w:sz="3" w:space="0" w:color="000000"/>
              <w:right w:val="single" w:sz="3" w:space="0" w:color="000000"/>
            </w:tcBorders>
          </w:tcPr>
          <w:p>
            <w:pPr>
              <w:pStyle w:val="TableParagraph"/>
              <w:spacing w:before="168"/>
              <w:ind w:left="4"/>
              <w:jc w:val="center"/>
              <w:rPr>
                <w:rFonts w:ascii="Calibri"/>
                <w:sz w:val="22"/>
              </w:rPr>
            </w:pPr>
            <w:r>
              <w:rPr>
                <w:rFonts w:ascii="Calibri"/>
                <w:sz w:val="22"/>
              </w:rPr>
              <w:t>0</w:t>
            </w:r>
          </w:p>
        </w:tc>
        <w:tc>
          <w:tcPr>
            <w:tcW w:w="1198" w:type="dxa"/>
            <w:tcBorders>
              <w:left w:val="single" w:sz="3" w:space="0" w:color="000000"/>
              <w:bottom w:val="single" w:sz="3" w:space="0" w:color="000000"/>
            </w:tcBorders>
          </w:tcPr>
          <w:p>
            <w:pPr>
              <w:pStyle w:val="TableParagraph"/>
              <w:spacing w:before="168"/>
              <w:ind w:left="7"/>
              <w:jc w:val="center"/>
              <w:rPr>
                <w:rFonts w:ascii="Calibri"/>
                <w:sz w:val="22"/>
              </w:rPr>
            </w:pPr>
            <w:r>
              <w:rPr>
                <w:rFonts w:ascii="Calibri"/>
                <w:sz w:val="22"/>
              </w:rPr>
              <w:t>0</w:t>
            </w:r>
          </w:p>
        </w:tc>
        <w:tc>
          <w:tcPr>
            <w:tcW w:w="1082" w:type="dxa"/>
            <w:tcBorders>
              <w:bottom w:val="single" w:sz="3" w:space="0" w:color="000000"/>
              <w:right w:val="single" w:sz="3" w:space="0" w:color="000000"/>
            </w:tcBorders>
          </w:tcPr>
          <w:p>
            <w:pPr>
              <w:pStyle w:val="TableParagraph"/>
              <w:spacing w:before="168"/>
              <w:ind w:left="173" w:right="174"/>
              <w:jc w:val="center"/>
              <w:rPr>
                <w:rFonts w:ascii="Calibri"/>
                <w:sz w:val="22"/>
              </w:rPr>
            </w:pPr>
            <w:r>
              <w:rPr>
                <w:rFonts w:ascii="Calibri"/>
                <w:sz w:val="22"/>
              </w:rPr>
              <w:t>0.7</w:t>
            </w:r>
          </w:p>
        </w:tc>
        <w:tc>
          <w:tcPr>
            <w:tcW w:w="1157" w:type="dxa"/>
            <w:tcBorders>
              <w:left w:val="single" w:sz="3" w:space="0" w:color="000000"/>
              <w:bottom w:val="single" w:sz="3" w:space="0" w:color="000000"/>
              <w:right w:val="single" w:sz="3" w:space="0" w:color="000000"/>
            </w:tcBorders>
          </w:tcPr>
          <w:p>
            <w:pPr>
              <w:pStyle w:val="TableParagraph"/>
              <w:spacing w:before="168"/>
              <w:ind w:left="2"/>
              <w:jc w:val="center"/>
              <w:rPr>
                <w:rFonts w:ascii="Calibri"/>
                <w:sz w:val="22"/>
              </w:rPr>
            </w:pPr>
            <w:r>
              <w:rPr>
                <w:rFonts w:ascii="Calibri"/>
                <w:sz w:val="22"/>
              </w:rPr>
              <w:t>3</w:t>
            </w:r>
          </w:p>
        </w:tc>
        <w:tc>
          <w:tcPr>
            <w:tcW w:w="1198" w:type="dxa"/>
            <w:tcBorders>
              <w:left w:val="single" w:sz="3" w:space="0" w:color="000000"/>
              <w:bottom w:val="single" w:sz="3" w:space="0" w:color="000000"/>
            </w:tcBorders>
          </w:tcPr>
          <w:p>
            <w:pPr>
              <w:pStyle w:val="TableParagraph"/>
              <w:spacing w:before="168"/>
              <w:ind w:left="432" w:right="432"/>
              <w:jc w:val="center"/>
              <w:rPr>
                <w:rFonts w:ascii="Calibri"/>
                <w:sz w:val="22"/>
              </w:rPr>
            </w:pPr>
            <w:r>
              <w:rPr>
                <w:rFonts w:ascii="Calibri"/>
                <w:sz w:val="22"/>
              </w:rPr>
              <w:t>0.3</w:t>
            </w:r>
          </w:p>
        </w:tc>
      </w:tr>
      <w:tr>
        <w:trPr>
          <w:trHeight w:val="308" w:hRule="exact"/>
        </w:trPr>
        <w:tc>
          <w:tcPr>
            <w:tcW w:w="1675" w:type="dxa"/>
            <w:vMerge/>
            <w:tcBorders>
              <w:right w:val="single" w:sz="3" w:space="0" w:color="000000"/>
            </w:tcBorders>
          </w:tcPr>
          <w:p>
            <w:pPr/>
          </w:p>
        </w:tc>
        <w:tc>
          <w:tcPr>
            <w:tcW w:w="1268" w:type="dxa"/>
            <w:vMerge/>
            <w:tcBorders>
              <w:left w:val="single" w:sz="3" w:space="0" w:color="000000"/>
              <w:right w:val="single" w:sz="3" w:space="0" w:color="000000"/>
            </w:tcBorders>
          </w:tcPr>
          <w:p>
            <w:pPr/>
          </w:p>
        </w:tc>
        <w:tc>
          <w:tcPr>
            <w:tcW w:w="1268" w:type="dxa"/>
            <w:tcBorders>
              <w:top w:val="single" w:sz="3" w:space="0" w:color="000000"/>
              <w:left w:val="single" w:sz="3" w:space="0" w:color="000000"/>
              <w:bottom w:val="single" w:sz="3" w:space="0" w:color="000000"/>
              <w:right w:val="single" w:sz="3" w:space="0" w:color="000000"/>
            </w:tcBorders>
          </w:tcPr>
          <w:p>
            <w:pPr>
              <w:pStyle w:val="TableParagraph"/>
              <w:spacing w:before="14"/>
              <w:ind w:left="45" w:right="42"/>
              <w:jc w:val="center"/>
              <w:rPr>
                <w:rFonts w:ascii="Calibri"/>
                <w:sz w:val="22"/>
              </w:rPr>
            </w:pPr>
            <w:r>
              <w:rPr>
                <w:rFonts w:ascii="Calibri"/>
                <w:sz w:val="22"/>
              </w:rPr>
              <w:t>0.14</w:t>
            </w:r>
          </w:p>
        </w:tc>
        <w:tc>
          <w:tcPr>
            <w:tcW w:w="2083" w:type="dxa"/>
            <w:tcBorders>
              <w:top w:val="single" w:sz="3" w:space="0" w:color="000000"/>
              <w:left w:val="single" w:sz="3" w:space="0" w:color="000000"/>
              <w:bottom w:val="single" w:sz="3" w:space="0" w:color="000000"/>
            </w:tcBorders>
          </w:tcPr>
          <w:p>
            <w:pPr>
              <w:pStyle w:val="TableParagraph"/>
              <w:spacing w:before="14"/>
              <w:ind w:left="88" w:right="78"/>
              <w:jc w:val="center"/>
              <w:rPr>
                <w:rFonts w:ascii="Calibri" w:hAnsi="Calibri"/>
                <w:sz w:val="22"/>
              </w:rPr>
            </w:pPr>
            <w:r>
              <w:rPr>
                <w:rFonts w:ascii="Calibri" w:hAnsi="Calibri"/>
                <w:sz w:val="22"/>
              </w:rPr>
              <w:t>Radiación</w:t>
            </w:r>
          </w:p>
        </w:tc>
        <w:tc>
          <w:tcPr>
            <w:tcW w:w="1010" w:type="dxa"/>
            <w:tcBorders>
              <w:top w:val="single" w:sz="3" w:space="0" w:color="000000"/>
              <w:bottom w:val="single" w:sz="3" w:space="0" w:color="000000"/>
              <w:right w:val="single" w:sz="3" w:space="0" w:color="000000"/>
            </w:tcBorders>
          </w:tcPr>
          <w:p>
            <w:pPr>
              <w:pStyle w:val="TableParagraph"/>
              <w:spacing w:before="14"/>
              <w:ind w:right="2"/>
              <w:jc w:val="center"/>
              <w:rPr>
                <w:rFonts w:ascii="Calibri"/>
                <w:sz w:val="22"/>
              </w:rPr>
            </w:pPr>
            <w:r>
              <w:rPr>
                <w:rFonts w:ascii="Calibri"/>
                <w:sz w:val="22"/>
              </w:rPr>
              <w:t>1</w:t>
            </w:r>
          </w:p>
        </w:tc>
        <w:tc>
          <w:tcPr>
            <w:tcW w:w="1157" w:type="dxa"/>
            <w:tcBorders>
              <w:top w:val="single" w:sz="3" w:space="0" w:color="000000"/>
              <w:left w:val="single" w:sz="3" w:space="0" w:color="000000"/>
              <w:bottom w:val="single" w:sz="3" w:space="0" w:color="000000"/>
              <w:right w:val="single" w:sz="3" w:space="0" w:color="000000"/>
            </w:tcBorders>
          </w:tcPr>
          <w:p>
            <w:pPr>
              <w:pStyle w:val="TableParagraph"/>
              <w:spacing w:before="14"/>
              <w:ind w:left="4"/>
              <w:jc w:val="center"/>
              <w:rPr>
                <w:rFonts w:ascii="Calibri"/>
                <w:sz w:val="22"/>
              </w:rPr>
            </w:pPr>
            <w:r>
              <w:rPr>
                <w:rFonts w:ascii="Calibri"/>
                <w:sz w:val="22"/>
              </w:rPr>
              <w:t>0</w:t>
            </w:r>
          </w:p>
        </w:tc>
        <w:tc>
          <w:tcPr>
            <w:tcW w:w="1198" w:type="dxa"/>
            <w:tcBorders>
              <w:top w:val="single" w:sz="3" w:space="0" w:color="000000"/>
              <w:left w:val="single" w:sz="3" w:space="0" w:color="000000"/>
              <w:bottom w:val="single" w:sz="3" w:space="0" w:color="000000"/>
            </w:tcBorders>
          </w:tcPr>
          <w:p>
            <w:pPr>
              <w:pStyle w:val="TableParagraph"/>
              <w:spacing w:before="14"/>
              <w:ind w:left="7"/>
              <w:jc w:val="center"/>
              <w:rPr>
                <w:rFonts w:ascii="Calibri"/>
                <w:sz w:val="22"/>
              </w:rPr>
            </w:pPr>
            <w:r>
              <w:rPr>
                <w:rFonts w:ascii="Calibri"/>
                <w:sz w:val="22"/>
              </w:rPr>
              <w:t>0</w:t>
            </w:r>
          </w:p>
        </w:tc>
        <w:tc>
          <w:tcPr>
            <w:tcW w:w="1082" w:type="dxa"/>
            <w:tcBorders>
              <w:top w:val="single" w:sz="3" w:space="0" w:color="000000"/>
              <w:bottom w:val="single" w:sz="3" w:space="0" w:color="000000"/>
              <w:right w:val="single" w:sz="3" w:space="0" w:color="000000"/>
            </w:tcBorders>
          </w:tcPr>
          <w:p>
            <w:pPr>
              <w:pStyle w:val="TableParagraph"/>
              <w:spacing w:before="14"/>
              <w:ind w:left="173" w:right="174"/>
              <w:jc w:val="center"/>
              <w:rPr>
                <w:rFonts w:ascii="Calibri"/>
                <w:sz w:val="22"/>
              </w:rPr>
            </w:pPr>
            <w:r>
              <w:rPr>
                <w:rFonts w:ascii="Calibri"/>
                <w:sz w:val="22"/>
              </w:rPr>
              <w:t>0.6</w:t>
            </w:r>
          </w:p>
        </w:tc>
        <w:tc>
          <w:tcPr>
            <w:tcW w:w="1157" w:type="dxa"/>
            <w:tcBorders>
              <w:top w:val="single" w:sz="3" w:space="0" w:color="000000"/>
              <w:left w:val="single" w:sz="3" w:space="0" w:color="000000"/>
              <w:bottom w:val="single" w:sz="3" w:space="0" w:color="000000"/>
              <w:right w:val="single" w:sz="3" w:space="0" w:color="000000"/>
            </w:tcBorders>
          </w:tcPr>
          <w:p>
            <w:pPr>
              <w:pStyle w:val="TableParagraph"/>
              <w:spacing w:before="14"/>
              <w:ind w:left="2"/>
              <w:jc w:val="center"/>
              <w:rPr>
                <w:rFonts w:ascii="Calibri"/>
                <w:sz w:val="22"/>
              </w:rPr>
            </w:pPr>
            <w:r>
              <w:rPr>
                <w:rFonts w:ascii="Calibri"/>
                <w:sz w:val="22"/>
              </w:rPr>
              <w:t>4</w:t>
            </w:r>
          </w:p>
        </w:tc>
        <w:tc>
          <w:tcPr>
            <w:tcW w:w="1198" w:type="dxa"/>
            <w:tcBorders>
              <w:top w:val="single" w:sz="3" w:space="0" w:color="000000"/>
              <w:left w:val="single" w:sz="3" w:space="0" w:color="000000"/>
              <w:bottom w:val="single" w:sz="3" w:space="0" w:color="000000"/>
            </w:tcBorders>
          </w:tcPr>
          <w:p>
            <w:pPr>
              <w:pStyle w:val="TableParagraph"/>
              <w:spacing w:before="14"/>
              <w:ind w:left="432" w:right="432"/>
              <w:jc w:val="center"/>
              <w:rPr>
                <w:rFonts w:ascii="Calibri"/>
                <w:sz w:val="22"/>
              </w:rPr>
            </w:pPr>
            <w:r>
              <w:rPr>
                <w:rFonts w:ascii="Calibri"/>
                <w:sz w:val="22"/>
              </w:rPr>
              <w:t>0.4</w:t>
            </w:r>
          </w:p>
        </w:tc>
      </w:tr>
      <w:tr>
        <w:trPr>
          <w:trHeight w:val="312" w:hRule="exact"/>
        </w:trPr>
        <w:tc>
          <w:tcPr>
            <w:tcW w:w="1675" w:type="dxa"/>
            <w:vMerge/>
            <w:tcBorders>
              <w:right w:val="single" w:sz="3" w:space="0" w:color="000000"/>
            </w:tcBorders>
          </w:tcPr>
          <w:p>
            <w:pPr/>
          </w:p>
        </w:tc>
        <w:tc>
          <w:tcPr>
            <w:tcW w:w="1268" w:type="dxa"/>
            <w:vMerge/>
            <w:tcBorders>
              <w:left w:val="single" w:sz="3" w:space="0" w:color="000000"/>
              <w:right w:val="single" w:sz="3" w:space="0" w:color="000000"/>
            </w:tcBorders>
          </w:tcPr>
          <w:p>
            <w:pPr/>
          </w:p>
        </w:tc>
        <w:tc>
          <w:tcPr>
            <w:tcW w:w="1268" w:type="dxa"/>
            <w:tcBorders>
              <w:top w:val="single" w:sz="3" w:space="0" w:color="000000"/>
              <w:left w:val="single" w:sz="3" w:space="0" w:color="000000"/>
              <w:bottom w:val="single" w:sz="3" w:space="0" w:color="000000"/>
              <w:right w:val="single" w:sz="3" w:space="0" w:color="000000"/>
            </w:tcBorders>
          </w:tcPr>
          <w:p>
            <w:pPr>
              <w:pStyle w:val="TableParagraph"/>
              <w:spacing w:before="19"/>
              <w:ind w:left="45" w:right="42"/>
              <w:jc w:val="center"/>
              <w:rPr>
                <w:rFonts w:ascii="Calibri"/>
                <w:sz w:val="22"/>
              </w:rPr>
            </w:pPr>
            <w:r>
              <w:rPr>
                <w:rFonts w:ascii="Calibri"/>
                <w:sz w:val="22"/>
              </w:rPr>
              <w:t>0.14</w:t>
            </w:r>
          </w:p>
        </w:tc>
        <w:tc>
          <w:tcPr>
            <w:tcW w:w="2083" w:type="dxa"/>
            <w:tcBorders>
              <w:top w:val="single" w:sz="3" w:space="0" w:color="000000"/>
              <w:left w:val="single" w:sz="3" w:space="0" w:color="000000"/>
              <w:bottom w:val="single" w:sz="3" w:space="0" w:color="000000"/>
            </w:tcBorders>
          </w:tcPr>
          <w:p>
            <w:pPr>
              <w:pStyle w:val="TableParagraph"/>
              <w:spacing w:before="19"/>
              <w:ind w:left="85" w:right="79"/>
              <w:jc w:val="center"/>
              <w:rPr>
                <w:rFonts w:ascii="Calibri"/>
                <w:sz w:val="22"/>
              </w:rPr>
            </w:pPr>
            <w:r>
              <w:rPr>
                <w:rFonts w:ascii="Calibri"/>
                <w:sz w:val="22"/>
              </w:rPr>
              <w:t>Capa de ozono</w:t>
            </w:r>
          </w:p>
        </w:tc>
        <w:tc>
          <w:tcPr>
            <w:tcW w:w="1010" w:type="dxa"/>
            <w:tcBorders>
              <w:top w:val="single" w:sz="3" w:space="0" w:color="000000"/>
              <w:bottom w:val="single" w:sz="3" w:space="0" w:color="000000"/>
              <w:right w:val="single" w:sz="3" w:space="0" w:color="000000"/>
            </w:tcBorders>
          </w:tcPr>
          <w:p>
            <w:pPr>
              <w:pStyle w:val="TableParagraph"/>
              <w:spacing w:before="19"/>
              <w:ind w:right="2"/>
              <w:jc w:val="center"/>
              <w:rPr>
                <w:rFonts w:ascii="Calibri"/>
                <w:sz w:val="22"/>
              </w:rPr>
            </w:pPr>
            <w:r>
              <w:rPr>
                <w:rFonts w:ascii="Calibri"/>
                <w:sz w:val="22"/>
              </w:rPr>
              <w:t>1</w:t>
            </w:r>
          </w:p>
        </w:tc>
        <w:tc>
          <w:tcPr>
            <w:tcW w:w="1157" w:type="dxa"/>
            <w:tcBorders>
              <w:top w:val="single" w:sz="3" w:space="0" w:color="000000"/>
              <w:left w:val="single" w:sz="3" w:space="0" w:color="000000"/>
              <w:bottom w:val="single" w:sz="3" w:space="0" w:color="000000"/>
              <w:right w:val="single" w:sz="3" w:space="0" w:color="000000"/>
            </w:tcBorders>
          </w:tcPr>
          <w:p>
            <w:pPr>
              <w:pStyle w:val="TableParagraph"/>
              <w:spacing w:before="19"/>
              <w:ind w:left="4"/>
              <w:jc w:val="center"/>
              <w:rPr>
                <w:rFonts w:ascii="Calibri"/>
                <w:sz w:val="22"/>
              </w:rPr>
            </w:pPr>
            <w:r>
              <w:rPr>
                <w:rFonts w:ascii="Calibri"/>
                <w:sz w:val="22"/>
              </w:rPr>
              <w:t>0</w:t>
            </w:r>
          </w:p>
        </w:tc>
        <w:tc>
          <w:tcPr>
            <w:tcW w:w="1198" w:type="dxa"/>
            <w:tcBorders>
              <w:top w:val="single" w:sz="3" w:space="0" w:color="000000"/>
              <w:left w:val="single" w:sz="3" w:space="0" w:color="000000"/>
              <w:bottom w:val="single" w:sz="3" w:space="0" w:color="000000"/>
            </w:tcBorders>
          </w:tcPr>
          <w:p>
            <w:pPr>
              <w:pStyle w:val="TableParagraph"/>
              <w:spacing w:before="19"/>
              <w:ind w:left="7"/>
              <w:jc w:val="center"/>
              <w:rPr>
                <w:rFonts w:ascii="Calibri"/>
                <w:sz w:val="22"/>
              </w:rPr>
            </w:pPr>
            <w:r>
              <w:rPr>
                <w:rFonts w:ascii="Calibri"/>
                <w:sz w:val="22"/>
              </w:rPr>
              <w:t>0</w:t>
            </w:r>
          </w:p>
        </w:tc>
        <w:tc>
          <w:tcPr>
            <w:tcW w:w="1082" w:type="dxa"/>
            <w:tcBorders>
              <w:top w:val="single" w:sz="3" w:space="0" w:color="000000"/>
              <w:bottom w:val="single" w:sz="3" w:space="0" w:color="000000"/>
              <w:right w:val="single" w:sz="3" w:space="0" w:color="000000"/>
            </w:tcBorders>
          </w:tcPr>
          <w:p>
            <w:pPr>
              <w:pStyle w:val="TableParagraph"/>
              <w:spacing w:before="19"/>
              <w:ind w:left="173" w:right="174"/>
              <w:jc w:val="center"/>
              <w:rPr>
                <w:rFonts w:ascii="Calibri"/>
                <w:sz w:val="22"/>
              </w:rPr>
            </w:pPr>
            <w:r>
              <w:rPr>
                <w:rFonts w:ascii="Calibri"/>
                <w:sz w:val="22"/>
              </w:rPr>
              <w:t>0.1</w:t>
            </w:r>
          </w:p>
        </w:tc>
        <w:tc>
          <w:tcPr>
            <w:tcW w:w="1157" w:type="dxa"/>
            <w:tcBorders>
              <w:top w:val="single" w:sz="3" w:space="0" w:color="000000"/>
              <w:left w:val="single" w:sz="3" w:space="0" w:color="000000"/>
              <w:bottom w:val="single" w:sz="3" w:space="0" w:color="000000"/>
              <w:right w:val="single" w:sz="3" w:space="0" w:color="000000"/>
            </w:tcBorders>
          </w:tcPr>
          <w:p>
            <w:pPr>
              <w:pStyle w:val="TableParagraph"/>
              <w:spacing w:before="19"/>
              <w:ind w:left="2"/>
              <w:jc w:val="center"/>
              <w:rPr>
                <w:rFonts w:ascii="Calibri"/>
                <w:sz w:val="22"/>
              </w:rPr>
            </w:pPr>
            <w:r>
              <w:rPr>
                <w:rFonts w:ascii="Calibri"/>
                <w:sz w:val="22"/>
              </w:rPr>
              <w:t>9</w:t>
            </w:r>
          </w:p>
        </w:tc>
        <w:tc>
          <w:tcPr>
            <w:tcW w:w="1198" w:type="dxa"/>
            <w:tcBorders>
              <w:top w:val="single" w:sz="3" w:space="0" w:color="000000"/>
              <w:left w:val="single" w:sz="3" w:space="0" w:color="000000"/>
              <w:bottom w:val="single" w:sz="3" w:space="0" w:color="000000"/>
            </w:tcBorders>
          </w:tcPr>
          <w:p>
            <w:pPr>
              <w:pStyle w:val="TableParagraph"/>
              <w:spacing w:before="19"/>
              <w:ind w:left="432" w:right="432"/>
              <w:jc w:val="center"/>
              <w:rPr>
                <w:rFonts w:ascii="Calibri"/>
                <w:sz w:val="22"/>
              </w:rPr>
            </w:pPr>
            <w:r>
              <w:rPr>
                <w:rFonts w:ascii="Calibri"/>
                <w:sz w:val="22"/>
              </w:rPr>
              <w:t>0.9</w:t>
            </w:r>
          </w:p>
        </w:tc>
      </w:tr>
      <w:tr>
        <w:trPr>
          <w:trHeight w:val="308" w:hRule="exact"/>
        </w:trPr>
        <w:tc>
          <w:tcPr>
            <w:tcW w:w="1675" w:type="dxa"/>
            <w:vMerge/>
            <w:tcBorders>
              <w:right w:val="single" w:sz="3" w:space="0" w:color="000000"/>
            </w:tcBorders>
          </w:tcPr>
          <w:p>
            <w:pPr/>
          </w:p>
        </w:tc>
        <w:tc>
          <w:tcPr>
            <w:tcW w:w="1268" w:type="dxa"/>
            <w:vMerge/>
            <w:tcBorders>
              <w:left w:val="single" w:sz="3" w:space="0" w:color="000000"/>
              <w:right w:val="single" w:sz="3" w:space="0" w:color="000000"/>
            </w:tcBorders>
          </w:tcPr>
          <w:p>
            <w:pPr/>
          </w:p>
        </w:tc>
        <w:tc>
          <w:tcPr>
            <w:tcW w:w="1268" w:type="dxa"/>
            <w:tcBorders>
              <w:top w:val="single" w:sz="3" w:space="0" w:color="000000"/>
              <w:left w:val="single" w:sz="3" w:space="0" w:color="000000"/>
              <w:bottom w:val="single" w:sz="3" w:space="0" w:color="000000"/>
              <w:right w:val="single" w:sz="3" w:space="0" w:color="000000"/>
            </w:tcBorders>
          </w:tcPr>
          <w:p>
            <w:pPr>
              <w:pStyle w:val="TableParagraph"/>
              <w:spacing w:before="14"/>
              <w:ind w:left="45" w:right="42"/>
              <w:jc w:val="center"/>
              <w:rPr>
                <w:rFonts w:ascii="Calibri"/>
                <w:sz w:val="22"/>
              </w:rPr>
            </w:pPr>
            <w:r>
              <w:rPr>
                <w:rFonts w:ascii="Calibri"/>
                <w:sz w:val="22"/>
              </w:rPr>
              <w:t>0.14</w:t>
            </w:r>
          </w:p>
        </w:tc>
        <w:tc>
          <w:tcPr>
            <w:tcW w:w="2083" w:type="dxa"/>
            <w:tcBorders>
              <w:top w:val="single" w:sz="3" w:space="0" w:color="000000"/>
              <w:left w:val="single" w:sz="3" w:space="0" w:color="000000"/>
              <w:bottom w:val="single" w:sz="3" w:space="0" w:color="000000"/>
            </w:tcBorders>
          </w:tcPr>
          <w:p>
            <w:pPr>
              <w:pStyle w:val="TableParagraph"/>
              <w:spacing w:before="14"/>
              <w:ind w:left="85" w:right="79"/>
              <w:jc w:val="center"/>
              <w:rPr>
                <w:rFonts w:ascii="Calibri"/>
                <w:sz w:val="22"/>
              </w:rPr>
            </w:pPr>
            <w:r>
              <w:rPr>
                <w:rFonts w:ascii="Calibri"/>
                <w:sz w:val="22"/>
              </w:rPr>
              <w:t>Ecotoxicidad</w:t>
            </w:r>
          </w:p>
        </w:tc>
        <w:tc>
          <w:tcPr>
            <w:tcW w:w="1010" w:type="dxa"/>
            <w:tcBorders>
              <w:top w:val="single" w:sz="3" w:space="0" w:color="000000"/>
              <w:bottom w:val="single" w:sz="3" w:space="0" w:color="000000"/>
              <w:right w:val="single" w:sz="3" w:space="0" w:color="000000"/>
            </w:tcBorders>
          </w:tcPr>
          <w:p>
            <w:pPr>
              <w:pStyle w:val="TableParagraph"/>
              <w:spacing w:before="14"/>
              <w:ind w:right="2"/>
              <w:jc w:val="center"/>
              <w:rPr>
                <w:rFonts w:ascii="Calibri"/>
                <w:sz w:val="22"/>
              </w:rPr>
            </w:pPr>
            <w:r>
              <w:rPr>
                <w:rFonts w:ascii="Calibri"/>
                <w:sz w:val="22"/>
              </w:rPr>
              <w:t>1</w:t>
            </w:r>
          </w:p>
        </w:tc>
        <w:tc>
          <w:tcPr>
            <w:tcW w:w="1157" w:type="dxa"/>
            <w:tcBorders>
              <w:top w:val="single" w:sz="3" w:space="0" w:color="000000"/>
              <w:left w:val="single" w:sz="3" w:space="0" w:color="000000"/>
              <w:bottom w:val="single" w:sz="3" w:space="0" w:color="000000"/>
              <w:right w:val="single" w:sz="3" w:space="0" w:color="000000"/>
            </w:tcBorders>
          </w:tcPr>
          <w:p>
            <w:pPr>
              <w:pStyle w:val="TableParagraph"/>
              <w:spacing w:before="14"/>
              <w:ind w:left="4"/>
              <w:jc w:val="center"/>
              <w:rPr>
                <w:rFonts w:ascii="Calibri"/>
                <w:sz w:val="22"/>
              </w:rPr>
            </w:pPr>
            <w:r>
              <w:rPr>
                <w:rFonts w:ascii="Calibri"/>
                <w:sz w:val="22"/>
              </w:rPr>
              <w:t>0</w:t>
            </w:r>
          </w:p>
        </w:tc>
        <w:tc>
          <w:tcPr>
            <w:tcW w:w="1198" w:type="dxa"/>
            <w:tcBorders>
              <w:top w:val="single" w:sz="3" w:space="0" w:color="000000"/>
              <w:left w:val="single" w:sz="3" w:space="0" w:color="000000"/>
              <w:bottom w:val="single" w:sz="3" w:space="0" w:color="000000"/>
            </w:tcBorders>
          </w:tcPr>
          <w:p>
            <w:pPr>
              <w:pStyle w:val="TableParagraph"/>
              <w:spacing w:before="14"/>
              <w:ind w:left="7"/>
              <w:jc w:val="center"/>
              <w:rPr>
                <w:rFonts w:ascii="Calibri"/>
                <w:sz w:val="22"/>
              </w:rPr>
            </w:pPr>
            <w:r>
              <w:rPr>
                <w:rFonts w:ascii="Calibri"/>
                <w:sz w:val="22"/>
              </w:rPr>
              <w:t>0</w:t>
            </w:r>
          </w:p>
        </w:tc>
        <w:tc>
          <w:tcPr>
            <w:tcW w:w="1082" w:type="dxa"/>
            <w:tcBorders>
              <w:top w:val="single" w:sz="3" w:space="0" w:color="000000"/>
              <w:bottom w:val="single" w:sz="3" w:space="0" w:color="000000"/>
              <w:right w:val="single" w:sz="3" w:space="0" w:color="000000"/>
            </w:tcBorders>
          </w:tcPr>
          <w:p>
            <w:pPr>
              <w:pStyle w:val="TableParagraph"/>
              <w:spacing w:before="14"/>
              <w:ind w:left="173" w:right="174"/>
              <w:jc w:val="center"/>
              <w:rPr>
                <w:rFonts w:ascii="Calibri"/>
                <w:sz w:val="22"/>
              </w:rPr>
            </w:pPr>
            <w:r>
              <w:rPr>
                <w:rFonts w:ascii="Calibri"/>
                <w:sz w:val="22"/>
              </w:rPr>
              <w:t>0.8</w:t>
            </w:r>
          </w:p>
        </w:tc>
        <w:tc>
          <w:tcPr>
            <w:tcW w:w="1157" w:type="dxa"/>
            <w:tcBorders>
              <w:top w:val="single" w:sz="3" w:space="0" w:color="000000"/>
              <w:left w:val="single" w:sz="3" w:space="0" w:color="000000"/>
              <w:bottom w:val="single" w:sz="3" w:space="0" w:color="000000"/>
              <w:right w:val="single" w:sz="3" w:space="0" w:color="000000"/>
            </w:tcBorders>
          </w:tcPr>
          <w:p>
            <w:pPr>
              <w:pStyle w:val="TableParagraph"/>
              <w:spacing w:before="14"/>
              <w:ind w:left="2"/>
              <w:jc w:val="center"/>
              <w:rPr>
                <w:rFonts w:ascii="Calibri"/>
                <w:sz w:val="22"/>
              </w:rPr>
            </w:pPr>
            <w:r>
              <w:rPr>
                <w:rFonts w:ascii="Calibri"/>
                <w:sz w:val="22"/>
              </w:rPr>
              <w:t>2</w:t>
            </w:r>
          </w:p>
        </w:tc>
        <w:tc>
          <w:tcPr>
            <w:tcW w:w="1198" w:type="dxa"/>
            <w:tcBorders>
              <w:top w:val="single" w:sz="3" w:space="0" w:color="000000"/>
              <w:left w:val="single" w:sz="3" w:space="0" w:color="000000"/>
              <w:bottom w:val="single" w:sz="3" w:space="0" w:color="000000"/>
            </w:tcBorders>
          </w:tcPr>
          <w:p>
            <w:pPr>
              <w:pStyle w:val="TableParagraph"/>
              <w:spacing w:before="14"/>
              <w:ind w:left="432" w:right="432"/>
              <w:jc w:val="center"/>
              <w:rPr>
                <w:rFonts w:ascii="Calibri"/>
                <w:sz w:val="22"/>
              </w:rPr>
            </w:pPr>
            <w:r>
              <w:rPr>
                <w:rFonts w:ascii="Calibri"/>
                <w:sz w:val="22"/>
              </w:rPr>
              <w:t>0.2</w:t>
            </w:r>
          </w:p>
        </w:tc>
      </w:tr>
      <w:tr>
        <w:trPr>
          <w:trHeight w:val="312" w:hRule="exact"/>
        </w:trPr>
        <w:tc>
          <w:tcPr>
            <w:tcW w:w="1675" w:type="dxa"/>
            <w:vMerge/>
            <w:tcBorders>
              <w:right w:val="single" w:sz="3" w:space="0" w:color="000000"/>
            </w:tcBorders>
          </w:tcPr>
          <w:p>
            <w:pPr/>
          </w:p>
        </w:tc>
        <w:tc>
          <w:tcPr>
            <w:tcW w:w="1268" w:type="dxa"/>
            <w:vMerge/>
            <w:tcBorders>
              <w:left w:val="single" w:sz="3" w:space="0" w:color="000000"/>
              <w:right w:val="single" w:sz="3" w:space="0" w:color="000000"/>
            </w:tcBorders>
          </w:tcPr>
          <w:p>
            <w:pPr/>
          </w:p>
        </w:tc>
        <w:tc>
          <w:tcPr>
            <w:tcW w:w="1268" w:type="dxa"/>
            <w:tcBorders>
              <w:top w:val="single" w:sz="3" w:space="0" w:color="000000"/>
              <w:left w:val="single" w:sz="3" w:space="0" w:color="000000"/>
              <w:bottom w:val="single" w:sz="3" w:space="0" w:color="000000"/>
              <w:right w:val="single" w:sz="3" w:space="0" w:color="000000"/>
            </w:tcBorders>
          </w:tcPr>
          <w:p>
            <w:pPr>
              <w:pStyle w:val="TableParagraph"/>
              <w:spacing w:before="18"/>
              <w:ind w:left="45" w:right="42"/>
              <w:jc w:val="center"/>
              <w:rPr>
                <w:rFonts w:ascii="Calibri"/>
                <w:sz w:val="22"/>
              </w:rPr>
            </w:pPr>
            <w:r>
              <w:rPr>
                <w:rFonts w:ascii="Calibri"/>
                <w:sz w:val="22"/>
              </w:rPr>
              <w:t>0.14</w:t>
            </w:r>
          </w:p>
        </w:tc>
        <w:tc>
          <w:tcPr>
            <w:tcW w:w="2083" w:type="dxa"/>
            <w:tcBorders>
              <w:top w:val="single" w:sz="3" w:space="0" w:color="000000"/>
              <w:left w:val="single" w:sz="3" w:space="0" w:color="000000"/>
              <w:bottom w:val="single" w:sz="3" w:space="0" w:color="000000"/>
            </w:tcBorders>
          </w:tcPr>
          <w:p>
            <w:pPr>
              <w:pStyle w:val="TableParagraph"/>
              <w:spacing w:before="18"/>
              <w:ind w:left="84" w:right="79"/>
              <w:jc w:val="center"/>
              <w:rPr>
                <w:rFonts w:ascii="Calibri" w:hAnsi="Calibri"/>
                <w:sz w:val="22"/>
              </w:rPr>
            </w:pPr>
            <w:r>
              <w:rPr>
                <w:rFonts w:ascii="Calibri" w:hAnsi="Calibri"/>
                <w:sz w:val="22"/>
              </w:rPr>
              <w:t>Eurotroficación</w:t>
            </w:r>
          </w:p>
        </w:tc>
        <w:tc>
          <w:tcPr>
            <w:tcW w:w="1010" w:type="dxa"/>
            <w:tcBorders>
              <w:top w:val="single" w:sz="3" w:space="0" w:color="000000"/>
              <w:bottom w:val="single" w:sz="3" w:space="0" w:color="000000"/>
              <w:right w:val="single" w:sz="3" w:space="0" w:color="000000"/>
            </w:tcBorders>
          </w:tcPr>
          <w:p>
            <w:pPr>
              <w:pStyle w:val="TableParagraph"/>
              <w:spacing w:before="18"/>
              <w:ind w:left="137" w:right="138"/>
              <w:jc w:val="center"/>
              <w:rPr>
                <w:rFonts w:ascii="Calibri"/>
                <w:sz w:val="22"/>
              </w:rPr>
            </w:pPr>
            <w:r>
              <w:rPr>
                <w:rFonts w:ascii="Calibri"/>
                <w:sz w:val="22"/>
              </w:rPr>
              <w:t>0.9</w:t>
            </w:r>
          </w:p>
        </w:tc>
        <w:tc>
          <w:tcPr>
            <w:tcW w:w="1157" w:type="dxa"/>
            <w:tcBorders>
              <w:top w:val="single" w:sz="3" w:space="0" w:color="000000"/>
              <w:left w:val="single" w:sz="3" w:space="0" w:color="000000"/>
              <w:bottom w:val="single" w:sz="3" w:space="0" w:color="000000"/>
              <w:right w:val="single" w:sz="3" w:space="0" w:color="000000"/>
            </w:tcBorders>
          </w:tcPr>
          <w:p>
            <w:pPr>
              <w:pStyle w:val="TableParagraph"/>
              <w:spacing w:before="18"/>
              <w:ind w:left="4"/>
              <w:jc w:val="center"/>
              <w:rPr>
                <w:rFonts w:ascii="Calibri"/>
                <w:sz w:val="22"/>
              </w:rPr>
            </w:pPr>
            <w:r>
              <w:rPr>
                <w:rFonts w:ascii="Calibri"/>
                <w:sz w:val="22"/>
              </w:rPr>
              <w:t>1</w:t>
            </w:r>
          </w:p>
        </w:tc>
        <w:tc>
          <w:tcPr>
            <w:tcW w:w="1198" w:type="dxa"/>
            <w:tcBorders>
              <w:top w:val="single" w:sz="3" w:space="0" w:color="000000"/>
              <w:left w:val="single" w:sz="3" w:space="0" w:color="000000"/>
              <w:bottom w:val="single" w:sz="3" w:space="0" w:color="000000"/>
            </w:tcBorders>
          </w:tcPr>
          <w:p>
            <w:pPr>
              <w:pStyle w:val="TableParagraph"/>
              <w:spacing w:before="18"/>
              <w:ind w:left="42" w:right="35"/>
              <w:jc w:val="center"/>
              <w:rPr>
                <w:rFonts w:ascii="Calibri"/>
                <w:sz w:val="22"/>
              </w:rPr>
            </w:pPr>
            <w:r>
              <w:rPr>
                <w:rFonts w:ascii="Calibri"/>
                <w:sz w:val="22"/>
              </w:rPr>
              <w:t>0.1</w:t>
            </w:r>
          </w:p>
        </w:tc>
        <w:tc>
          <w:tcPr>
            <w:tcW w:w="1082" w:type="dxa"/>
            <w:tcBorders>
              <w:top w:val="single" w:sz="3" w:space="0" w:color="000000"/>
              <w:bottom w:val="single" w:sz="3" w:space="0" w:color="000000"/>
              <w:right w:val="single" w:sz="3" w:space="0" w:color="000000"/>
            </w:tcBorders>
          </w:tcPr>
          <w:p>
            <w:pPr>
              <w:pStyle w:val="TableParagraph"/>
              <w:spacing w:before="18"/>
              <w:ind w:right="2"/>
              <w:jc w:val="center"/>
              <w:rPr>
                <w:rFonts w:ascii="Calibri"/>
                <w:sz w:val="22"/>
              </w:rPr>
            </w:pPr>
            <w:r>
              <w:rPr>
                <w:rFonts w:ascii="Calibri"/>
                <w:sz w:val="22"/>
              </w:rPr>
              <w:t>1</w:t>
            </w:r>
          </w:p>
        </w:tc>
        <w:tc>
          <w:tcPr>
            <w:tcW w:w="1157" w:type="dxa"/>
            <w:tcBorders>
              <w:top w:val="single" w:sz="3" w:space="0" w:color="000000"/>
              <w:left w:val="single" w:sz="3" w:space="0" w:color="000000"/>
              <w:bottom w:val="single" w:sz="3" w:space="0" w:color="000000"/>
              <w:right w:val="single" w:sz="3" w:space="0" w:color="000000"/>
            </w:tcBorders>
          </w:tcPr>
          <w:p>
            <w:pPr>
              <w:pStyle w:val="TableParagraph"/>
              <w:spacing w:before="18"/>
              <w:ind w:left="2"/>
              <w:jc w:val="center"/>
              <w:rPr>
                <w:rFonts w:ascii="Calibri"/>
                <w:sz w:val="22"/>
              </w:rPr>
            </w:pPr>
            <w:r>
              <w:rPr>
                <w:rFonts w:ascii="Calibri"/>
                <w:sz w:val="22"/>
              </w:rPr>
              <w:t>0</w:t>
            </w:r>
          </w:p>
        </w:tc>
        <w:tc>
          <w:tcPr>
            <w:tcW w:w="1198" w:type="dxa"/>
            <w:tcBorders>
              <w:top w:val="single" w:sz="3" w:space="0" w:color="000000"/>
              <w:left w:val="single" w:sz="3" w:space="0" w:color="000000"/>
              <w:bottom w:val="single" w:sz="3" w:space="0" w:color="000000"/>
            </w:tcBorders>
          </w:tcPr>
          <w:p>
            <w:pPr>
              <w:pStyle w:val="TableParagraph"/>
              <w:spacing w:before="18"/>
              <w:jc w:val="center"/>
              <w:rPr>
                <w:rFonts w:ascii="Calibri"/>
                <w:sz w:val="22"/>
              </w:rPr>
            </w:pPr>
            <w:r>
              <w:rPr>
                <w:rFonts w:ascii="Calibri"/>
                <w:sz w:val="22"/>
              </w:rPr>
              <w:t>0</w:t>
            </w:r>
          </w:p>
        </w:tc>
      </w:tr>
      <w:tr>
        <w:trPr>
          <w:trHeight w:val="308" w:hRule="exact"/>
        </w:trPr>
        <w:tc>
          <w:tcPr>
            <w:tcW w:w="1675" w:type="dxa"/>
            <w:vMerge/>
            <w:tcBorders>
              <w:right w:val="single" w:sz="3" w:space="0" w:color="000000"/>
            </w:tcBorders>
          </w:tcPr>
          <w:p>
            <w:pPr/>
          </w:p>
        </w:tc>
        <w:tc>
          <w:tcPr>
            <w:tcW w:w="1268" w:type="dxa"/>
            <w:vMerge/>
            <w:tcBorders>
              <w:left w:val="single" w:sz="3" w:space="0" w:color="000000"/>
              <w:right w:val="single" w:sz="3" w:space="0" w:color="000000"/>
            </w:tcBorders>
          </w:tcPr>
          <w:p>
            <w:pPr/>
          </w:p>
        </w:tc>
        <w:tc>
          <w:tcPr>
            <w:tcW w:w="1268" w:type="dxa"/>
            <w:tcBorders>
              <w:top w:val="single" w:sz="3" w:space="0" w:color="000000"/>
              <w:left w:val="single" w:sz="3" w:space="0" w:color="000000"/>
              <w:bottom w:val="single" w:sz="3" w:space="0" w:color="000000"/>
              <w:right w:val="single" w:sz="3" w:space="0" w:color="000000"/>
            </w:tcBorders>
          </w:tcPr>
          <w:p>
            <w:pPr>
              <w:pStyle w:val="TableParagraph"/>
              <w:spacing w:before="14"/>
              <w:ind w:left="45" w:right="42"/>
              <w:jc w:val="center"/>
              <w:rPr>
                <w:rFonts w:ascii="Calibri"/>
                <w:sz w:val="22"/>
              </w:rPr>
            </w:pPr>
            <w:r>
              <w:rPr>
                <w:rFonts w:ascii="Calibri"/>
                <w:sz w:val="22"/>
              </w:rPr>
              <w:t>0.14</w:t>
            </w:r>
          </w:p>
        </w:tc>
        <w:tc>
          <w:tcPr>
            <w:tcW w:w="2083" w:type="dxa"/>
            <w:tcBorders>
              <w:top w:val="single" w:sz="3" w:space="0" w:color="000000"/>
              <w:left w:val="single" w:sz="3" w:space="0" w:color="000000"/>
              <w:bottom w:val="single" w:sz="3" w:space="0" w:color="000000"/>
            </w:tcBorders>
          </w:tcPr>
          <w:p>
            <w:pPr>
              <w:pStyle w:val="TableParagraph"/>
              <w:spacing w:before="14"/>
              <w:ind w:left="83" w:right="79"/>
              <w:jc w:val="center"/>
              <w:rPr>
                <w:rFonts w:ascii="Calibri"/>
                <w:sz w:val="22"/>
              </w:rPr>
            </w:pPr>
            <w:r>
              <w:rPr>
                <w:rFonts w:ascii="Calibri"/>
                <w:sz w:val="22"/>
              </w:rPr>
              <w:t>Minerales</w:t>
            </w:r>
          </w:p>
        </w:tc>
        <w:tc>
          <w:tcPr>
            <w:tcW w:w="1010" w:type="dxa"/>
            <w:tcBorders>
              <w:top w:val="single" w:sz="3" w:space="0" w:color="000000"/>
              <w:bottom w:val="single" w:sz="3" w:space="0" w:color="000000"/>
              <w:right w:val="single" w:sz="3" w:space="0" w:color="000000"/>
            </w:tcBorders>
          </w:tcPr>
          <w:p>
            <w:pPr>
              <w:pStyle w:val="TableParagraph"/>
              <w:spacing w:before="14"/>
              <w:ind w:right="2"/>
              <w:jc w:val="center"/>
              <w:rPr>
                <w:rFonts w:ascii="Calibri"/>
                <w:sz w:val="22"/>
              </w:rPr>
            </w:pPr>
            <w:r>
              <w:rPr>
                <w:rFonts w:ascii="Calibri"/>
                <w:sz w:val="22"/>
              </w:rPr>
              <w:t>1</w:t>
            </w:r>
          </w:p>
        </w:tc>
        <w:tc>
          <w:tcPr>
            <w:tcW w:w="1157" w:type="dxa"/>
            <w:tcBorders>
              <w:top w:val="single" w:sz="3" w:space="0" w:color="000000"/>
              <w:left w:val="single" w:sz="3" w:space="0" w:color="000000"/>
              <w:bottom w:val="single" w:sz="3" w:space="0" w:color="000000"/>
              <w:right w:val="single" w:sz="3" w:space="0" w:color="000000"/>
            </w:tcBorders>
          </w:tcPr>
          <w:p>
            <w:pPr>
              <w:pStyle w:val="TableParagraph"/>
              <w:spacing w:before="14"/>
              <w:ind w:left="4"/>
              <w:jc w:val="center"/>
              <w:rPr>
                <w:rFonts w:ascii="Calibri"/>
                <w:sz w:val="22"/>
              </w:rPr>
            </w:pPr>
            <w:r>
              <w:rPr>
                <w:rFonts w:ascii="Calibri"/>
                <w:sz w:val="22"/>
              </w:rPr>
              <w:t>0</w:t>
            </w:r>
          </w:p>
        </w:tc>
        <w:tc>
          <w:tcPr>
            <w:tcW w:w="1198" w:type="dxa"/>
            <w:tcBorders>
              <w:top w:val="single" w:sz="3" w:space="0" w:color="000000"/>
              <w:left w:val="single" w:sz="3" w:space="0" w:color="000000"/>
              <w:bottom w:val="single" w:sz="3" w:space="0" w:color="000000"/>
            </w:tcBorders>
          </w:tcPr>
          <w:p>
            <w:pPr>
              <w:pStyle w:val="TableParagraph"/>
              <w:spacing w:before="14"/>
              <w:ind w:left="7"/>
              <w:jc w:val="center"/>
              <w:rPr>
                <w:rFonts w:ascii="Calibri"/>
                <w:sz w:val="22"/>
              </w:rPr>
            </w:pPr>
            <w:r>
              <w:rPr>
                <w:rFonts w:ascii="Calibri"/>
                <w:sz w:val="22"/>
              </w:rPr>
              <w:t>0</w:t>
            </w:r>
          </w:p>
        </w:tc>
        <w:tc>
          <w:tcPr>
            <w:tcW w:w="1082" w:type="dxa"/>
            <w:tcBorders>
              <w:top w:val="single" w:sz="3" w:space="0" w:color="000000"/>
              <w:bottom w:val="single" w:sz="3" w:space="0" w:color="000000"/>
              <w:right w:val="single" w:sz="3" w:space="0" w:color="000000"/>
            </w:tcBorders>
          </w:tcPr>
          <w:p>
            <w:pPr>
              <w:pStyle w:val="TableParagraph"/>
              <w:spacing w:before="14"/>
              <w:ind w:left="173" w:right="174"/>
              <w:jc w:val="center"/>
              <w:rPr>
                <w:rFonts w:ascii="Calibri"/>
                <w:sz w:val="22"/>
              </w:rPr>
            </w:pPr>
            <w:r>
              <w:rPr>
                <w:rFonts w:ascii="Calibri"/>
                <w:sz w:val="22"/>
              </w:rPr>
              <w:t>0.8</w:t>
            </w:r>
          </w:p>
        </w:tc>
        <w:tc>
          <w:tcPr>
            <w:tcW w:w="1157" w:type="dxa"/>
            <w:tcBorders>
              <w:top w:val="single" w:sz="3" w:space="0" w:color="000000"/>
              <w:left w:val="single" w:sz="3" w:space="0" w:color="000000"/>
              <w:bottom w:val="single" w:sz="3" w:space="0" w:color="000000"/>
              <w:right w:val="single" w:sz="3" w:space="0" w:color="000000"/>
            </w:tcBorders>
          </w:tcPr>
          <w:p>
            <w:pPr>
              <w:pStyle w:val="TableParagraph"/>
              <w:spacing w:before="14"/>
              <w:ind w:left="2"/>
              <w:jc w:val="center"/>
              <w:rPr>
                <w:rFonts w:ascii="Calibri"/>
                <w:sz w:val="22"/>
              </w:rPr>
            </w:pPr>
            <w:r>
              <w:rPr>
                <w:rFonts w:ascii="Calibri"/>
                <w:sz w:val="22"/>
              </w:rPr>
              <w:t>2</w:t>
            </w:r>
          </w:p>
        </w:tc>
        <w:tc>
          <w:tcPr>
            <w:tcW w:w="1198" w:type="dxa"/>
            <w:tcBorders>
              <w:top w:val="single" w:sz="3" w:space="0" w:color="000000"/>
              <w:left w:val="single" w:sz="3" w:space="0" w:color="000000"/>
              <w:bottom w:val="single" w:sz="3" w:space="0" w:color="000000"/>
            </w:tcBorders>
          </w:tcPr>
          <w:p>
            <w:pPr>
              <w:pStyle w:val="TableParagraph"/>
              <w:spacing w:before="14"/>
              <w:ind w:left="432" w:right="432"/>
              <w:jc w:val="center"/>
              <w:rPr>
                <w:rFonts w:ascii="Calibri"/>
                <w:sz w:val="22"/>
              </w:rPr>
            </w:pPr>
            <w:r>
              <w:rPr>
                <w:rFonts w:ascii="Calibri"/>
                <w:sz w:val="22"/>
              </w:rPr>
              <w:t>0.2</w:t>
            </w:r>
          </w:p>
        </w:tc>
      </w:tr>
      <w:tr>
        <w:trPr>
          <w:trHeight w:val="624" w:hRule="exact"/>
        </w:trPr>
        <w:tc>
          <w:tcPr>
            <w:tcW w:w="1675" w:type="dxa"/>
            <w:vMerge/>
            <w:tcBorders>
              <w:bottom w:val="single" w:sz="3" w:space="0" w:color="000000"/>
              <w:right w:val="single" w:sz="3" w:space="0" w:color="000000"/>
            </w:tcBorders>
          </w:tcPr>
          <w:p>
            <w:pPr/>
          </w:p>
        </w:tc>
        <w:tc>
          <w:tcPr>
            <w:tcW w:w="1268" w:type="dxa"/>
            <w:vMerge/>
            <w:tcBorders>
              <w:left w:val="single" w:sz="3" w:space="0" w:color="000000"/>
              <w:bottom w:val="single" w:sz="3" w:space="0" w:color="000000"/>
              <w:right w:val="single" w:sz="3" w:space="0" w:color="000000"/>
            </w:tcBorders>
          </w:tcPr>
          <w:p>
            <w:pPr/>
          </w:p>
        </w:tc>
        <w:tc>
          <w:tcPr>
            <w:tcW w:w="1268" w:type="dxa"/>
            <w:tcBorders>
              <w:top w:val="single" w:sz="3" w:space="0" w:color="000000"/>
              <w:left w:val="single" w:sz="3" w:space="0" w:color="000000"/>
              <w:bottom w:val="single" w:sz="3" w:space="0" w:color="000000"/>
              <w:right w:val="single" w:sz="3" w:space="0" w:color="000000"/>
            </w:tcBorders>
          </w:tcPr>
          <w:p>
            <w:pPr>
              <w:pStyle w:val="TableParagraph"/>
              <w:spacing w:before="174"/>
              <w:ind w:left="45" w:right="42"/>
              <w:jc w:val="center"/>
              <w:rPr>
                <w:rFonts w:ascii="Calibri"/>
                <w:sz w:val="22"/>
              </w:rPr>
            </w:pPr>
            <w:r>
              <w:rPr>
                <w:rFonts w:ascii="Calibri"/>
                <w:sz w:val="22"/>
              </w:rPr>
              <w:t>0.14</w:t>
            </w:r>
          </w:p>
        </w:tc>
        <w:tc>
          <w:tcPr>
            <w:tcW w:w="2083" w:type="dxa"/>
            <w:tcBorders>
              <w:top w:val="single" w:sz="3" w:space="0" w:color="000000"/>
              <w:left w:val="single" w:sz="3" w:space="0" w:color="000000"/>
              <w:bottom w:val="single" w:sz="3" w:space="0" w:color="000000"/>
            </w:tcBorders>
          </w:tcPr>
          <w:p>
            <w:pPr>
              <w:pStyle w:val="TableParagraph"/>
              <w:spacing w:before="174"/>
              <w:ind w:left="88" w:right="79"/>
              <w:jc w:val="center"/>
              <w:rPr>
                <w:rFonts w:ascii="Calibri" w:hAnsi="Calibri"/>
                <w:sz w:val="22"/>
              </w:rPr>
            </w:pPr>
            <w:r>
              <w:rPr>
                <w:rFonts w:ascii="Calibri" w:hAnsi="Calibri"/>
                <w:sz w:val="22"/>
              </w:rPr>
              <w:t>Combustibles Fósiles</w:t>
            </w:r>
          </w:p>
        </w:tc>
        <w:tc>
          <w:tcPr>
            <w:tcW w:w="1010" w:type="dxa"/>
            <w:tcBorders>
              <w:top w:val="single" w:sz="3" w:space="0" w:color="000000"/>
              <w:right w:val="single" w:sz="3" w:space="0" w:color="000000"/>
            </w:tcBorders>
          </w:tcPr>
          <w:p>
            <w:pPr>
              <w:pStyle w:val="TableParagraph"/>
              <w:spacing w:before="174"/>
              <w:ind w:right="2"/>
              <w:jc w:val="center"/>
              <w:rPr>
                <w:rFonts w:ascii="Calibri"/>
                <w:sz w:val="22"/>
              </w:rPr>
            </w:pPr>
            <w:r>
              <w:rPr>
                <w:rFonts w:ascii="Calibri"/>
                <w:sz w:val="22"/>
              </w:rPr>
              <w:t>1</w:t>
            </w:r>
          </w:p>
        </w:tc>
        <w:tc>
          <w:tcPr>
            <w:tcW w:w="1157" w:type="dxa"/>
            <w:tcBorders>
              <w:top w:val="single" w:sz="3" w:space="0" w:color="000000"/>
              <w:left w:val="single" w:sz="3" w:space="0" w:color="000000"/>
              <w:right w:val="single" w:sz="3" w:space="0" w:color="000000"/>
            </w:tcBorders>
          </w:tcPr>
          <w:p>
            <w:pPr>
              <w:pStyle w:val="TableParagraph"/>
              <w:spacing w:before="174"/>
              <w:ind w:left="4"/>
              <w:jc w:val="center"/>
              <w:rPr>
                <w:rFonts w:ascii="Calibri"/>
                <w:sz w:val="22"/>
              </w:rPr>
            </w:pPr>
            <w:r>
              <w:rPr>
                <w:rFonts w:ascii="Calibri"/>
                <w:sz w:val="22"/>
              </w:rPr>
              <w:t>0</w:t>
            </w:r>
          </w:p>
        </w:tc>
        <w:tc>
          <w:tcPr>
            <w:tcW w:w="1198" w:type="dxa"/>
            <w:tcBorders>
              <w:top w:val="single" w:sz="3" w:space="0" w:color="000000"/>
              <w:left w:val="single" w:sz="3" w:space="0" w:color="000000"/>
            </w:tcBorders>
          </w:tcPr>
          <w:p>
            <w:pPr>
              <w:pStyle w:val="TableParagraph"/>
              <w:spacing w:before="174"/>
              <w:ind w:left="7"/>
              <w:jc w:val="center"/>
              <w:rPr>
                <w:rFonts w:ascii="Calibri"/>
                <w:sz w:val="22"/>
              </w:rPr>
            </w:pPr>
            <w:r>
              <w:rPr>
                <w:rFonts w:ascii="Calibri"/>
                <w:sz w:val="22"/>
              </w:rPr>
              <w:t>0</w:t>
            </w:r>
          </w:p>
        </w:tc>
        <w:tc>
          <w:tcPr>
            <w:tcW w:w="1082" w:type="dxa"/>
            <w:tcBorders>
              <w:top w:val="single" w:sz="3" w:space="0" w:color="000000"/>
              <w:right w:val="single" w:sz="3" w:space="0" w:color="000000"/>
            </w:tcBorders>
          </w:tcPr>
          <w:p>
            <w:pPr>
              <w:pStyle w:val="TableParagraph"/>
              <w:spacing w:before="174"/>
              <w:ind w:right="2"/>
              <w:jc w:val="center"/>
              <w:rPr>
                <w:rFonts w:ascii="Calibri"/>
                <w:sz w:val="22"/>
              </w:rPr>
            </w:pPr>
            <w:r>
              <w:rPr>
                <w:rFonts w:ascii="Calibri"/>
                <w:sz w:val="22"/>
              </w:rPr>
              <w:t>1</w:t>
            </w:r>
          </w:p>
        </w:tc>
        <w:tc>
          <w:tcPr>
            <w:tcW w:w="1157" w:type="dxa"/>
            <w:tcBorders>
              <w:top w:val="single" w:sz="3" w:space="0" w:color="000000"/>
              <w:left w:val="single" w:sz="3" w:space="0" w:color="000000"/>
              <w:right w:val="single" w:sz="3" w:space="0" w:color="000000"/>
            </w:tcBorders>
          </w:tcPr>
          <w:p>
            <w:pPr>
              <w:pStyle w:val="TableParagraph"/>
              <w:spacing w:before="174"/>
              <w:ind w:left="2"/>
              <w:jc w:val="center"/>
              <w:rPr>
                <w:rFonts w:ascii="Calibri"/>
                <w:sz w:val="22"/>
              </w:rPr>
            </w:pPr>
            <w:r>
              <w:rPr>
                <w:rFonts w:ascii="Calibri"/>
                <w:sz w:val="22"/>
              </w:rPr>
              <w:t>0</w:t>
            </w:r>
          </w:p>
        </w:tc>
        <w:tc>
          <w:tcPr>
            <w:tcW w:w="1198" w:type="dxa"/>
            <w:tcBorders>
              <w:top w:val="single" w:sz="3" w:space="0" w:color="000000"/>
              <w:left w:val="single" w:sz="3" w:space="0" w:color="000000"/>
            </w:tcBorders>
          </w:tcPr>
          <w:p>
            <w:pPr>
              <w:pStyle w:val="TableParagraph"/>
              <w:spacing w:before="174"/>
              <w:jc w:val="center"/>
              <w:rPr>
                <w:rFonts w:ascii="Calibri"/>
                <w:sz w:val="22"/>
              </w:rPr>
            </w:pPr>
            <w:r>
              <w:rPr>
                <w:rFonts w:ascii="Calibri"/>
                <w:sz w:val="22"/>
              </w:rPr>
              <w:t>0</w:t>
            </w:r>
          </w:p>
        </w:tc>
      </w:tr>
      <w:tr>
        <w:trPr>
          <w:trHeight w:val="320" w:hRule="exact"/>
        </w:trPr>
        <w:tc>
          <w:tcPr>
            <w:tcW w:w="1675" w:type="dxa"/>
            <w:vMerge w:val="restart"/>
            <w:tcBorders>
              <w:top w:val="single" w:sz="3" w:space="0" w:color="000000"/>
              <w:right w:val="single" w:sz="3" w:space="0" w:color="000000"/>
            </w:tcBorders>
          </w:tcPr>
          <w:p>
            <w:pPr>
              <w:pStyle w:val="TableParagraph"/>
              <w:rPr>
                <w:sz w:val="22"/>
              </w:rPr>
            </w:pPr>
          </w:p>
          <w:p>
            <w:pPr>
              <w:pStyle w:val="TableParagraph"/>
              <w:rPr>
                <w:sz w:val="22"/>
              </w:rPr>
            </w:pPr>
          </w:p>
          <w:p>
            <w:pPr>
              <w:pStyle w:val="TableParagraph"/>
              <w:spacing w:before="140"/>
              <w:ind w:left="360" w:right="363"/>
              <w:jc w:val="center"/>
              <w:rPr>
                <w:rFonts w:ascii="Calibri"/>
                <w:sz w:val="22"/>
              </w:rPr>
            </w:pPr>
            <w:r>
              <w:rPr>
                <w:rFonts w:ascii="Calibri"/>
                <w:sz w:val="22"/>
              </w:rPr>
              <w:t>Salud</w:t>
            </w:r>
          </w:p>
        </w:tc>
        <w:tc>
          <w:tcPr>
            <w:tcW w:w="1268" w:type="dxa"/>
            <w:vMerge w:val="restart"/>
            <w:tcBorders>
              <w:top w:val="single" w:sz="3" w:space="0" w:color="000000"/>
              <w:left w:val="single" w:sz="3" w:space="0" w:color="000000"/>
              <w:right w:val="single" w:sz="3" w:space="0" w:color="000000"/>
            </w:tcBorders>
          </w:tcPr>
          <w:p>
            <w:pPr>
              <w:pStyle w:val="TableParagraph"/>
              <w:rPr>
                <w:sz w:val="22"/>
              </w:rPr>
            </w:pPr>
          </w:p>
          <w:p>
            <w:pPr>
              <w:pStyle w:val="TableParagraph"/>
              <w:rPr>
                <w:sz w:val="22"/>
              </w:rPr>
            </w:pPr>
          </w:p>
          <w:p>
            <w:pPr>
              <w:pStyle w:val="TableParagraph"/>
              <w:spacing w:before="140"/>
              <w:ind w:left="46" w:right="42"/>
              <w:jc w:val="center"/>
              <w:rPr>
                <w:rFonts w:ascii="Calibri"/>
                <w:sz w:val="22"/>
              </w:rPr>
            </w:pPr>
            <w:r>
              <w:rPr>
                <w:rFonts w:ascii="Calibri"/>
                <w:sz w:val="22"/>
              </w:rPr>
              <w:t>0.10</w:t>
            </w:r>
          </w:p>
        </w:tc>
        <w:tc>
          <w:tcPr>
            <w:tcW w:w="1268" w:type="dxa"/>
            <w:tcBorders>
              <w:top w:val="single" w:sz="3" w:space="0" w:color="000000"/>
              <w:left w:val="single" w:sz="3" w:space="0" w:color="000000"/>
              <w:bottom w:val="single" w:sz="3" w:space="0" w:color="000000"/>
              <w:right w:val="single" w:sz="3" w:space="0" w:color="000000"/>
            </w:tcBorders>
          </w:tcPr>
          <w:p>
            <w:pPr>
              <w:pStyle w:val="TableParagraph"/>
              <w:spacing w:before="26"/>
              <w:ind w:left="45" w:right="42"/>
              <w:jc w:val="center"/>
              <w:rPr>
                <w:rFonts w:ascii="Calibri"/>
                <w:sz w:val="22"/>
              </w:rPr>
            </w:pPr>
            <w:r>
              <w:rPr>
                <w:rFonts w:ascii="Calibri"/>
                <w:sz w:val="22"/>
              </w:rPr>
              <w:t>0.33</w:t>
            </w:r>
          </w:p>
        </w:tc>
        <w:tc>
          <w:tcPr>
            <w:tcW w:w="2083" w:type="dxa"/>
            <w:tcBorders>
              <w:top w:val="single" w:sz="3" w:space="0" w:color="000000"/>
              <w:left w:val="single" w:sz="3" w:space="0" w:color="000000"/>
              <w:bottom w:val="single" w:sz="3" w:space="0" w:color="000000"/>
            </w:tcBorders>
          </w:tcPr>
          <w:p>
            <w:pPr>
              <w:pStyle w:val="TableParagraph"/>
              <w:spacing w:before="26"/>
              <w:ind w:left="83" w:right="79"/>
              <w:jc w:val="center"/>
              <w:rPr>
                <w:rFonts w:ascii="Calibri" w:hAnsi="Calibri"/>
                <w:sz w:val="22"/>
              </w:rPr>
            </w:pPr>
            <w:r>
              <w:rPr>
                <w:rFonts w:ascii="Calibri" w:hAnsi="Calibri"/>
                <w:sz w:val="22"/>
              </w:rPr>
              <w:t>Cancerígenos</w:t>
            </w:r>
          </w:p>
        </w:tc>
        <w:tc>
          <w:tcPr>
            <w:tcW w:w="1010" w:type="dxa"/>
            <w:tcBorders>
              <w:bottom w:val="single" w:sz="3" w:space="0" w:color="000000"/>
              <w:right w:val="single" w:sz="3" w:space="0" w:color="000000"/>
            </w:tcBorders>
          </w:tcPr>
          <w:p>
            <w:pPr>
              <w:pStyle w:val="TableParagraph"/>
              <w:spacing w:before="20"/>
              <w:ind w:right="2"/>
              <w:jc w:val="center"/>
              <w:rPr>
                <w:rFonts w:ascii="Calibri"/>
                <w:sz w:val="22"/>
              </w:rPr>
            </w:pPr>
            <w:r>
              <w:rPr>
                <w:rFonts w:ascii="Calibri"/>
                <w:sz w:val="22"/>
              </w:rPr>
              <w:t>1</w:t>
            </w:r>
          </w:p>
        </w:tc>
        <w:tc>
          <w:tcPr>
            <w:tcW w:w="1157" w:type="dxa"/>
            <w:tcBorders>
              <w:left w:val="single" w:sz="3" w:space="0" w:color="000000"/>
              <w:bottom w:val="single" w:sz="3" w:space="0" w:color="000000"/>
              <w:right w:val="single" w:sz="3" w:space="0" w:color="000000"/>
            </w:tcBorders>
          </w:tcPr>
          <w:p>
            <w:pPr>
              <w:pStyle w:val="TableParagraph"/>
              <w:spacing w:before="20"/>
              <w:ind w:left="4"/>
              <w:jc w:val="center"/>
              <w:rPr>
                <w:rFonts w:ascii="Calibri"/>
                <w:sz w:val="22"/>
              </w:rPr>
            </w:pPr>
            <w:r>
              <w:rPr>
                <w:rFonts w:ascii="Calibri"/>
                <w:sz w:val="22"/>
              </w:rPr>
              <w:t>0</w:t>
            </w:r>
          </w:p>
        </w:tc>
        <w:tc>
          <w:tcPr>
            <w:tcW w:w="1198" w:type="dxa"/>
            <w:tcBorders>
              <w:left w:val="single" w:sz="3" w:space="0" w:color="000000"/>
              <w:bottom w:val="single" w:sz="3" w:space="0" w:color="000000"/>
            </w:tcBorders>
          </w:tcPr>
          <w:p>
            <w:pPr>
              <w:pStyle w:val="TableParagraph"/>
              <w:spacing w:before="20"/>
              <w:ind w:left="7"/>
              <w:jc w:val="center"/>
              <w:rPr>
                <w:rFonts w:ascii="Calibri"/>
                <w:sz w:val="22"/>
              </w:rPr>
            </w:pPr>
            <w:r>
              <w:rPr>
                <w:rFonts w:ascii="Calibri"/>
                <w:sz w:val="22"/>
              </w:rPr>
              <w:t>0</w:t>
            </w:r>
          </w:p>
        </w:tc>
        <w:tc>
          <w:tcPr>
            <w:tcW w:w="1082" w:type="dxa"/>
            <w:tcBorders>
              <w:bottom w:val="single" w:sz="3" w:space="0" w:color="000000"/>
              <w:right w:val="single" w:sz="3" w:space="0" w:color="000000"/>
            </w:tcBorders>
          </w:tcPr>
          <w:p>
            <w:pPr>
              <w:pStyle w:val="TableParagraph"/>
              <w:spacing w:before="20"/>
              <w:ind w:left="173" w:right="174"/>
              <w:jc w:val="center"/>
              <w:rPr>
                <w:rFonts w:ascii="Calibri"/>
                <w:sz w:val="22"/>
              </w:rPr>
            </w:pPr>
            <w:r>
              <w:rPr>
                <w:rFonts w:ascii="Calibri"/>
                <w:sz w:val="22"/>
              </w:rPr>
              <w:t>0.6</w:t>
            </w:r>
          </w:p>
        </w:tc>
        <w:tc>
          <w:tcPr>
            <w:tcW w:w="1157" w:type="dxa"/>
            <w:tcBorders>
              <w:left w:val="single" w:sz="3" w:space="0" w:color="000000"/>
              <w:bottom w:val="single" w:sz="3" w:space="0" w:color="000000"/>
              <w:right w:val="single" w:sz="3" w:space="0" w:color="000000"/>
            </w:tcBorders>
          </w:tcPr>
          <w:p>
            <w:pPr>
              <w:pStyle w:val="TableParagraph"/>
              <w:spacing w:before="20"/>
              <w:ind w:left="2"/>
              <w:jc w:val="center"/>
              <w:rPr>
                <w:rFonts w:ascii="Calibri"/>
                <w:sz w:val="22"/>
              </w:rPr>
            </w:pPr>
            <w:r>
              <w:rPr>
                <w:rFonts w:ascii="Calibri"/>
                <w:sz w:val="22"/>
              </w:rPr>
              <w:t>4</w:t>
            </w:r>
          </w:p>
        </w:tc>
        <w:tc>
          <w:tcPr>
            <w:tcW w:w="1198" w:type="dxa"/>
            <w:tcBorders>
              <w:left w:val="single" w:sz="3" w:space="0" w:color="000000"/>
              <w:bottom w:val="single" w:sz="3" w:space="0" w:color="000000"/>
            </w:tcBorders>
          </w:tcPr>
          <w:p>
            <w:pPr>
              <w:pStyle w:val="TableParagraph"/>
              <w:spacing w:before="20"/>
              <w:ind w:right="53"/>
              <w:jc w:val="right"/>
              <w:rPr>
                <w:rFonts w:ascii="Calibri"/>
                <w:sz w:val="22"/>
              </w:rPr>
            </w:pPr>
            <w:r>
              <w:rPr>
                <w:rFonts w:ascii="Calibri"/>
                <w:sz w:val="22"/>
              </w:rPr>
              <w:t>0.13333333</w:t>
            </w:r>
          </w:p>
        </w:tc>
      </w:tr>
      <w:tr>
        <w:trPr>
          <w:trHeight w:val="612" w:hRule="exact"/>
        </w:trPr>
        <w:tc>
          <w:tcPr>
            <w:tcW w:w="1675" w:type="dxa"/>
            <w:vMerge/>
            <w:tcBorders>
              <w:right w:val="single" w:sz="3" w:space="0" w:color="000000"/>
            </w:tcBorders>
          </w:tcPr>
          <w:p>
            <w:pPr/>
          </w:p>
        </w:tc>
        <w:tc>
          <w:tcPr>
            <w:tcW w:w="1268" w:type="dxa"/>
            <w:vMerge/>
            <w:tcBorders>
              <w:left w:val="single" w:sz="3" w:space="0" w:color="000000"/>
              <w:right w:val="single" w:sz="3" w:space="0" w:color="000000"/>
            </w:tcBorders>
          </w:tcPr>
          <w:p>
            <w:pPr/>
          </w:p>
        </w:tc>
        <w:tc>
          <w:tcPr>
            <w:tcW w:w="1268" w:type="dxa"/>
            <w:tcBorders>
              <w:top w:val="single" w:sz="3" w:space="0" w:color="000000"/>
              <w:left w:val="single" w:sz="3" w:space="0" w:color="000000"/>
              <w:bottom w:val="single" w:sz="3" w:space="0" w:color="000000"/>
              <w:right w:val="single" w:sz="3" w:space="0" w:color="000000"/>
            </w:tcBorders>
          </w:tcPr>
          <w:p>
            <w:pPr>
              <w:pStyle w:val="TableParagraph"/>
              <w:spacing w:before="166"/>
              <w:ind w:left="45" w:right="42"/>
              <w:jc w:val="center"/>
              <w:rPr>
                <w:rFonts w:ascii="Calibri"/>
                <w:sz w:val="22"/>
              </w:rPr>
            </w:pPr>
            <w:r>
              <w:rPr>
                <w:rFonts w:ascii="Calibri"/>
                <w:sz w:val="22"/>
              </w:rPr>
              <w:t>0.33</w:t>
            </w:r>
          </w:p>
        </w:tc>
        <w:tc>
          <w:tcPr>
            <w:tcW w:w="2083" w:type="dxa"/>
            <w:tcBorders>
              <w:top w:val="single" w:sz="3" w:space="0" w:color="000000"/>
              <w:left w:val="single" w:sz="3" w:space="0" w:color="000000"/>
              <w:bottom w:val="single" w:sz="3" w:space="0" w:color="000000"/>
            </w:tcBorders>
          </w:tcPr>
          <w:p>
            <w:pPr>
              <w:pStyle w:val="TableParagraph"/>
              <w:spacing w:before="34"/>
              <w:ind w:left="591" w:right="419" w:hanging="144"/>
              <w:rPr>
                <w:rFonts w:ascii="Calibri" w:hAnsi="Calibri"/>
                <w:sz w:val="22"/>
              </w:rPr>
            </w:pPr>
            <w:r>
              <w:rPr>
                <w:rFonts w:ascii="Calibri" w:hAnsi="Calibri"/>
                <w:sz w:val="22"/>
              </w:rPr>
              <w:t>Respiratorios Orgánicos</w:t>
            </w:r>
          </w:p>
        </w:tc>
        <w:tc>
          <w:tcPr>
            <w:tcW w:w="1010" w:type="dxa"/>
            <w:tcBorders>
              <w:top w:val="single" w:sz="3" w:space="0" w:color="000000"/>
              <w:bottom w:val="single" w:sz="3" w:space="0" w:color="000000"/>
              <w:right w:val="single" w:sz="3" w:space="0" w:color="000000"/>
            </w:tcBorders>
          </w:tcPr>
          <w:p>
            <w:pPr>
              <w:pStyle w:val="TableParagraph"/>
              <w:spacing w:before="166"/>
              <w:ind w:right="2"/>
              <w:jc w:val="center"/>
              <w:rPr>
                <w:rFonts w:ascii="Calibri"/>
                <w:sz w:val="22"/>
              </w:rPr>
            </w:pPr>
            <w:r>
              <w:rPr>
                <w:rFonts w:ascii="Calibri"/>
                <w:sz w:val="22"/>
              </w:rPr>
              <w:t>1</w:t>
            </w:r>
          </w:p>
        </w:tc>
        <w:tc>
          <w:tcPr>
            <w:tcW w:w="1157" w:type="dxa"/>
            <w:tcBorders>
              <w:top w:val="single" w:sz="3" w:space="0" w:color="000000"/>
              <w:left w:val="single" w:sz="3" w:space="0" w:color="000000"/>
              <w:bottom w:val="single" w:sz="3" w:space="0" w:color="000000"/>
              <w:right w:val="single" w:sz="3" w:space="0" w:color="000000"/>
            </w:tcBorders>
          </w:tcPr>
          <w:p>
            <w:pPr>
              <w:pStyle w:val="TableParagraph"/>
              <w:spacing w:before="166"/>
              <w:ind w:left="4"/>
              <w:jc w:val="center"/>
              <w:rPr>
                <w:rFonts w:ascii="Calibri"/>
                <w:sz w:val="22"/>
              </w:rPr>
            </w:pPr>
            <w:r>
              <w:rPr>
                <w:rFonts w:ascii="Calibri"/>
                <w:sz w:val="22"/>
              </w:rPr>
              <w:t>0</w:t>
            </w:r>
          </w:p>
        </w:tc>
        <w:tc>
          <w:tcPr>
            <w:tcW w:w="1198" w:type="dxa"/>
            <w:tcBorders>
              <w:top w:val="single" w:sz="3" w:space="0" w:color="000000"/>
              <w:left w:val="single" w:sz="3" w:space="0" w:color="000000"/>
              <w:bottom w:val="single" w:sz="3" w:space="0" w:color="000000"/>
            </w:tcBorders>
          </w:tcPr>
          <w:p>
            <w:pPr>
              <w:pStyle w:val="TableParagraph"/>
              <w:spacing w:before="166"/>
              <w:ind w:left="7"/>
              <w:jc w:val="center"/>
              <w:rPr>
                <w:rFonts w:ascii="Calibri"/>
                <w:sz w:val="22"/>
              </w:rPr>
            </w:pPr>
            <w:r>
              <w:rPr>
                <w:rFonts w:ascii="Calibri"/>
                <w:sz w:val="22"/>
              </w:rPr>
              <w:t>0</w:t>
            </w:r>
          </w:p>
        </w:tc>
        <w:tc>
          <w:tcPr>
            <w:tcW w:w="1082" w:type="dxa"/>
            <w:tcBorders>
              <w:top w:val="single" w:sz="3" w:space="0" w:color="000000"/>
              <w:bottom w:val="single" w:sz="3" w:space="0" w:color="000000"/>
              <w:right w:val="single" w:sz="3" w:space="0" w:color="000000"/>
            </w:tcBorders>
          </w:tcPr>
          <w:p>
            <w:pPr>
              <w:pStyle w:val="TableParagraph"/>
              <w:spacing w:before="166"/>
              <w:ind w:left="173" w:right="174"/>
              <w:jc w:val="center"/>
              <w:rPr>
                <w:rFonts w:ascii="Calibri"/>
                <w:sz w:val="22"/>
              </w:rPr>
            </w:pPr>
            <w:r>
              <w:rPr>
                <w:rFonts w:ascii="Calibri"/>
                <w:sz w:val="22"/>
              </w:rPr>
              <w:t>0.5</w:t>
            </w:r>
          </w:p>
        </w:tc>
        <w:tc>
          <w:tcPr>
            <w:tcW w:w="1157" w:type="dxa"/>
            <w:tcBorders>
              <w:top w:val="single" w:sz="3" w:space="0" w:color="000000"/>
              <w:left w:val="single" w:sz="3" w:space="0" w:color="000000"/>
              <w:bottom w:val="single" w:sz="3" w:space="0" w:color="000000"/>
              <w:right w:val="single" w:sz="3" w:space="0" w:color="000000"/>
            </w:tcBorders>
          </w:tcPr>
          <w:p>
            <w:pPr>
              <w:pStyle w:val="TableParagraph"/>
              <w:spacing w:before="166"/>
              <w:ind w:left="2"/>
              <w:jc w:val="center"/>
              <w:rPr>
                <w:rFonts w:ascii="Calibri"/>
                <w:sz w:val="22"/>
              </w:rPr>
            </w:pPr>
            <w:r>
              <w:rPr>
                <w:rFonts w:ascii="Calibri"/>
                <w:sz w:val="22"/>
              </w:rPr>
              <w:t>5</w:t>
            </w:r>
          </w:p>
        </w:tc>
        <w:tc>
          <w:tcPr>
            <w:tcW w:w="1198" w:type="dxa"/>
            <w:tcBorders>
              <w:top w:val="single" w:sz="3" w:space="0" w:color="000000"/>
              <w:left w:val="single" w:sz="3" w:space="0" w:color="000000"/>
              <w:bottom w:val="single" w:sz="3" w:space="0" w:color="000000"/>
            </w:tcBorders>
          </w:tcPr>
          <w:p>
            <w:pPr>
              <w:pStyle w:val="TableParagraph"/>
              <w:spacing w:before="166"/>
              <w:ind w:left="432" w:right="432"/>
              <w:jc w:val="center"/>
              <w:rPr>
                <w:rFonts w:ascii="Calibri"/>
                <w:sz w:val="22"/>
              </w:rPr>
            </w:pPr>
            <w:r>
              <w:rPr>
                <w:rFonts w:ascii="Calibri"/>
                <w:sz w:val="22"/>
              </w:rPr>
              <w:t>0.4</w:t>
            </w:r>
          </w:p>
        </w:tc>
      </w:tr>
      <w:tr>
        <w:trPr>
          <w:trHeight w:val="625" w:hRule="exact"/>
        </w:trPr>
        <w:tc>
          <w:tcPr>
            <w:tcW w:w="1675" w:type="dxa"/>
            <w:vMerge/>
            <w:tcBorders>
              <w:bottom w:val="single" w:sz="3" w:space="0" w:color="000000"/>
              <w:right w:val="single" w:sz="3" w:space="0" w:color="000000"/>
            </w:tcBorders>
          </w:tcPr>
          <w:p>
            <w:pPr/>
          </w:p>
        </w:tc>
        <w:tc>
          <w:tcPr>
            <w:tcW w:w="1268" w:type="dxa"/>
            <w:vMerge/>
            <w:tcBorders>
              <w:left w:val="single" w:sz="3" w:space="0" w:color="000000"/>
              <w:bottom w:val="single" w:sz="3" w:space="0" w:color="000000"/>
              <w:right w:val="single" w:sz="3" w:space="0" w:color="000000"/>
            </w:tcBorders>
          </w:tcPr>
          <w:p>
            <w:pPr/>
          </w:p>
        </w:tc>
        <w:tc>
          <w:tcPr>
            <w:tcW w:w="1268" w:type="dxa"/>
            <w:tcBorders>
              <w:top w:val="single" w:sz="3" w:space="0" w:color="000000"/>
              <w:left w:val="single" w:sz="3" w:space="0" w:color="000000"/>
              <w:bottom w:val="single" w:sz="3" w:space="0" w:color="000000"/>
              <w:right w:val="single" w:sz="3" w:space="0" w:color="000000"/>
            </w:tcBorders>
          </w:tcPr>
          <w:p>
            <w:pPr>
              <w:pStyle w:val="TableParagraph"/>
              <w:spacing w:before="174"/>
              <w:ind w:left="45" w:right="42"/>
              <w:jc w:val="center"/>
              <w:rPr>
                <w:rFonts w:ascii="Calibri"/>
                <w:sz w:val="22"/>
              </w:rPr>
            </w:pPr>
            <w:r>
              <w:rPr>
                <w:rFonts w:ascii="Calibri"/>
                <w:sz w:val="22"/>
              </w:rPr>
              <w:t>0.33</w:t>
            </w:r>
          </w:p>
        </w:tc>
        <w:tc>
          <w:tcPr>
            <w:tcW w:w="2083" w:type="dxa"/>
            <w:tcBorders>
              <w:top w:val="single" w:sz="3" w:space="0" w:color="000000"/>
              <w:left w:val="single" w:sz="3" w:space="0" w:color="000000"/>
              <w:bottom w:val="single" w:sz="3" w:space="0" w:color="000000"/>
            </w:tcBorders>
          </w:tcPr>
          <w:p>
            <w:pPr>
              <w:pStyle w:val="TableParagraph"/>
              <w:spacing w:before="38"/>
              <w:ind w:left="524" w:right="418" w:hanging="76"/>
              <w:rPr>
                <w:rFonts w:ascii="Calibri" w:hAnsi="Calibri"/>
                <w:sz w:val="22"/>
              </w:rPr>
            </w:pPr>
            <w:r>
              <w:rPr>
                <w:rFonts w:ascii="Calibri" w:hAnsi="Calibri"/>
                <w:sz w:val="22"/>
              </w:rPr>
              <w:t>Respiratorios Inorgánicos</w:t>
            </w:r>
          </w:p>
        </w:tc>
        <w:tc>
          <w:tcPr>
            <w:tcW w:w="1010" w:type="dxa"/>
            <w:tcBorders>
              <w:top w:val="single" w:sz="3" w:space="0" w:color="000000"/>
              <w:right w:val="single" w:sz="3" w:space="0" w:color="000000"/>
            </w:tcBorders>
          </w:tcPr>
          <w:p>
            <w:pPr>
              <w:pStyle w:val="TableParagraph"/>
              <w:spacing w:before="174"/>
              <w:ind w:right="2"/>
              <w:jc w:val="center"/>
              <w:rPr>
                <w:rFonts w:ascii="Calibri"/>
                <w:sz w:val="22"/>
              </w:rPr>
            </w:pPr>
            <w:r>
              <w:rPr>
                <w:rFonts w:ascii="Calibri"/>
                <w:sz w:val="22"/>
              </w:rPr>
              <w:t>1</w:t>
            </w:r>
          </w:p>
        </w:tc>
        <w:tc>
          <w:tcPr>
            <w:tcW w:w="1157" w:type="dxa"/>
            <w:tcBorders>
              <w:top w:val="single" w:sz="3" w:space="0" w:color="000000"/>
              <w:left w:val="single" w:sz="3" w:space="0" w:color="000000"/>
              <w:right w:val="single" w:sz="3" w:space="0" w:color="000000"/>
            </w:tcBorders>
          </w:tcPr>
          <w:p>
            <w:pPr>
              <w:pStyle w:val="TableParagraph"/>
              <w:spacing w:before="174"/>
              <w:ind w:left="4"/>
              <w:jc w:val="center"/>
              <w:rPr>
                <w:rFonts w:ascii="Calibri"/>
                <w:sz w:val="22"/>
              </w:rPr>
            </w:pPr>
            <w:r>
              <w:rPr>
                <w:rFonts w:ascii="Calibri"/>
                <w:sz w:val="22"/>
              </w:rPr>
              <w:t>0</w:t>
            </w:r>
          </w:p>
        </w:tc>
        <w:tc>
          <w:tcPr>
            <w:tcW w:w="1198" w:type="dxa"/>
            <w:tcBorders>
              <w:top w:val="single" w:sz="3" w:space="0" w:color="000000"/>
              <w:left w:val="single" w:sz="3" w:space="0" w:color="000000"/>
            </w:tcBorders>
          </w:tcPr>
          <w:p>
            <w:pPr>
              <w:pStyle w:val="TableParagraph"/>
              <w:spacing w:before="174"/>
              <w:ind w:left="7"/>
              <w:jc w:val="center"/>
              <w:rPr>
                <w:rFonts w:ascii="Calibri"/>
                <w:sz w:val="22"/>
              </w:rPr>
            </w:pPr>
            <w:r>
              <w:rPr>
                <w:rFonts w:ascii="Calibri"/>
                <w:sz w:val="22"/>
              </w:rPr>
              <w:t>0</w:t>
            </w:r>
          </w:p>
        </w:tc>
        <w:tc>
          <w:tcPr>
            <w:tcW w:w="1082" w:type="dxa"/>
            <w:tcBorders>
              <w:top w:val="single" w:sz="3" w:space="0" w:color="000000"/>
              <w:right w:val="single" w:sz="3" w:space="0" w:color="000000"/>
            </w:tcBorders>
          </w:tcPr>
          <w:p>
            <w:pPr>
              <w:pStyle w:val="TableParagraph"/>
              <w:spacing w:before="174"/>
              <w:ind w:left="173" w:right="174"/>
              <w:jc w:val="center"/>
              <w:rPr>
                <w:rFonts w:ascii="Calibri"/>
                <w:sz w:val="22"/>
              </w:rPr>
            </w:pPr>
            <w:r>
              <w:rPr>
                <w:rFonts w:ascii="Calibri"/>
                <w:sz w:val="22"/>
              </w:rPr>
              <w:t>0.9</w:t>
            </w:r>
          </w:p>
        </w:tc>
        <w:tc>
          <w:tcPr>
            <w:tcW w:w="1157" w:type="dxa"/>
            <w:tcBorders>
              <w:top w:val="single" w:sz="3" w:space="0" w:color="000000"/>
              <w:left w:val="single" w:sz="3" w:space="0" w:color="000000"/>
              <w:right w:val="single" w:sz="3" w:space="0" w:color="000000"/>
            </w:tcBorders>
          </w:tcPr>
          <w:p>
            <w:pPr>
              <w:pStyle w:val="TableParagraph"/>
              <w:spacing w:before="174"/>
              <w:ind w:left="2"/>
              <w:jc w:val="center"/>
              <w:rPr>
                <w:rFonts w:ascii="Calibri"/>
                <w:sz w:val="22"/>
              </w:rPr>
            </w:pPr>
            <w:r>
              <w:rPr>
                <w:rFonts w:ascii="Calibri"/>
                <w:sz w:val="22"/>
              </w:rPr>
              <w:t>1</w:t>
            </w:r>
          </w:p>
        </w:tc>
        <w:tc>
          <w:tcPr>
            <w:tcW w:w="1198" w:type="dxa"/>
            <w:tcBorders>
              <w:top w:val="single" w:sz="3" w:space="0" w:color="000000"/>
              <w:left w:val="single" w:sz="3" w:space="0" w:color="000000"/>
            </w:tcBorders>
          </w:tcPr>
          <w:p>
            <w:pPr>
              <w:pStyle w:val="TableParagraph"/>
              <w:spacing w:before="174"/>
              <w:ind w:left="432" w:right="432"/>
              <w:jc w:val="center"/>
              <w:rPr>
                <w:rFonts w:ascii="Calibri"/>
                <w:sz w:val="22"/>
              </w:rPr>
            </w:pPr>
            <w:r>
              <w:rPr>
                <w:rFonts w:ascii="Calibri"/>
                <w:sz w:val="22"/>
              </w:rPr>
              <w:t>0.4</w:t>
            </w:r>
          </w:p>
        </w:tc>
      </w:tr>
      <w:tr>
        <w:trPr>
          <w:trHeight w:val="636" w:hRule="exact"/>
        </w:trPr>
        <w:tc>
          <w:tcPr>
            <w:tcW w:w="1675" w:type="dxa"/>
            <w:tcBorders>
              <w:top w:val="single" w:sz="3" w:space="0" w:color="000000"/>
              <w:bottom w:val="single" w:sz="3" w:space="0" w:color="000000"/>
              <w:right w:val="single" w:sz="3" w:space="0" w:color="000000"/>
            </w:tcBorders>
          </w:tcPr>
          <w:p>
            <w:pPr>
              <w:pStyle w:val="TableParagraph"/>
              <w:spacing w:before="182"/>
              <w:ind w:left="363" w:right="363"/>
              <w:jc w:val="center"/>
              <w:rPr>
                <w:rFonts w:ascii="Calibri"/>
                <w:sz w:val="22"/>
              </w:rPr>
            </w:pPr>
            <w:r>
              <w:rPr>
                <w:rFonts w:ascii="Calibri"/>
                <w:sz w:val="22"/>
              </w:rPr>
              <w:t>Costo</w:t>
            </w:r>
          </w:p>
        </w:tc>
        <w:tc>
          <w:tcPr>
            <w:tcW w:w="1268" w:type="dxa"/>
            <w:tcBorders>
              <w:top w:val="single" w:sz="3" w:space="0" w:color="000000"/>
              <w:left w:val="single" w:sz="3" w:space="0" w:color="000000"/>
              <w:bottom w:val="single" w:sz="3" w:space="0" w:color="000000"/>
              <w:right w:val="single" w:sz="3" w:space="0" w:color="000000"/>
            </w:tcBorders>
          </w:tcPr>
          <w:p>
            <w:pPr>
              <w:pStyle w:val="TableParagraph"/>
              <w:spacing w:before="182"/>
              <w:ind w:left="46" w:right="42"/>
              <w:jc w:val="center"/>
              <w:rPr>
                <w:rFonts w:ascii="Calibri"/>
                <w:sz w:val="22"/>
              </w:rPr>
            </w:pPr>
            <w:r>
              <w:rPr>
                <w:rFonts w:ascii="Calibri"/>
                <w:sz w:val="22"/>
              </w:rPr>
              <w:t>0.10</w:t>
            </w:r>
          </w:p>
        </w:tc>
        <w:tc>
          <w:tcPr>
            <w:tcW w:w="1268" w:type="dxa"/>
            <w:tcBorders>
              <w:top w:val="single" w:sz="3" w:space="0" w:color="000000"/>
              <w:left w:val="single" w:sz="3" w:space="0" w:color="000000"/>
              <w:bottom w:val="single" w:sz="3" w:space="0" w:color="000000"/>
              <w:right w:val="single" w:sz="3" w:space="0" w:color="000000"/>
            </w:tcBorders>
          </w:tcPr>
          <w:p>
            <w:pPr>
              <w:pStyle w:val="TableParagraph"/>
              <w:spacing w:before="182"/>
              <w:ind w:left="45" w:right="42"/>
              <w:jc w:val="center"/>
              <w:rPr>
                <w:rFonts w:ascii="Calibri"/>
                <w:sz w:val="22"/>
              </w:rPr>
            </w:pPr>
            <w:r>
              <w:rPr>
                <w:rFonts w:ascii="Calibri"/>
                <w:sz w:val="22"/>
              </w:rPr>
              <w:t>1.00</w:t>
            </w:r>
          </w:p>
        </w:tc>
        <w:tc>
          <w:tcPr>
            <w:tcW w:w="2083" w:type="dxa"/>
            <w:tcBorders>
              <w:top w:val="single" w:sz="3" w:space="0" w:color="000000"/>
              <w:left w:val="single" w:sz="3" w:space="0" w:color="000000"/>
              <w:bottom w:val="single" w:sz="3" w:space="0" w:color="000000"/>
            </w:tcBorders>
          </w:tcPr>
          <w:p>
            <w:pPr>
              <w:pStyle w:val="TableParagraph"/>
              <w:spacing w:before="182"/>
              <w:ind w:left="88" w:right="79"/>
              <w:jc w:val="center"/>
              <w:rPr>
                <w:rFonts w:ascii="Calibri" w:hAnsi="Calibri"/>
                <w:sz w:val="22"/>
              </w:rPr>
            </w:pPr>
            <w:r>
              <w:rPr>
                <w:rFonts w:ascii="Calibri" w:hAnsi="Calibri"/>
                <w:sz w:val="22"/>
              </w:rPr>
              <w:t>Costo de Fabricación</w:t>
            </w:r>
          </w:p>
        </w:tc>
        <w:tc>
          <w:tcPr>
            <w:tcW w:w="1010" w:type="dxa"/>
            <w:tcBorders>
              <w:right w:val="single" w:sz="3" w:space="0" w:color="000000"/>
            </w:tcBorders>
          </w:tcPr>
          <w:p>
            <w:pPr>
              <w:pStyle w:val="TableParagraph"/>
              <w:spacing w:before="176"/>
              <w:ind w:left="132" w:right="138"/>
              <w:jc w:val="center"/>
              <w:rPr>
                <w:rFonts w:ascii="Calibri"/>
                <w:sz w:val="22"/>
              </w:rPr>
            </w:pPr>
            <w:r>
              <w:rPr>
                <w:rFonts w:ascii="Calibri"/>
                <w:sz w:val="22"/>
              </w:rPr>
              <w:t>Caro</w:t>
            </w:r>
          </w:p>
        </w:tc>
        <w:tc>
          <w:tcPr>
            <w:tcW w:w="1157" w:type="dxa"/>
            <w:tcBorders>
              <w:left w:val="single" w:sz="3" w:space="0" w:color="000000"/>
              <w:right w:val="single" w:sz="3" w:space="0" w:color="000000"/>
            </w:tcBorders>
          </w:tcPr>
          <w:p>
            <w:pPr>
              <w:pStyle w:val="TableParagraph"/>
              <w:spacing w:before="176"/>
              <w:ind w:left="4"/>
              <w:jc w:val="center"/>
              <w:rPr>
                <w:rFonts w:ascii="Calibri"/>
                <w:sz w:val="22"/>
              </w:rPr>
            </w:pPr>
            <w:r>
              <w:rPr>
                <w:rFonts w:ascii="Calibri"/>
                <w:sz w:val="22"/>
              </w:rPr>
              <w:t>1</w:t>
            </w:r>
          </w:p>
        </w:tc>
        <w:tc>
          <w:tcPr>
            <w:tcW w:w="1198" w:type="dxa"/>
            <w:tcBorders>
              <w:left w:val="single" w:sz="3" w:space="0" w:color="000000"/>
            </w:tcBorders>
          </w:tcPr>
          <w:p>
            <w:pPr>
              <w:pStyle w:val="TableParagraph"/>
              <w:spacing w:before="176"/>
              <w:ind w:left="42" w:right="35"/>
              <w:jc w:val="center"/>
              <w:rPr>
                <w:rFonts w:ascii="Calibri"/>
                <w:sz w:val="22"/>
              </w:rPr>
            </w:pPr>
            <w:r>
              <w:rPr>
                <w:rFonts w:ascii="Calibri"/>
                <w:sz w:val="22"/>
              </w:rPr>
              <w:t>0.1</w:t>
            </w:r>
          </w:p>
        </w:tc>
        <w:tc>
          <w:tcPr>
            <w:tcW w:w="1082" w:type="dxa"/>
            <w:tcBorders>
              <w:right w:val="single" w:sz="3" w:space="0" w:color="000000"/>
            </w:tcBorders>
          </w:tcPr>
          <w:p>
            <w:pPr>
              <w:pStyle w:val="TableParagraph"/>
              <w:spacing w:before="176"/>
              <w:ind w:left="173" w:right="174"/>
              <w:jc w:val="center"/>
              <w:rPr>
                <w:rFonts w:ascii="Calibri"/>
                <w:sz w:val="22"/>
              </w:rPr>
            </w:pPr>
            <w:r>
              <w:rPr>
                <w:rFonts w:ascii="Calibri"/>
                <w:sz w:val="22"/>
              </w:rPr>
              <w:t>Regular</w:t>
            </w:r>
          </w:p>
        </w:tc>
        <w:tc>
          <w:tcPr>
            <w:tcW w:w="1157" w:type="dxa"/>
            <w:tcBorders>
              <w:left w:val="single" w:sz="3" w:space="0" w:color="000000"/>
              <w:right w:val="single" w:sz="3" w:space="0" w:color="000000"/>
            </w:tcBorders>
          </w:tcPr>
          <w:p>
            <w:pPr>
              <w:pStyle w:val="TableParagraph"/>
              <w:spacing w:before="176"/>
              <w:ind w:left="2"/>
              <w:jc w:val="center"/>
              <w:rPr>
                <w:rFonts w:ascii="Calibri"/>
                <w:sz w:val="22"/>
              </w:rPr>
            </w:pPr>
            <w:r>
              <w:rPr>
                <w:rFonts w:ascii="Calibri"/>
                <w:sz w:val="22"/>
              </w:rPr>
              <w:t>2</w:t>
            </w:r>
          </w:p>
        </w:tc>
        <w:tc>
          <w:tcPr>
            <w:tcW w:w="1198" w:type="dxa"/>
            <w:tcBorders>
              <w:left w:val="single" w:sz="3" w:space="0" w:color="000000"/>
            </w:tcBorders>
          </w:tcPr>
          <w:p>
            <w:pPr>
              <w:pStyle w:val="TableParagraph"/>
              <w:spacing w:before="176"/>
              <w:ind w:left="432" w:right="432"/>
              <w:jc w:val="center"/>
              <w:rPr>
                <w:rFonts w:ascii="Calibri"/>
                <w:sz w:val="22"/>
              </w:rPr>
            </w:pPr>
            <w:r>
              <w:rPr>
                <w:rFonts w:ascii="Calibri"/>
                <w:sz w:val="22"/>
              </w:rPr>
              <w:t>0.2</w:t>
            </w:r>
          </w:p>
        </w:tc>
      </w:tr>
      <w:tr>
        <w:trPr>
          <w:trHeight w:val="921" w:hRule="exact"/>
        </w:trPr>
        <w:tc>
          <w:tcPr>
            <w:tcW w:w="1675" w:type="dxa"/>
            <w:vMerge w:val="restart"/>
            <w:tcBorders>
              <w:top w:val="single" w:sz="3" w:space="0" w:color="000000"/>
              <w:right w:val="single" w:sz="3" w:space="0" w:color="000000"/>
            </w:tcBorders>
          </w:tcPr>
          <w:p>
            <w:pPr>
              <w:pStyle w:val="TableParagraph"/>
              <w:rPr>
                <w:sz w:val="22"/>
              </w:rPr>
            </w:pPr>
          </w:p>
          <w:p>
            <w:pPr>
              <w:pStyle w:val="TableParagraph"/>
              <w:rPr>
                <w:sz w:val="22"/>
              </w:rPr>
            </w:pPr>
          </w:p>
          <w:p>
            <w:pPr>
              <w:pStyle w:val="TableParagraph"/>
              <w:spacing w:before="1"/>
              <w:rPr>
                <w:sz w:val="25"/>
              </w:rPr>
            </w:pPr>
          </w:p>
          <w:p>
            <w:pPr>
              <w:pStyle w:val="TableParagraph"/>
              <w:ind w:left="475" w:right="145"/>
              <w:rPr>
                <w:rFonts w:ascii="Calibri" w:hAnsi="Calibri"/>
                <w:sz w:val="22"/>
              </w:rPr>
            </w:pPr>
            <w:r>
              <w:rPr>
                <w:rFonts w:ascii="Calibri" w:hAnsi="Calibri"/>
                <w:sz w:val="22"/>
              </w:rPr>
              <w:t>Función</w:t>
            </w:r>
          </w:p>
        </w:tc>
        <w:tc>
          <w:tcPr>
            <w:tcW w:w="1268" w:type="dxa"/>
            <w:vMerge w:val="restart"/>
            <w:tcBorders>
              <w:top w:val="single" w:sz="3" w:space="0" w:color="000000"/>
              <w:left w:val="single" w:sz="3" w:space="0" w:color="000000"/>
              <w:right w:val="single" w:sz="3" w:space="0" w:color="000000"/>
            </w:tcBorders>
          </w:tcPr>
          <w:p>
            <w:pPr>
              <w:pStyle w:val="TableParagraph"/>
              <w:rPr>
                <w:sz w:val="22"/>
              </w:rPr>
            </w:pPr>
          </w:p>
          <w:p>
            <w:pPr>
              <w:pStyle w:val="TableParagraph"/>
              <w:rPr>
                <w:sz w:val="22"/>
              </w:rPr>
            </w:pPr>
          </w:p>
          <w:p>
            <w:pPr>
              <w:pStyle w:val="TableParagraph"/>
              <w:spacing w:before="1"/>
              <w:rPr>
                <w:sz w:val="25"/>
              </w:rPr>
            </w:pPr>
          </w:p>
          <w:p>
            <w:pPr>
              <w:pStyle w:val="TableParagraph"/>
              <w:ind w:left="46" w:right="42"/>
              <w:jc w:val="center"/>
              <w:rPr>
                <w:rFonts w:ascii="Calibri"/>
                <w:sz w:val="22"/>
              </w:rPr>
            </w:pPr>
            <w:r>
              <w:rPr>
                <w:rFonts w:ascii="Calibri"/>
                <w:sz w:val="22"/>
              </w:rPr>
              <w:t>0.10</w:t>
            </w:r>
          </w:p>
        </w:tc>
        <w:tc>
          <w:tcPr>
            <w:tcW w:w="1268" w:type="dxa"/>
            <w:tcBorders>
              <w:top w:val="single" w:sz="3" w:space="0" w:color="000000"/>
              <w:left w:val="single" w:sz="3" w:space="0" w:color="000000"/>
              <w:bottom w:val="single" w:sz="3" w:space="0" w:color="000000"/>
              <w:right w:val="single" w:sz="3" w:space="0" w:color="000000"/>
            </w:tcBorders>
          </w:tcPr>
          <w:p>
            <w:pPr>
              <w:pStyle w:val="TableParagraph"/>
              <w:spacing w:before="4"/>
              <w:rPr>
                <w:sz w:val="28"/>
              </w:rPr>
            </w:pPr>
          </w:p>
          <w:p>
            <w:pPr>
              <w:pStyle w:val="TableParagraph"/>
              <w:ind w:left="45" w:right="42"/>
              <w:jc w:val="center"/>
              <w:rPr>
                <w:rFonts w:ascii="Calibri"/>
                <w:sz w:val="22"/>
              </w:rPr>
            </w:pPr>
            <w:r>
              <w:rPr>
                <w:rFonts w:ascii="Calibri"/>
                <w:sz w:val="22"/>
              </w:rPr>
              <w:t>0.33</w:t>
            </w:r>
          </w:p>
        </w:tc>
        <w:tc>
          <w:tcPr>
            <w:tcW w:w="2083" w:type="dxa"/>
            <w:tcBorders>
              <w:top w:val="single" w:sz="3" w:space="0" w:color="000000"/>
              <w:left w:val="single" w:sz="3" w:space="0" w:color="000000"/>
              <w:bottom w:val="single" w:sz="3" w:space="0" w:color="000000"/>
            </w:tcBorders>
          </w:tcPr>
          <w:p>
            <w:pPr>
              <w:pStyle w:val="TableParagraph"/>
              <w:spacing w:before="190"/>
              <w:ind w:left="636" w:hanging="452"/>
              <w:rPr>
                <w:rFonts w:ascii="Calibri"/>
                <w:sz w:val="22"/>
              </w:rPr>
            </w:pPr>
            <w:r>
              <w:rPr>
                <w:rFonts w:ascii="Calibri"/>
                <w:sz w:val="22"/>
              </w:rPr>
              <w:t>Exactitud Trasladar Volumen</w:t>
            </w:r>
          </w:p>
        </w:tc>
        <w:tc>
          <w:tcPr>
            <w:tcW w:w="1010" w:type="dxa"/>
            <w:tcBorders>
              <w:bottom w:val="single" w:sz="3" w:space="0" w:color="000000"/>
              <w:right w:val="single" w:sz="3" w:space="0" w:color="000000"/>
            </w:tcBorders>
          </w:tcPr>
          <w:p>
            <w:pPr>
              <w:pStyle w:val="TableParagraph"/>
              <w:spacing w:before="10"/>
              <w:rPr>
                <w:sz w:val="27"/>
              </w:rPr>
            </w:pPr>
          </w:p>
          <w:p>
            <w:pPr>
              <w:pStyle w:val="TableParagraph"/>
              <w:ind w:left="137" w:right="138"/>
              <w:jc w:val="center"/>
              <w:rPr>
                <w:rFonts w:ascii="Calibri"/>
                <w:sz w:val="22"/>
              </w:rPr>
            </w:pPr>
            <w:r>
              <w:rPr>
                <w:rFonts w:ascii="Calibri"/>
                <w:sz w:val="22"/>
              </w:rPr>
              <w:t>Regular</w:t>
            </w:r>
          </w:p>
        </w:tc>
        <w:tc>
          <w:tcPr>
            <w:tcW w:w="1157" w:type="dxa"/>
            <w:tcBorders>
              <w:left w:val="single" w:sz="3" w:space="0" w:color="000000"/>
              <w:bottom w:val="single" w:sz="3" w:space="0" w:color="000000"/>
              <w:right w:val="single" w:sz="3" w:space="0" w:color="000000"/>
            </w:tcBorders>
          </w:tcPr>
          <w:p>
            <w:pPr>
              <w:pStyle w:val="TableParagraph"/>
              <w:spacing w:before="10"/>
              <w:rPr>
                <w:sz w:val="27"/>
              </w:rPr>
            </w:pPr>
          </w:p>
          <w:p>
            <w:pPr>
              <w:pStyle w:val="TableParagraph"/>
              <w:ind w:left="4"/>
              <w:jc w:val="center"/>
              <w:rPr>
                <w:rFonts w:ascii="Calibri"/>
                <w:sz w:val="22"/>
              </w:rPr>
            </w:pPr>
            <w:r>
              <w:rPr>
                <w:rFonts w:ascii="Calibri"/>
                <w:sz w:val="22"/>
              </w:rPr>
              <w:t>3</w:t>
            </w:r>
          </w:p>
        </w:tc>
        <w:tc>
          <w:tcPr>
            <w:tcW w:w="1198" w:type="dxa"/>
            <w:tcBorders>
              <w:left w:val="single" w:sz="3" w:space="0" w:color="000000"/>
              <w:bottom w:val="single" w:sz="3" w:space="0" w:color="000000"/>
            </w:tcBorders>
          </w:tcPr>
          <w:p>
            <w:pPr>
              <w:pStyle w:val="TableParagraph"/>
              <w:spacing w:before="10"/>
              <w:rPr>
                <w:sz w:val="27"/>
              </w:rPr>
            </w:pPr>
          </w:p>
          <w:p>
            <w:pPr>
              <w:pStyle w:val="TableParagraph"/>
              <w:ind w:left="42" w:right="35"/>
              <w:jc w:val="center"/>
              <w:rPr>
                <w:rFonts w:ascii="Calibri"/>
                <w:sz w:val="22"/>
              </w:rPr>
            </w:pPr>
            <w:r>
              <w:rPr>
                <w:rFonts w:ascii="Calibri"/>
                <w:sz w:val="22"/>
              </w:rPr>
              <w:t>0.1</w:t>
            </w:r>
          </w:p>
        </w:tc>
        <w:tc>
          <w:tcPr>
            <w:tcW w:w="1082" w:type="dxa"/>
            <w:tcBorders>
              <w:bottom w:val="single" w:sz="3" w:space="0" w:color="000000"/>
              <w:right w:val="single" w:sz="3" w:space="0" w:color="000000"/>
            </w:tcBorders>
          </w:tcPr>
          <w:p>
            <w:pPr>
              <w:pStyle w:val="TableParagraph"/>
              <w:spacing w:before="184"/>
              <w:ind w:left="252" w:right="230" w:firstLine="80"/>
              <w:rPr>
                <w:rFonts w:ascii="Calibri"/>
                <w:sz w:val="22"/>
              </w:rPr>
            </w:pPr>
            <w:r>
              <w:rPr>
                <w:rFonts w:ascii="Calibri"/>
                <w:sz w:val="22"/>
              </w:rPr>
              <w:t>Muy Buena</w:t>
            </w:r>
          </w:p>
        </w:tc>
        <w:tc>
          <w:tcPr>
            <w:tcW w:w="1157" w:type="dxa"/>
            <w:tcBorders>
              <w:left w:val="single" w:sz="3" w:space="0" w:color="000000"/>
              <w:bottom w:val="single" w:sz="3" w:space="0" w:color="000000"/>
              <w:right w:val="single" w:sz="3" w:space="0" w:color="000000"/>
            </w:tcBorders>
          </w:tcPr>
          <w:p>
            <w:pPr>
              <w:pStyle w:val="TableParagraph"/>
              <w:spacing w:before="10"/>
              <w:rPr>
                <w:sz w:val="27"/>
              </w:rPr>
            </w:pPr>
          </w:p>
          <w:p>
            <w:pPr>
              <w:pStyle w:val="TableParagraph"/>
              <w:ind w:left="2"/>
              <w:jc w:val="center"/>
              <w:rPr>
                <w:rFonts w:ascii="Calibri"/>
                <w:sz w:val="22"/>
              </w:rPr>
            </w:pPr>
            <w:r>
              <w:rPr>
                <w:rFonts w:ascii="Calibri"/>
                <w:sz w:val="22"/>
              </w:rPr>
              <w:t>5</w:t>
            </w:r>
          </w:p>
        </w:tc>
        <w:tc>
          <w:tcPr>
            <w:tcW w:w="1198" w:type="dxa"/>
            <w:tcBorders>
              <w:left w:val="single" w:sz="3" w:space="0" w:color="000000"/>
              <w:bottom w:val="single" w:sz="3" w:space="0" w:color="000000"/>
            </w:tcBorders>
          </w:tcPr>
          <w:p>
            <w:pPr>
              <w:pStyle w:val="TableParagraph"/>
              <w:rPr>
                <w:sz w:val="22"/>
              </w:rPr>
            </w:pPr>
          </w:p>
          <w:p>
            <w:pPr>
              <w:pStyle w:val="TableParagraph"/>
              <w:rPr>
                <w:sz w:val="22"/>
              </w:rPr>
            </w:pPr>
          </w:p>
          <w:p>
            <w:pPr>
              <w:pStyle w:val="TableParagraph"/>
              <w:spacing w:before="131"/>
              <w:ind w:right="53"/>
              <w:jc w:val="right"/>
              <w:rPr>
                <w:rFonts w:ascii="Calibri"/>
                <w:sz w:val="22"/>
              </w:rPr>
            </w:pPr>
            <w:r>
              <w:rPr>
                <w:rFonts w:ascii="Calibri"/>
                <w:sz w:val="22"/>
              </w:rPr>
              <w:t>0.16666667</w:t>
            </w:r>
          </w:p>
        </w:tc>
      </w:tr>
      <w:tr>
        <w:trPr>
          <w:trHeight w:val="608" w:hRule="exact"/>
        </w:trPr>
        <w:tc>
          <w:tcPr>
            <w:tcW w:w="1675" w:type="dxa"/>
            <w:vMerge/>
            <w:tcBorders>
              <w:right w:val="single" w:sz="3" w:space="0" w:color="000000"/>
            </w:tcBorders>
          </w:tcPr>
          <w:p>
            <w:pPr/>
          </w:p>
        </w:tc>
        <w:tc>
          <w:tcPr>
            <w:tcW w:w="1268" w:type="dxa"/>
            <w:vMerge/>
            <w:tcBorders>
              <w:left w:val="single" w:sz="3" w:space="0" w:color="000000"/>
              <w:right w:val="single" w:sz="3" w:space="0" w:color="000000"/>
            </w:tcBorders>
          </w:tcPr>
          <w:p>
            <w:pPr/>
          </w:p>
        </w:tc>
        <w:tc>
          <w:tcPr>
            <w:tcW w:w="1268" w:type="dxa"/>
            <w:tcBorders>
              <w:top w:val="single" w:sz="3" w:space="0" w:color="000000"/>
              <w:left w:val="single" w:sz="3" w:space="0" w:color="000000"/>
              <w:bottom w:val="single" w:sz="3" w:space="0" w:color="000000"/>
              <w:right w:val="single" w:sz="3" w:space="0" w:color="000000"/>
            </w:tcBorders>
          </w:tcPr>
          <w:p>
            <w:pPr>
              <w:pStyle w:val="TableParagraph"/>
              <w:spacing w:before="166"/>
              <w:ind w:left="45" w:right="42"/>
              <w:jc w:val="center"/>
              <w:rPr>
                <w:rFonts w:ascii="Calibri"/>
                <w:sz w:val="22"/>
              </w:rPr>
            </w:pPr>
            <w:r>
              <w:rPr>
                <w:rFonts w:ascii="Calibri"/>
                <w:sz w:val="22"/>
              </w:rPr>
              <w:t>0.33</w:t>
            </w:r>
          </w:p>
        </w:tc>
        <w:tc>
          <w:tcPr>
            <w:tcW w:w="2083" w:type="dxa"/>
            <w:tcBorders>
              <w:top w:val="single" w:sz="3" w:space="0" w:color="000000"/>
              <w:left w:val="single" w:sz="3" w:space="0" w:color="000000"/>
              <w:bottom w:val="single" w:sz="3" w:space="0" w:color="000000"/>
            </w:tcBorders>
          </w:tcPr>
          <w:p>
            <w:pPr>
              <w:pStyle w:val="TableParagraph"/>
              <w:spacing w:before="30"/>
              <w:ind w:left="528" w:right="419" w:firstLine="36"/>
              <w:rPr>
                <w:rFonts w:ascii="Calibri" w:hAnsi="Calibri"/>
                <w:sz w:val="22"/>
              </w:rPr>
            </w:pPr>
            <w:r>
              <w:rPr>
                <w:rFonts w:ascii="Calibri" w:hAnsi="Calibri"/>
                <w:sz w:val="22"/>
              </w:rPr>
              <w:t>Tiempo de Fabricación</w:t>
            </w:r>
          </w:p>
        </w:tc>
        <w:tc>
          <w:tcPr>
            <w:tcW w:w="1010" w:type="dxa"/>
            <w:tcBorders>
              <w:top w:val="single" w:sz="3" w:space="0" w:color="000000"/>
              <w:bottom w:val="single" w:sz="3" w:space="0" w:color="000000"/>
              <w:right w:val="single" w:sz="3" w:space="0" w:color="000000"/>
            </w:tcBorders>
          </w:tcPr>
          <w:p>
            <w:pPr>
              <w:pStyle w:val="TableParagraph"/>
              <w:spacing w:before="166"/>
              <w:ind w:left="137" w:right="138"/>
              <w:jc w:val="center"/>
              <w:rPr>
                <w:rFonts w:ascii="Calibri"/>
                <w:sz w:val="22"/>
              </w:rPr>
            </w:pPr>
            <w:r>
              <w:rPr>
                <w:rFonts w:ascii="Calibri"/>
                <w:sz w:val="22"/>
              </w:rPr>
              <w:t>Regular</w:t>
            </w:r>
          </w:p>
        </w:tc>
        <w:tc>
          <w:tcPr>
            <w:tcW w:w="1157" w:type="dxa"/>
            <w:tcBorders>
              <w:top w:val="single" w:sz="3" w:space="0" w:color="000000"/>
              <w:left w:val="single" w:sz="3" w:space="0" w:color="000000"/>
              <w:bottom w:val="single" w:sz="3" w:space="0" w:color="000000"/>
              <w:right w:val="single" w:sz="3" w:space="0" w:color="000000"/>
            </w:tcBorders>
          </w:tcPr>
          <w:p>
            <w:pPr>
              <w:pStyle w:val="TableParagraph"/>
              <w:spacing w:before="166"/>
              <w:ind w:left="4"/>
              <w:jc w:val="center"/>
              <w:rPr>
                <w:rFonts w:ascii="Calibri"/>
                <w:sz w:val="22"/>
              </w:rPr>
            </w:pPr>
            <w:r>
              <w:rPr>
                <w:rFonts w:ascii="Calibri"/>
                <w:sz w:val="22"/>
              </w:rPr>
              <w:t>3</w:t>
            </w:r>
          </w:p>
        </w:tc>
        <w:tc>
          <w:tcPr>
            <w:tcW w:w="1198" w:type="dxa"/>
            <w:tcBorders>
              <w:top w:val="single" w:sz="3" w:space="0" w:color="000000"/>
              <w:left w:val="single" w:sz="3" w:space="0" w:color="000000"/>
              <w:bottom w:val="single" w:sz="3" w:space="0" w:color="000000"/>
            </w:tcBorders>
          </w:tcPr>
          <w:p>
            <w:pPr>
              <w:pStyle w:val="TableParagraph"/>
              <w:spacing w:before="166"/>
              <w:ind w:left="42" w:right="35"/>
              <w:jc w:val="center"/>
              <w:rPr>
                <w:rFonts w:ascii="Calibri"/>
                <w:sz w:val="22"/>
              </w:rPr>
            </w:pPr>
            <w:r>
              <w:rPr>
                <w:rFonts w:ascii="Calibri"/>
                <w:sz w:val="22"/>
              </w:rPr>
              <w:t>0.1</w:t>
            </w:r>
          </w:p>
        </w:tc>
        <w:tc>
          <w:tcPr>
            <w:tcW w:w="1082" w:type="dxa"/>
            <w:tcBorders>
              <w:top w:val="single" w:sz="3" w:space="0" w:color="000000"/>
              <w:bottom w:val="single" w:sz="3" w:space="0" w:color="000000"/>
              <w:right w:val="single" w:sz="3" w:space="0" w:color="000000"/>
            </w:tcBorders>
          </w:tcPr>
          <w:p>
            <w:pPr>
              <w:pStyle w:val="TableParagraph"/>
              <w:spacing w:before="166"/>
              <w:ind w:left="173" w:right="173"/>
              <w:jc w:val="center"/>
              <w:rPr>
                <w:rFonts w:ascii="Calibri"/>
                <w:sz w:val="22"/>
              </w:rPr>
            </w:pPr>
            <w:r>
              <w:rPr>
                <w:rFonts w:ascii="Calibri"/>
                <w:sz w:val="22"/>
              </w:rPr>
              <w:t>Buena</w:t>
            </w:r>
          </w:p>
        </w:tc>
        <w:tc>
          <w:tcPr>
            <w:tcW w:w="1157" w:type="dxa"/>
            <w:tcBorders>
              <w:top w:val="single" w:sz="3" w:space="0" w:color="000000"/>
              <w:left w:val="single" w:sz="3" w:space="0" w:color="000000"/>
              <w:bottom w:val="single" w:sz="3" w:space="0" w:color="000000"/>
              <w:right w:val="single" w:sz="3" w:space="0" w:color="000000"/>
            </w:tcBorders>
          </w:tcPr>
          <w:p>
            <w:pPr>
              <w:pStyle w:val="TableParagraph"/>
              <w:spacing w:before="166"/>
              <w:ind w:left="2"/>
              <w:jc w:val="center"/>
              <w:rPr>
                <w:rFonts w:ascii="Calibri"/>
                <w:sz w:val="22"/>
              </w:rPr>
            </w:pPr>
            <w:r>
              <w:rPr>
                <w:rFonts w:ascii="Calibri"/>
                <w:sz w:val="22"/>
              </w:rPr>
              <w:t>4</w:t>
            </w:r>
          </w:p>
        </w:tc>
        <w:tc>
          <w:tcPr>
            <w:tcW w:w="1198" w:type="dxa"/>
            <w:tcBorders>
              <w:top w:val="single" w:sz="3" w:space="0" w:color="000000"/>
              <w:left w:val="single" w:sz="3" w:space="0" w:color="000000"/>
              <w:bottom w:val="single" w:sz="3" w:space="0" w:color="000000"/>
            </w:tcBorders>
          </w:tcPr>
          <w:p>
            <w:pPr>
              <w:pStyle w:val="TableParagraph"/>
              <w:spacing w:before="8"/>
              <w:rPr>
                <w:sz w:val="28"/>
              </w:rPr>
            </w:pPr>
          </w:p>
          <w:p>
            <w:pPr>
              <w:pStyle w:val="TableParagraph"/>
              <w:ind w:right="53"/>
              <w:jc w:val="right"/>
              <w:rPr>
                <w:rFonts w:ascii="Calibri"/>
                <w:sz w:val="22"/>
              </w:rPr>
            </w:pPr>
            <w:r>
              <w:rPr>
                <w:rFonts w:ascii="Calibri"/>
                <w:sz w:val="22"/>
              </w:rPr>
              <w:t>0.13333333</w:t>
            </w:r>
          </w:p>
        </w:tc>
      </w:tr>
      <w:tr>
        <w:trPr>
          <w:trHeight w:val="328" w:hRule="exact"/>
        </w:trPr>
        <w:tc>
          <w:tcPr>
            <w:tcW w:w="1675" w:type="dxa"/>
            <w:vMerge/>
            <w:tcBorders>
              <w:bottom w:val="single" w:sz="3" w:space="0" w:color="000000"/>
              <w:right w:val="single" w:sz="3" w:space="0" w:color="000000"/>
            </w:tcBorders>
          </w:tcPr>
          <w:p>
            <w:pPr/>
          </w:p>
        </w:tc>
        <w:tc>
          <w:tcPr>
            <w:tcW w:w="1268" w:type="dxa"/>
            <w:vMerge/>
            <w:tcBorders>
              <w:left w:val="single" w:sz="3" w:space="0" w:color="000000"/>
              <w:bottom w:val="single" w:sz="3" w:space="0" w:color="000000"/>
              <w:right w:val="single" w:sz="3" w:space="0" w:color="000000"/>
            </w:tcBorders>
          </w:tcPr>
          <w:p>
            <w:pPr/>
          </w:p>
        </w:tc>
        <w:tc>
          <w:tcPr>
            <w:tcW w:w="1268" w:type="dxa"/>
            <w:tcBorders>
              <w:top w:val="single" w:sz="3" w:space="0" w:color="000000"/>
              <w:left w:val="single" w:sz="3" w:space="0" w:color="000000"/>
              <w:bottom w:val="single" w:sz="3" w:space="0" w:color="000000"/>
              <w:right w:val="single" w:sz="3" w:space="0" w:color="000000"/>
            </w:tcBorders>
          </w:tcPr>
          <w:p>
            <w:pPr>
              <w:pStyle w:val="TableParagraph"/>
              <w:spacing w:before="26"/>
              <w:ind w:left="45" w:right="42"/>
              <w:jc w:val="center"/>
              <w:rPr>
                <w:rFonts w:ascii="Calibri"/>
                <w:sz w:val="22"/>
              </w:rPr>
            </w:pPr>
            <w:r>
              <w:rPr>
                <w:rFonts w:ascii="Calibri"/>
                <w:sz w:val="22"/>
              </w:rPr>
              <w:t>0.33</w:t>
            </w:r>
          </w:p>
        </w:tc>
        <w:tc>
          <w:tcPr>
            <w:tcW w:w="2083" w:type="dxa"/>
            <w:tcBorders>
              <w:top w:val="single" w:sz="3" w:space="0" w:color="000000"/>
              <w:left w:val="single" w:sz="3" w:space="0" w:color="000000"/>
              <w:bottom w:val="single" w:sz="3" w:space="0" w:color="000000"/>
            </w:tcBorders>
          </w:tcPr>
          <w:p>
            <w:pPr>
              <w:pStyle w:val="TableParagraph"/>
              <w:spacing w:before="26"/>
              <w:ind w:left="83" w:right="79"/>
              <w:jc w:val="center"/>
              <w:rPr>
                <w:rFonts w:ascii="Calibri" w:hAnsi="Calibri"/>
                <w:sz w:val="22"/>
              </w:rPr>
            </w:pPr>
            <w:r>
              <w:rPr>
                <w:rFonts w:ascii="Calibri" w:hAnsi="Calibri"/>
                <w:sz w:val="22"/>
              </w:rPr>
              <w:t>Estética</w:t>
            </w:r>
          </w:p>
        </w:tc>
        <w:tc>
          <w:tcPr>
            <w:tcW w:w="1010" w:type="dxa"/>
            <w:tcBorders>
              <w:top w:val="single" w:sz="3" w:space="0" w:color="000000"/>
              <w:right w:val="single" w:sz="3" w:space="0" w:color="000000"/>
            </w:tcBorders>
          </w:tcPr>
          <w:p>
            <w:pPr>
              <w:pStyle w:val="TableParagraph"/>
              <w:spacing w:before="26"/>
              <w:ind w:left="137" w:right="137"/>
              <w:jc w:val="center"/>
              <w:rPr>
                <w:rFonts w:ascii="Calibri"/>
                <w:sz w:val="22"/>
              </w:rPr>
            </w:pPr>
            <w:r>
              <w:rPr>
                <w:rFonts w:ascii="Calibri"/>
                <w:sz w:val="22"/>
              </w:rPr>
              <w:t>Buena</w:t>
            </w:r>
          </w:p>
        </w:tc>
        <w:tc>
          <w:tcPr>
            <w:tcW w:w="1157" w:type="dxa"/>
            <w:tcBorders>
              <w:top w:val="single" w:sz="3" w:space="0" w:color="000000"/>
              <w:left w:val="single" w:sz="3" w:space="0" w:color="000000"/>
              <w:right w:val="single" w:sz="3" w:space="0" w:color="000000"/>
            </w:tcBorders>
          </w:tcPr>
          <w:p>
            <w:pPr>
              <w:pStyle w:val="TableParagraph"/>
              <w:spacing w:before="26"/>
              <w:ind w:left="4"/>
              <w:jc w:val="center"/>
              <w:rPr>
                <w:rFonts w:ascii="Calibri"/>
                <w:sz w:val="22"/>
              </w:rPr>
            </w:pPr>
            <w:r>
              <w:rPr>
                <w:rFonts w:ascii="Calibri"/>
                <w:sz w:val="22"/>
              </w:rPr>
              <w:t>4</w:t>
            </w:r>
          </w:p>
        </w:tc>
        <w:tc>
          <w:tcPr>
            <w:tcW w:w="1198" w:type="dxa"/>
            <w:tcBorders>
              <w:top w:val="single" w:sz="3" w:space="0" w:color="000000"/>
              <w:left w:val="single" w:sz="3" w:space="0" w:color="000000"/>
            </w:tcBorders>
          </w:tcPr>
          <w:p>
            <w:pPr>
              <w:pStyle w:val="TableParagraph"/>
              <w:spacing w:before="26"/>
              <w:ind w:left="50" w:right="35"/>
              <w:jc w:val="center"/>
              <w:rPr>
                <w:rFonts w:ascii="Calibri"/>
                <w:sz w:val="22"/>
              </w:rPr>
            </w:pPr>
            <w:r>
              <w:rPr>
                <w:rFonts w:ascii="Calibri"/>
                <w:sz w:val="22"/>
              </w:rPr>
              <w:t>0.13333333</w:t>
            </w:r>
          </w:p>
        </w:tc>
        <w:tc>
          <w:tcPr>
            <w:tcW w:w="1082" w:type="dxa"/>
            <w:tcBorders>
              <w:top w:val="single" w:sz="3" w:space="0" w:color="000000"/>
              <w:right w:val="single" w:sz="3" w:space="0" w:color="000000"/>
            </w:tcBorders>
          </w:tcPr>
          <w:p>
            <w:pPr>
              <w:pStyle w:val="TableParagraph"/>
              <w:spacing w:before="26"/>
              <w:ind w:left="173" w:right="174"/>
              <w:jc w:val="center"/>
              <w:rPr>
                <w:rFonts w:ascii="Calibri"/>
                <w:sz w:val="22"/>
              </w:rPr>
            </w:pPr>
            <w:r>
              <w:rPr>
                <w:rFonts w:ascii="Calibri"/>
                <w:sz w:val="22"/>
              </w:rPr>
              <w:t>Regular</w:t>
            </w:r>
          </w:p>
        </w:tc>
        <w:tc>
          <w:tcPr>
            <w:tcW w:w="1157" w:type="dxa"/>
            <w:tcBorders>
              <w:top w:val="single" w:sz="3" w:space="0" w:color="000000"/>
              <w:left w:val="single" w:sz="3" w:space="0" w:color="000000"/>
              <w:right w:val="single" w:sz="3" w:space="0" w:color="000000"/>
            </w:tcBorders>
          </w:tcPr>
          <w:p>
            <w:pPr>
              <w:pStyle w:val="TableParagraph"/>
              <w:spacing w:before="26"/>
              <w:ind w:left="2"/>
              <w:jc w:val="center"/>
              <w:rPr>
                <w:rFonts w:ascii="Calibri"/>
                <w:sz w:val="22"/>
              </w:rPr>
            </w:pPr>
            <w:r>
              <w:rPr>
                <w:rFonts w:ascii="Calibri"/>
                <w:sz w:val="22"/>
              </w:rPr>
              <w:t>3</w:t>
            </w:r>
          </w:p>
        </w:tc>
        <w:tc>
          <w:tcPr>
            <w:tcW w:w="1198" w:type="dxa"/>
            <w:tcBorders>
              <w:top w:val="single" w:sz="3" w:space="0" w:color="000000"/>
              <w:left w:val="single" w:sz="3" w:space="0" w:color="000000"/>
            </w:tcBorders>
          </w:tcPr>
          <w:p>
            <w:pPr>
              <w:pStyle w:val="TableParagraph"/>
              <w:spacing w:before="46"/>
              <w:ind w:right="57"/>
              <w:jc w:val="right"/>
              <w:rPr>
                <w:rFonts w:ascii="Calibri"/>
                <w:sz w:val="22"/>
              </w:rPr>
            </w:pPr>
            <w:r>
              <w:rPr>
                <w:rFonts w:ascii="Calibri"/>
                <w:sz w:val="22"/>
              </w:rPr>
              <w:t>0.1</w:t>
            </w:r>
          </w:p>
        </w:tc>
      </w:tr>
      <w:tr>
        <w:trPr>
          <w:trHeight w:val="563" w:hRule="exact"/>
        </w:trPr>
        <w:tc>
          <w:tcPr>
            <w:tcW w:w="6294" w:type="dxa"/>
            <w:gridSpan w:val="4"/>
            <w:tcBorders>
              <w:top w:val="single" w:sz="3" w:space="0" w:color="000000"/>
              <w:right w:val="single" w:sz="3" w:space="0" w:color="000000"/>
            </w:tcBorders>
          </w:tcPr>
          <w:p>
            <w:pPr>
              <w:pStyle w:val="TableParagraph"/>
              <w:spacing w:before="10"/>
              <w:ind w:left="492" w:right="4057" w:hanging="396"/>
              <w:rPr>
                <w:rFonts w:ascii="Calibri"/>
                <w:sz w:val="22"/>
              </w:rPr>
            </w:pPr>
            <w:r>
              <w:rPr>
                <w:rFonts w:ascii="Calibri"/>
                <w:sz w:val="22"/>
              </w:rPr>
              <w:t>Valor general de utilidad</w:t>
            </w:r>
          </w:p>
        </w:tc>
        <w:tc>
          <w:tcPr>
            <w:tcW w:w="2167" w:type="dxa"/>
            <w:gridSpan w:val="2"/>
            <w:tcBorders>
              <w:left w:val="single" w:sz="3" w:space="0" w:color="000000"/>
              <w:right w:val="single" w:sz="3" w:space="0" w:color="000000"/>
            </w:tcBorders>
          </w:tcPr>
          <w:p>
            <w:pPr/>
          </w:p>
        </w:tc>
        <w:tc>
          <w:tcPr>
            <w:tcW w:w="1198" w:type="dxa"/>
            <w:tcBorders>
              <w:left w:val="single" w:sz="3" w:space="0" w:color="000000"/>
              <w:right w:val="single" w:sz="3" w:space="0" w:color="000000"/>
            </w:tcBorders>
            <w:shd w:val="clear" w:color="auto" w:fill="FFC6CE"/>
          </w:tcPr>
          <w:p>
            <w:pPr>
              <w:pStyle w:val="TableParagraph"/>
              <w:spacing w:before="137"/>
              <w:ind w:left="42" w:right="41"/>
              <w:jc w:val="center"/>
              <w:rPr>
                <w:rFonts w:ascii="Calibri"/>
                <w:sz w:val="22"/>
              </w:rPr>
            </w:pPr>
            <w:r>
              <w:rPr>
                <w:rFonts w:ascii="Calibri"/>
                <w:color w:val="9C0005"/>
                <w:sz w:val="22"/>
              </w:rPr>
              <w:t>0.3</w:t>
            </w:r>
          </w:p>
        </w:tc>
        <w:tc>
          <w:tcPr>
            <w:tcW w:w="2239" w:type="dxa"/>
            <w:gridSpan w:val="2"/>
            <w:tcBorders>
              <w:left w:val="single" w:sz="3" w:space="0" w:color="000000"/>
              <w:right w:val="single" w:sz="3" w:space="0" w:color="000000"/>
            </w:tcBorders>
          </w:tcPr>
          <w:p>
            <w:pPr/>
          </w:p>
        </w:tc>
        <w:tc>
          <w:tcPr>
            <w:tcW w:w="1198" w:type="dxa"/>
            <w:tcBorders>
              <w:left w:val="single" w:sz="3" w:space="0" w:color="000000"/>
            </w:tcBorders>
            <w:shd w:val="clear" w:color="auto" w:fill="C5EECE"/>
          </w:tcPr>
          <w:p>
            <w:pPr>
              <w:pStyle w:val="TableParagraph"/>
              <w:spacing w:before="137"/>
              <w:ind w:left="432" w:right="432"/>
              <w:jc w:val="center"/>
              <w:rPr>
                <w:rFonts w:ascii="Calibri"/>
                <w:sz w:val="22"/>
              </w:rPr>
            </w:pPr>
            <w:r>
              <w:rPr>
                <w:rFonts w:ascii="Calibri"/>
                <w:color w:val="006000"/>
                <w:sz w:val="22"/>
              </w:rPr>
              <w:t>3.3</w:t>
            </w:r>
          </w:p>
        </w:tc>
      </w:tr>
    </w:tbl>
    <w:p>
      <w:pPr>
        <w:spacing w:line="202" w:lineRule="exact" w:before="0"/>
        <w:ind w:left="5204" w:right="5031" w:firstLine="0"/>
        <w:jc w:val="center"/>
        <w:rPr>
          <w:sz w:val="18"/>
        </w:rPr>
      </w:pPr>
      <w:r>
        <w:rPr>
          <w:sz w:val="18"/>
        </w:rPr>
        <w:t>(Fuente: Elaboración propia, 2016)</w:t>
      </w:r>
    </w:p>
    <w:p>
      <w:pPr>
        <w:spacing w:after="0" w:line="202" w:lineRule="exact"/>
        <w:jc w:val="center"/>
        <w:rPr>
          <w:sz w:val="18"/>
        </w:rPr>
        <w:sectPr>
          <w:pgSz w:w="15840" w:h="12240" w:orient="landscape"/>
          <w:pgMar w:header="0" w:footer="1031" w:top="1140" w:bottom="1220" w:left="1280" w:right="12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9"/>
        </w:rPr>
      </w:pPr>
    </w:p>
    <w:p>
      <w:pPr>
        <w:spacing w:line="360" w:lineRule="auto" w:before="70"/>
        <w:ind w:left="100" w:right="115" w:firstLine="0"/>
        <w:jc w:val="both"/>
        <w:rPr>
          <w:b/>
          <w:sz w:val="24"/>
        </w:rPr>
      </w:pPr>
      <w:r>
        <w:rPr>
          <w:sz w:val="24"/>
        </w:rPr>
        <w:t>Los resultados de comparativo muestran que </w:t>
      </w:r>
      <w:r>
        <w:rPr>
          <w:b/>
          <w:sz w:val="24"/>
        </w:rPr>
        <w:t>3.3 </w:t>
      </w:r>
      <w:r>
        <w:rPr>
          <w:sz w:val="24"/>
        </w:rPr>
        <w:t>del proceso de impresión 3D es mayor y favorable en comparación con el proceso de FV que resultó de 0</w:t>
      </w:r>
      <w:r>
        <w:rPr>
          <w:b/>
          <w:sz w:val="24"/>
        </w:rPr>
        <w:t>.3 si importa más el medio ambiente.</w:t>
      </w:r>
    </w:p>
    <w:p>
      <w:pPr>
        <w:pStyle w:val="BodyText"/>
        <w:tabs>
          <w:tab w:pos="1792" w:val="left" w:leader="none"/>
          <w:tab w:pos="3229" w:val="left" w:leader="none"/>
          <w:tab w:pos="5261" w:val="left" w:leader="none"/>
          <w:tab w:pos="6754" w:val="left" w:leader="none"/>
          <w:tab w:pos="8939" w:val="right" w:leader="none"/>
        </w:tabs>
        <w:spacing w:line="360" w:lineRule="auto" w:before="422"/>
        <w:ind w:left="100" w:right="118"/>
        <w:jc w:val="both"/>
      </w:pPr>
      <w:r>
        <w:rPr/>
        <w:t>En el tercer escenario las ponderaciones cambian dando mayor peso a lo “Funcional” con 0.70, Salud con 0.10,  Costos  con 0.10  y Ambiental  0.10.  En caso de que la decisión que se tome sea más importante la estética, que sean exactas las medidas y el tiempo de fabricación por encima de lo ambiental y la salud</w:t>
        <w:tab/>
        <w:t>del</w:t>
        <w:tab/>
        <w:t>escultor.</w:t>
        <w:tab/>
        <w:t>Ver</w:t>
        <w:tab/>
      </w:r>
      <w:hyperlink w:history="true" w:anchor="_bookmark199">
        <w:r>
          <w:rPr/>
          <w:t>Tabla</w:t>
          <w:tab/>
          <w:t>5.22</w:t>
        </w:r>
      </w:hyperlink>
    </w:p>
    <w:p>
      <w:pPr>
        <w:spacing w:after="0" w:line="360" w:lineRule="auto"/>
        <w:jc w:val="both"/>
        <w:sectPr>
          <w:pgSz w:w="12240" w:h="15840"/>
          <w:pgMar w:header="0" w:footer="1031" w:top="1500" w:bottom="1220" w:left="1600" w:right="1580"/>
        </w:sectPr>
      </w:pPr>
    </w:p>
    <w:p>
      <w:pPr>
        <w:spacing w:before="671"/>
        <w:ind w:left="2585" w:right="0" w:firstLine="0"/>
        <w:jc w:val="left"/>
        <w:rPr>
          <w:sz w:val="18"/>
        </w:rPr>
      </w:pPr>
      <w:bookmarkStart w:name="_bookmark202" w:id="312"/>
      <w:bookmarkEnd w:id="312"/>
      <w:r>
        <w:rPr/>
      </w:r>
      <w:r>
        <w:rPr>
          <w:sz w:val="18"/>
        </w:rPr>
        <w:t>Tabla 5.25. Árbol de decisión, segundo escenario con ponderación marcando mayor peso a lo funcional.</w:t>
      </w:r>
    </w:p>
    <w:tbl>
      <w:tblPr>
        <w:tblW w:w="0" w:type="auto"/>
        <w:jc w:val="left"/>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675"/>
        <w:gridCol w:w="1268"/>
        <w:gridCol w:w="1268"/>
        <w:gridCol w:w="2083"/>
        <w:gridCol w:w="1010"/>
        <w:gridCol w:w="1157"/>
        <w:gridCol w:w="1198"/>
        <w:gridCol w:w="1082"/>
        <w:gridCol w:w="1157"/>
        <w:gridCol w:w="1198"/>
      </w:tblGrid>
      <w:tr>
        <w:trPr>
          <w:trHeight w:val="336" w:hRule="exact"/>
        </w:trPr>
        <w:tc>
          <w:tcPr>
            <w:tcW w:w="9659" w:type="dxa"/>
            <w:gridSpan w:val="7"/>
          </w:tcPr>
          <w:p>
            <w:pPr>
              <w:pStyle w:val="TableParagraph"/>
              <w:spacing w:before="27"/>
              <w:ind w:right="625"/>
              <w:jc w:val="right"/>
              <w:rPr>
                <w:rFonts w:ascii="Calibri"/>
                <w:sz w:val="22"/>
              </w:rPr>
            </w:pPr>
            <w:r>
              <w:rPr>
                <w:rFonts w:ascii="Calibri"/>
                <w:sz w:val="22"/>
              </w:rPr>
              <w:t>Fibra de Vidrio y Resina</w:t>
            </w:r>
          </w:p>
        </w:tc>
        <w:tc>
          <w:tcPr>
            <w:tcW w:w="3436" w:type="dxa"/>
            <w:gridSpan w:val="3"/>
          </w:tcPr>
          <w:p>
            <w:pPr>
              <w:pStyle w:val="TableParagraph"/>
              <w:spacing w:before="27"/>
              <w:ind w:left="1112"/>
              <w:rPr>
                <w:rFonts w:ascii="Calibri" w:hAnsi="Calibri"/>
                <w:sz w:val="22"/>
              </w:rPr>
            </w:pPr>
            <w:r>
              <w:rPr>
                <w:rFonts w:ascii="Calibri" w:hAnsi="Calibri"/>
                <w:sz w:val="22"/>
              </w:rPr>
              <w:t>Impresión 3D</w:t>
            </w:r>
          </w:p>
        </w:tc>
      </w:tr>
      <w:tr>
        <w:trPr>
          <w:trHeight w:val="330" w:hRule="exact"/>
        </w:trPr>
        <w:tc>
          <w:tcPr>
            <w:tcW w:w="1675" w:type="dxa"/>
            <w:tcBorders>
              <w:bottom w:val="single" w:sz="3" w:space="0" w:color="000000"/>
              <w:right w:val="single" w:sz="3" w:space="0" w:color="000000"/>
            </w:tcBorders>
          </w:tcPr>
          <w:p>
            <w:pPr/>
          </w:p>
        </w:tc>
        <w:tc>
          <w:tcPr>
            <w:tcW w:w="1268" w:type="dxa"/>
            <w:tcBorders>
              <w:left w:val="single" w:sz="3" w:space="0" w:color="000000"/>
              <w:bottom w:val="single" w:sz="3" w:space="0" w:color="000000"/>
              <w:right w:val="single" w:sz="3" w:space="0" w:color="000000"/>
            </w:tcBorders>
          </w:tcPr>
          <w:p>
            <w:pPr>
              <w:pStyle w:val="TableParagraph"/>
              <w:spacing w:before="27"/>
              <w:ind w:left="46" w:right="46"/>
              <w:jc w:val="center"/>
              <w:rPr>
                <w:rFonts w:ascii="Calibri" w:hAnsi="Calibri"/>
                <w:sz w:val="22"/>
              </w:rPr>
            </w:pPr>
            <w:r>
              <w:rPr>
                <w:rFonts w:ascii="Calibri" w:hAnsi="Calibri"/>
                <w:sz w:val="22"/>
              </w:rPr>
              <w:t>Ponderación</w:t>
            </w:r>
          </w:p>
        </w:tc>
        <w:tc>
          <w:tcPr>
            <w:tcW w:w="1268" w:type="dxa"/>
            <w:tcBorders>
              <w:left w:val="single" w:sz="3" w:space="0" w:color="000000"/>
              <w:bottom w:val="single" w:sz="3" w:space="0" w:color="000000"/>
              <w:right w:val="single" w:sz="3" w:space="0" w:color="000000"/>
            </w:tcBorders>
          </w:tcPr>
          <w:p>
            <w:pPr>
              <w:pStyle w:val="TableParagraph"/>
              <w:spacing w:before="27"/>
              <w:ind w:left="45" w:right="46"/>
              <w:jc w:val="center"/>
              <w:rPr>
                <w:rFonts w:ascii="Calibri" w:hAnsi="Calibri"/>
                <w:sz w:val="22"/>
              </w:rPr>
            </w:pPr>
            <w:r>
              <w:rPr>
                <w:rFonts w:ascii="Calibri" w:hAnsi="Calibri"/>
                <w:sz w:val="22"/>
              </w:rPr>
              <w:t>Ponderación</w:t>
            </w:r>
          </w:p>
        </w:tc>
        <w:tc>
          <w:tcPr>
            <w:tcW w:w="2083" w:type="dxa"/>
            <w:tcBorders>
              <w:left w:val="single" w:sz="3" w:space="0" w:color="000000"/>
              <w:bottom w:val="single" w:sz="3" w:space="0" w:color="000000"/>
              <w:right w:val="single" w:sz="3" w:space="0" w:color="000000"/>
            </w:tcBorders>
          </w:tcPr>
          <w:p>
            <w:pPr>
              <w:pStyle w:val="TableParagraph"/>
              <w:spacing w:before="27"/>
              <w:ind w:left="541" w:right="540"/>
              <w:jc w:val="center"/>
              <w:rPr>
                <w:rFonts w:ascii="Calibri" w:hAnsi="Calibri"/>
                <w:sz w:val="22"/>
              </w:rPr>
            </w:pPr>
            <w:r>
              <w:rPr>
                <w:rFonts w:ascii="Calibri" w:hAnsi="Calibri"/>
                <w:sz w:val="22"/>
              </w:rPr>
              <w:t>Parámetro</w:t>
            </w:r>
          </w:p>
        </w:tc>
        <w:tc>
          <w:tcPr>
            <w:tcW w:w="1010" w:type="dxa"/>
            <w:tcBorders>
              <w:left w:val="single" w:sz="3" w:space="0" w:color="000000"/>
              <w:right w:val="single" w:sz="3" w:space="0" w:color="000000"/>
            </w:tcBorders>
          </w:tcPr>
          <w:p>
            <w:pPr>
              <w:pStyle w:val="TableParagraph"/>
              <w:spacing w:before="27"/>
              <w:ind w:left="49" w:right="45"/>
              <w:jc w:val="center"/>
              <w:rPr>
                <w:rFonts w:ascii="Calibri"/>
                <w:sz w:val="22"/>
              </w:rPr>
            </w:pPr>
            <w:r>
              <w:rPr>
                <w:rFonts w:ascii="Calibri"/>
                <w:sz w:val="22"/>
              </w:rPr>
              <w:t>Magnitud</w:t>
            </w:r>
          </w:p>
        </w:tc>
        <w:tc>
          <w:tcPr>
            <w:tcW w:w="1157" w:type="dxa"/>
            <w:tcBorders>
              <w:left w:val="single" w:sz="3" w:space="0" w:color="000000"/>
              <w:right w:val="single" w:sz="3" w:space="0" w:color="000000"/>
            </w:tcBorders>
          </w:tcPr>
          <w:p>
            <w:pPr>
              <w:pStyle w:val="TableParagraph"/>
              <w:spacing w:before="27"/>
              <w:ind w:left="47" w:right="46"/>
              <w:jc w:val="center"/>
              <w:rPr>
                <w:rFonts w:ascii="Calibri" w:hAnsi="Calibri"/>
                <w:sz w:val="22"/>
              </w:rPr>
            </w:pPr>
            <w:r>
              <w:rPr>
                <w:rFonts w:ascii="Calibri" w:hAnsi="Calibri"/>
                <w:sz w:val="22"/>
              </w:rPr>
              <w:t>Calificación</w:t>
            </w:r>
          </w:p>
        </w:tc>
        <w:tc>
          <w:tcPr>
            <w:tcW w:w="1198" w:type="dxa"/>
            <w:tcBorders>
              <w:left w:val="single" w:sz="3" w:space="0" w:color="000000"/>
              <w:right w:val="single" w:sz="3" w:space="0" w:color="000000"/>
            </w:tcBorders>
          </w:tcPr>
          <w:p>
            <w:pPr>
              <w:pStyle w:val="TableParagraph"/>
              <w:spacing w:before="27"/>
              <w:ind w:left="43" w:right="41"/>
              <w:jc w:val="center"/>
              <w:rPr>
                <w:rFonts w:ascii="Calibri"/>
                <w:sz w:val="22"/>
              </w:rPr>
            </w:pPr>
            <w:r>
              <w:rPr>
                <w:rFonts w:ascii="Calibri"/>
                <w:sz w:val="22"/>
              </w:rPr>
              <w:t>Valor</w:t>
            </w:r>
          </w:p>
        </w:tc>
        <w:tc>
          <w:tcPr>
            <w:tcW w:w="1082" w:type="dxa"/>
            <w:tcBorders>
              <w:left w:val="single" w:sz="3" w:space="0" w:color="000000"/>
              <w:right w:val="single" w:sz="3" w:space="0" w:color="000000"/>
            </w:tcBorders>
          </w:tcPr>
          <w:p>
            <w:pPr>
              <w:pStyle w:val="TableParagraph"/>
              <w:spacing w:before="27"/>
              <w:ind w:left="85" w:right="81"/>
              <w:jc w:val="center"/>
              <w:rPr>
                <w:rFonts w:ascii="Calibri"/>
                <w:sz w:val="22"/>
              </w:rPr>
            </w:pPr>
            <w:r>
              <w:rPr>
                <w:rFonts w:ascii="Calibri"/>
                <w:sz w:val="22"/>
              </w:rPr>
              <w:t>Magnitud</w:t>
            </w:r>
          </w:p>
        </w:tc>
        <w:tc>
          <w:tcPr>
            <w:tcW w:w="1157" w:type="dxa"/>
            <w:tcBorders>
              <w:left w:val="single" w:sz="3" w:space="0" w:color="000000"/>
              <w:right w:val="single" w:sz="3" w:space="0" w:color="000000"/>
            </w:tcBorders>
          </w:tcPr>
          <w:p>
            <w:pPr>
              <w:pStyle w:val="TableParagraph"/>
              <w:spacing w:before="27"/>
              <w:ind w:left="47" w:right="46"/>
              <w:jc w:val="center"/>
              <w:rPr>
                <w:rFonts w:ascii="Calibri" w:hAnsi="Calibri"/>
                <w:sz w:val="22"/>
              </w:rPr>
            </w:pPr>
            <w:r>
              <w:rPr>
                <w:rFonts w:ascii="Calibri" w:hAnsi="Calibri"/>
                <w:sz w:val="22"/>
              </w:rPr>
              <w:t>Calificación</w:t>
            </w:r>
          </w:p>
        </w:tc>
        <w:tc>
          <w:tcPr>
            <w:tcW w:w="1198" w:type="dxa"/>
            <w:tcBorders>
              <w:left w:val="single" w:sz="3" w:space="0" w:color="000000"/>
            </w:tcBorders>
          </w:tcPr>
          <w:p>
            <w:pPr>
              <w:pStyle w:val="TableParagraph"/>
              <w:spacing w:before="27"/>
              <w:ind w:left="355"/>
              <w:rPr>
                <w:rFonts w:ascii="Calibri"/>
                <w:sz w:val="22"/>
              </w:rPr>
            </w:pPr>
            <w:r>
              <w:rPr>
                <w:rFonts w:ascii="Calibri"/>
                <w:sz w:val="22"/>
              </w:rPr>
              <w:t>Valor</w:t>
            </w:r>
          </w:p>
        </w:tc>
      </w:tr>
      <w:tr>
        <w:trPr>
          <w:trHeight w:val="620" w:hRule="exact"/>
        </w:trPr>
        <w:tc>
          <w:tcPr>
            <w:tcW w:w="1675" w:type="dxa"/>
            <w:vMerge w:val="restart"/>
            <w:tcBorders>
              <w:top w:val="single" w:sz="3" w:space="0" w:color="000000"/>
              <w:right w:val="single" w:sz="3" w:space="0" w:color="000000"/>
            </w:tcBorders>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before="2"/>
              <w:rPr>
                <w:sz w:val="22"/>
              </w:rPr>
            </w:pPr>
          </w:p>
          <w:p>
            <w:pPr>
              <w:pStyle w:val="TableParagraph"/>
              <w:ind w:left="368" w:right="145"/>
              <w:rPr>
                <w:rFonts w:ascii="Calibri"/>
                <w:sz w:val="22"/>
              </w:rPr>
            </w:pPr>
            <w:r>
              <w:rPr>
                <w:rFonts w:ascii="Calibri"/>
                <w:sz w:val="22"/>
              </w:rPr>
              <w:t>Ambiental</w:t>
            </w:r>
          </w:p>
        </w:tc>
        <w:tc>
          <w:tcPr>
            <w:tcW w:w="1268" w:type="dxa"/>
            <w:vMerge w:val="restart"/>
            <w:tcBorders>
              <w:top w:val="single" w:sz="3" w:space="0" w:color="000000"/>
              <w:left w:val="single" w:sz="3" w:space="0" w:color="000000"/>
              <w:right w:val="single" w:sz="3" w:space="0" w:color="000000"/>
            </w:tcBorders>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before="2"/>
              <w:rPr>
                <w:sz w:val="22"/>
              </w:rPr>
            </w:pPr>
          </w:p>
          <w:p>
            <w:pPr>
              <w:pStyle w:val="TableParagraph"/>
              <w:ind w:left="46" w:right="42"/>
              <w:jc w:val="center"/>
              <w:rPr>
                <w:rFonts w:ascii="Calibri"/>
                <w:sz w:val="22"/>
              </w:rPr>
            </w:pPr>
            <w:r>
              <w:rPr>
                <w:rFonts w:ascii="Calibri"/>
                <w:sz w:val="22"/>
              </w:rPr>
              <w:t>0.10</w:t>
            </w:r>
          </w:p>
        </w:tc>
        <w:tc>
          <w:tcPr>
            <w:tcW w:w="1268" w:type="dxa"/>
            <w:tcBorders>
              <w:top w:val="single" w:sz="3" w:space="0" w:color="000000"/>
              <w:left w:val="single" w:sz="3" w:space="0" w:color="000000"/>
              <w:bottom w:val="single" w:sz="3" w:space="0" w:color="000000"/>
              <w:right w:val="single" w:sz="3" w:space="0" w:color="000000"/>
            </w:tcBorders>
          </w:tcPr>
          <w:p>
            <w:pPr>
              <w:pStyle w:val="TableParagraph"/>
              <w:spacing w:before="179"/>
              <w:ind w:left="45" w:right="42"/>
              <w:jc w:val="center"/>
              <w:rPr>
                <w:rFonts w:ascii="Calibri"/>
                <w:sz w:val="22"/>
              </w:rPr>
            </w:pPr>
            <w:r>
              <w:rPr>
                <w:rFonts w:ascii="Calibri"/>
                <w:sz w:val="22"/>
              </w:rPr>
              <w:t>0.14</w:t>
            </w:r>
          </w:p>
        </w:tc>
        <w:tc>
          <w:tcPr>
            <w:tcW w:w="2083" w:type="dxa"/>
            <w:tcBorders>
              <w:top w:val="single" w:sz="3" w:space="0" w:color="000000"/>
              <w:left w:val="single" w:sz="3" w:space="0" w:color="000000"/>
              <w:bottom w:val="single" w:sz="3" w:space="0" w:color="000000"/>
            </w:tcBorders>
          </w:tcPr>
          <w:p>
            <w:pPr>
              <w:pStyle w:val="TableParagraph"/>
              <w:spacing w:before="179"/>
              <w:ind w:left="81" w:right="79"/>
              <w:jc w:val="center"/>
              <w:rPr>
                <w:rFonts w:ascii="Calibri" w:hAnsi="Calibri"/>
                <w:sz w:val="22"/>
              </w:rPr>
            </w:pPr>
            <w:r>
              <w:rPr>
                <w:rFonts w:ascii="Calibri" w:hAnsi="Calibri"/>
                <w:sz w:val="22"/>
              </w:rPr>
              <w:t>Cambio Climático</w:t>
            </w:r>
          </w:p>
        </w:tc>
        <w:tc>
          <w:tcPr>
            <w:tcW w:w="1010" w:type="dxa"/>
            <w:tcBorders>
              <w:bottom w:val="single" w:sz="3" w:space="0" w:color="000000"/>
              <w:right w:val="single" w:sz="3" w:space="0" w:color="000000"/>
            </w:tcBorders>
          </w:tcPr>
          <w:p>
            <w:pPr>
              <w:pStyle w:val="TableParagraph"/>
              <w:spacing w:before="173"/>
              <w:ind w:right="2"/>
              <w:jc w:val="center"/>
              <w:rPr>
                <w:rFonts w:ascii="Calibri"/>
                <w:sz w:val="22"/>
              </w:rPr>
            </w:pPr>
            <w:r>
              <w:rPr>
                <w:rFonts w:ascii="Calibri"/>
                <w:sz w:val="22"/>
              </w:rPr>
              <w:t>1</w:t>
            </w:r>
          </w:p>
        </w:tc>
        <w:tc>
          <w:tcPr>
            <w:tcW w:w="1157" w:type="dxa"/>
            <w:tcBorders>
              <w:left w:val="single" w:sz="3" w:space="0" w:color="000000"/>
              <w:bottom w:val="single" w:sz="3" w:space="0" w:color="000000"/>
              <w:right w:val="single" w:sz="3" w:space="0" w:color="000000"/>
            </w:tcBorders>
          </w:tcPr>
          <w:p>
            <w:pPr>
              <w:pStyle w:val="TableParagraph"/>
              <w:spacing w:before="173"/>
              <w:ind w:left="4"/>
              <w:jc w:val="center"/>
              <w:rPr>
                <w:rFonts w:ascii="Calibri"/>
                <w:sz w:val="22"/>
              </w:rPr>
            </w:pPr>
            <w:r>
              <w:rPr>
                <w:rFonts w:ascii="Calibri"/>
                <w:sz w:val="22"/>
              </w:rPr>
              <w:t>0</w:t>
            </w:r>
          </w:p>
        </w:tc>
        <w:tc>
          <w:tcPr>
            <w:tcW w:w="1198" w:type="dxa"/>
            <w:tcBorders>
              <w:left w:val="single" w:sz="3" w:space="0" w:color="000000"/>
              <w:bottom w:val="single" w:sz="3" w:space="0" w:color="000000"/>
            </w:tcBorders>
          </w:tcPr>
          <w:p>
            <w:pPr>
              <w:pStyle w:val="TableParagraph"/>
              <w:spacing w:before="173"/>
              <w:ind w:left="7"/>
              <w:jc w:val="center"/>
              <w:rPr>
                <w:rFonts w:ascii="Calibri"/>
                <w:sz w:val="22"/>
              </w:rPr>
            </w:pPr>
            <w:r>
              <w:rPr>
                <w:rFonts w:ascii="Calibri"/>
                <w:sz w:val="22"/>
              </w:rPr>
              <w:t>0</w:t>
            </w:r>
          </w:p>
        </w:tc>
        <w:tc>
          <w:tcPr>
            <w:tcW w:w="1082" w:type="dxa"/>
            <w:tcBorders>
              <w:bottom w:val="single" w:sz="3" w:space="0" w:color="000000"/>
              <w:right w:val="single" w:sz="3" w:space="0" w:color="000000"/>
            </w:tcBorders>
          </w:tcPr>
          <w:p>
            <w:pPr>
              <w:pStyle w:val="TableParagraph"/>
              <w:spacing w:before="173"/>
              <w:ind w:left="173" w:right="174"/>
              <w:jc w:val="center"/>
              <w:rPr>
                <w:rFonts w:ascii="Calibri"/>
                <w:sz w:val="22"/>
              </w:rPr>
            </w:pPr>
            <w:r>
              <w:rPr>
                <w:rFonts w:ascii="Calibri"/>
                <w:sz w:val="22"/>
              </w:rPr>
              <w:t>0.7</w:t>
            </w:r>
          </w:p>
        </w:tc>
        <w:tc>
          <w:tcPr>
            <w:tcW w:w="1157" w:type="dxa"/>
            <w:tcBorders>
              <w:left w:val="single" w:sz="3" w:space="0" w:color="000000"/>
              <w:bottom w:val="single" w:sz="3" w:space="0" w:color="000000"/>
              <w:right w:val="single" w:sz="3" w:space="0" w:color="000000"/>
            </w:tcBorders>
          </w:tcPr>
          <w:p>
            <w:pPr>
              <w:pStyle w:val="TableParagraph"/>
              <w:spacing w:before="173"/>
              <w:ind w:left="2"/>
              <w:jc w:val="center"/>
              <w:rPr>
                <w:rFonts w:ascii="Calibri"/>
                <w:sz w:val="22"/>
              </w:rPr>
            </w:pPr>
            <w:r>
              <w:rPr>
                <w:rFonts w:ascii="Calibri"/>
                <w:sz w:val="22"/>
              </w:rPr>
              <w:t>3</w:t>
            </w:r>
          </w:p>
        </w:tc>
        <w:tc>
          <w:tcPr>
            <w:tcW w:w="1198" w:type="dxa"/>
            <w:tcBorders>
              <w:left w:val="single" w:sz="3" w:space="0" w:color="000000"/>
              <w:bottom w:val="single" w:sz="3" w:space="0" w:color="000000"/>
            </w:tcBorders>
          </w:tcPr>
          <w:p>
            <w:pPr>
              <w:pStyle w:val="TableParagraph"/>
              <w:spacing w:before="173"/>
              <w:ind w:right="53"/>
              <w:jc w:val="right"/>
              <w:rPr>
                <w:rFonts w:ascii="Calibri"/>
                <w:sz w:val="22"/>
              </w:rPr>
            </w:pPr>
            <w:r>
              <w:rPr>
                <w:rFonts w:ascii="Calibri"/>
                <w:sz w:val="22"/>
              </w:rPr>
              <w:t>0.04285714</w:t>
            </w:r>
          </w:p>
        </w:tc>
      </w:tr>
      <w:tr>
        <w:trPr>
          <w:trHeight w:val="308" w:hRule="exact"/>
        </w:trPr>
        <w:tc>
          <w:tcPr>
            <w:tcW w:w="1675" w:type="dxa"/>
            <w:vMerge/>
            <w:tcBorders>
              <w:right w:val="single" w:sz="3" w:space="0" w:color="000000"/>
            </w:tcBorders>
          </w:tcPr>
          <w:p>
            <w:pPr/>
          </w:p>
        </w:tc>
        <w:tc>
          <w:tcPr>
            <w:tcW w:w="1268" w:type="dxa"/>
            <w:vMerge/>
            <w:tcBorders>
              <w:left w:val="single" w:sz="3" w:space="0" w:color="000000"/>
              <w:right w:val="single" w:sz="3" w:space="0" w:color="000000"/>
            </w:tcBorders>
          </w:tcPr>
          <w:p>
            <w:pPr/>
          </w:p>
        </w:tc>
        <w:tc>
          <w:tcPr>
            <w:tcW w:w="1268" w:type="dxa"/>
            <w:tcBorders>
              <w:top w:val="single" w:sz="3" w:space="0" w:color="000000"/>
              <w:left w:val="single" w:sz="3" w:space="0" w:color="000000"/>
              <w:bottom w:val="single" w:sz="3" w:space="0" w:color="000000"/>
              <w:right w:val="single" w:sz="3" w:space="0" w:color="000000"/>
            </w:tcBorders>
          </w:tcPr>
          <w:p>
            <w:pPr>
              <w:pStyle w:val="TableParagraph"/>
              <w:spacing w:before="19"/>
              <w:ind w:left="45" w:right="42"/>
              <w:jc w:val="center"/>
              <w:rPr>
                <w:rFonts w:ascii="Calibri"/>
                <w:sz w:val="22"/>
              </w:rPr>
            </w:pPr>
            <w:r>
              <w:rPr>
                <w:rFonts w:ascii="Calibri"/>
                <w:sz w:val="22"/>
              </w:rPr>
              <w:t>0.14</w:t>
            </w:r>
          </w:p>
        </w:tc>
        <w:tc>
          <w:tcPr>
            <w:tcW w:w="2083" w:type="dxa"/>
            <w:tcBorders>
              <w:top w:val="single" w:sz="3" w:space="0" w:color="000000"/>
              <w:left w:val="single" w:sz="3" w:space="0" w:color="000000"/>
              <w:bottom w:val="single" w:sz="3" w:space="0" w:color="000000"/>
            </w:tcBorders>
          </w:tcPr>
          <w:p>
            <w:pPr>
              <w:pStyle w:val="TableParagraph"/>
              <w:spacing w:before="19"/>
              <w:ind w:left="88" w:right="78"/>
              <w:jc w:val="center"/>
              <w:rPr>
                <w:rFonts w:ascii="Calibri" w:hAnsi="Calibri"/>
                <w:sz w:val="22"/>
              </w:rPr>
            </w:pPr>
            <w:r>
              <w:rPr>
                <w:rFonts w:ascii="Calibri" w:hAnsi="Calibri"/>
                <w:sz w:val="22"/>
              </w:rPr>
              <w:t>Radiación</w:t>
            </w:r>
          </w:p>
        </w:tc>
        <w:tc>
          <w:tcPr>
            <w:tcW w:w="1010" w:type="dxa"/>
            <w:tcBorders>
              <w:top w:val="single" w:sz="3" w:space="0" w:color="000000"/>
              <w:bottom w:val="single" w:sz="3" w:space="0" w:color="000000"/>
              <w:right w:val="single" w:sz="3" w:space="0" w:color="000000"/>
            </w:tcBorders>
          </w:tcPr>
          <w:p>
            <w:pPr>
              <w:pStyle w:val="TableParagraph"/>
              <w:spacing w:before="19"/>
              <w:ind w:right="2"/>
              <w:jc w:val="center"/>
              <w:rPr>
                <w:rFonts w:ascii="Calibri"/>
                <w:sz w:val="22"/>
              </w:rPr>
            </w:pPr>
            <w:r>
              <w:rPr>
                <w:rFonts w:ascii="Calibri"/>
                <w:sz w:val="22"/>
              </w:rPr>
              <w:t>1</w:t>
            </w:r>
          </w:p>
        </w:tc>
        <w:tc>
          <w:tcPr>
            <w:tcW w:w="1157" w:type="dxa"/>
            <w:tcBorders>
              <w:top w:val="single" w:sz="3" w:space="0" w:color="000000"/>
              <w:left w:val="single" w:sz="3" w:space="0" w:color="000000"/>
              <w:bottom w:val="single" w:sz="3" w:space="0" w:color="000000"/>
              <w:right w:val="single" w:sz="3" w:space="0" w:color="000000"/>
            </w:tcBorders>
          </w:tcPr>
          <w:p>
            <w:pPr>
              <w:pStyle w:val="TableParagraph"/>
              <w:spacing w:before="19"/>
              <w:ind w:left="4"/>
              <w:jc w:val="center"/>
              <w:rPr>
                <w:rFonts w:ascii="Calibri"/>
                <w:sz w:val="22"/>
              </w:rPr>
            </w:pPr>
            <w:r>
              <w:rPr>
                <w:rFonts w:ascii="Calibri"/>
                <w:sz w:val="22"/>
              </w:rPr>
              <w:t>0</w:t>
            </w:r>
          </w:p>
        </w:tc>
        <w:tc>
          <w:tcPr>
            <w:tcW w:w="1198" w:type="dxa"/>
            <w:tcBorders>
              <w:top w:val="single" w:sz="3" w:space="0" w:color="000000"/>
              <w:left w:val="single" w:sz="3" w:space="0" w:color="000000"/>
              <w:bottom w:val="single" w:sz="3" w:space="0" w:color="000000"/>
            </w:tcBorders>
          </w:tcPr>
          <w:p>
            <w:pPr>
              <w:pStyle w:val="TableParagraph"/>
              <w:spacing w:before="19"/>
              <w:ind w:left="7"/>
              <w:jc w:val="center"/>
              <w:rPr>
                <w:rFonts w:ascii="Calibri"/>
                <w:sz w:val="22"/>
              </w:rPr>
            </w:pPr>
            <w:r>
              <w:rPr>
                <w:rFonts w:ascii="Calibri"/>
                <w:sz w:val="22"/>
              </w:rPr>
              <w:t>0</w:t>
            </w:r>
          </w:p>
        </w:tc>
        <w:tc>
          <w:tcPr>
            <w:tcW w:w="1082" w:type="dxa"/>
            <w:tcBorders>
              <w:top w:val="single" w:sz="3" w:space="0" w:color="000000"/>
              <w:bottom w:val="single" w:sz="3" w:space="0" w:color="000000"/>
              <w:right w:val="single" w:sz="3" w:space="0" w:color="000000"/>
            </w:tcBorders>
          </w:tcPr>
          <w:p>
            <w:pPr>
              <w:pStyle w:val="TableParagraph"/>
              <w:spacing w:before="19"/>
              <w:ind w:left="173" w:right="174"/>
              <w:jc w:val="center"/>
              <w:rPr>
                <w:rFonts w:ascii="Calibri"/>
                <w:sz w:val="22"/>
              </w:rPr>
            </w:pPr>
            <w:r>
              <w:rPr>
                <w:rFonts w:ascii="Calibri"/>
                <w:sz w:val="22"/>
              </w:rPr>
              <w:t>0.6</w:t>
            </w:r>
          </w:p>
        </w:tc>
        <w:tc>
          <w:tcPr>
            <w:tcW w:w="1157" w:type="dxa"/>
            <w:tcBorders>
              <w:top w:val="single" w:sz="3" w:space="0" w:color="000000"/>
              <w:left w:val="single" w:sz="3" w:space="0" w:color="000000"/>
              <w:bottom w:val="single" w:sz="3" w:space="0" w:color="000000"/>
              <w:right w:val="single" w:sz="3" w:space="0" w:color="000000"/>
            </w:tcBorders>
          </w:tcPr>
          <w:p>
            <w:pPr>
              <w:pStyle w:val="TableParagraph"/>
              <w:spacing w:before="19"/>
              <w:ind w:left="2"/>
              <w:jc w:val="center"/>
              <w:rPr>
                <w:rFonts w:ascii="Calibri"/>
                <w:sz w:val="22"/>
              </w:rPr>
            </w:pPr>
            <w:r>
              <w:rPr>
                <w:rFonts w:ascii="Calibri"/>
                <w:sz w:val="22"/>
              </w:rPr>
              <w:t>4</w:t>
            </w:r>
          </w:p>
        </w:tc>
        <w:tc>
          <w:tcPr>
            <w:tcW w:w="1198" w:type="dxa"/>
            <w:tcBorders>
              <w:top w:val="single" w:sz="3" w:space="0" w:color="000000"/>
              <w:left w:val="single" w:sz="3" w:space="0" w:color="000000"/>
              <w:bottom w:val="single" w:sz="3" w:space="0" w:color="000000"/>
            </w:tcBorders>
          </w:tcPr>
          <w:p>
            <w:pPr>
              <w:pStyle w:val="TableParagraph"/>
              <w:spacing w:before="19"/>
              <w:ind w:right="53"/>
              <w:jc w:val="right"/>
              <w:rPr>
                <w:rFonts w:ascii="Calibri"/>
                <w:sz w:val="22"/>
              </w:rPr>
            </w:pPr>
            <w:r>
              <w:rPr>
                <w:rFonts w:ascii="Calibri"/>
                <w:sz w:val="22"/>
              </w:rPr>
              <w:t>0.05714286</w:t>
            </w:r>
          </w:p>
        </w:tc>
      </w:tr>
      <w:tr>
        <w:trPr>
          <w:trHeight w:val="313" w:hRule="exact"/>
        </w:trPr>
        <w:tc>
          <w:tcPr>
            <w:tcW w:w="1675" w:type="dxa"/>
            <w:vMerge/>
            <w:tcBorders>
              <w:right w:val="single" w:sz="3" w:space="0" w:color="000000"/>
            </w:tcBorders>
          </w:tcPr>
          <w:p>
            <w:pPr/>
          </w:p>
        </w:tc>
        <w:tc>
          <w:tcPr>
            <w:tcW w:w="1268" w:type="dxa"/>
            <w:vMerge/>
            <w:tcBorders>
              <w:left w:val="single" w:sz="3" w:space="0" w:color="000000"/>
              <w:right w:val="single" w:sz="3" w:space="0" w:color="000000"/>
            </w:tcBorders>
          </w:tcPr>
          <w:p>
            <w:pPr/>
          </w:p>
        </w:tc>
        <w:tc>
          <w:tcPr>
            <w:tcW w:w="1268" w:type="dxa"/>
            <w:tcBorders>
              <w:top w:val="single" w:sz="3" w:space="0" w:color="000000"/>
              <w:left w:val="single" w:sz="3" w:space="0" w:color="000000"/>
              <w:bottom w:val="single" w:sz="3" w:space="0" w:color="000000"/>
              <w:right w:val="single" w:sz="3" w:space="0" w:color="000000"/>
            </w:tcBorders>
          </w:tcPr>
          <w:p>
            <w:pPr>
              <w:pStyle w:val="TableParagraph"/>
              <w:spacing w:before="24"/>
              <w:ind w:left="45" w:right="42"/>
              <w:jc w:val="center"/>
              <w:rPr>
                <w:rFonts w:ascii="Calibri"/>
                <w:sz w:val="22"/>
              </w:rPr>
            </w:pPr>
            <w:r>
              <w:rPr>
                <w:rFonts w:ascii="Calibri"/>
                <w:sz w:val="22"/>
              </w:rPr>
              <w:t>0.14</w:t>
            </w:r>
          </w:p>
        </w:tc>
        <w:tc>
          <w:tcPr>
            <w:tcW w:w="2083" w:type="dxa"/>
            <w:tcBorders>
              <w:top w:val="single" w:sz="3" w:space="0" w:color="000000"/>
              <w:left w:val="single" w:sz="3" w:space="0" w:color="000000"/>
              <w:bottom w:val="single" w:sz="3" w:space="0" w:color="000000"/>
            </w:tcBorders>
          </w:tcPr>
          <w:p>
            <w:pPr>
              <w:pStyle w:val="TableParagraph"/>
              <w:spacing w:before="24"/>
              <w:ind w:left="85" w:right="79"/>
              <w:jc w:val="center"/>
              <w:rPr>
                <w:rFonts w:ascii="Calibri"/>
                <w:sz w:val="22"/>
              </w:rPr>
            </w:pPr>
            <w:r>
              <w:rPr>
                <w:rFonts w:ascii="Calibri"/>
                <w:sz w:val="22"/>
              </w:rPr>
              <w:t>Capa de ozono</w:t>
            </w:r>
          </w:p>
        </w:tc>
        <w:tc>
          <w:tcPr>
            <w:tcW w:w="1010" w:type="dxa"/>
            <w:tcBorders>
              <w:top w:val="single" w:sz="3" w:space="0" w:color="000000"/>
              <w:bottom w:val="single" w:sz="3" w:space="0" w:color="000000"/>
              <w:right w:val="single" w:sz="3" w:space="0" w:color="000000"/>
            </w:tcBorders>
          </w:tcPr>
          <w:p>
            <w:pPr>
              <w:pStyle w:val="TableParagraph"/>
              <w:spacing w:before="24"/>
              <w:ind w:right="2"/>
              <w:jc w:val="center"/>
              <w:rPr>
                <w:rFonts w:ascii="Calibri"/>
                <w:sz w:val="22"/>
              </w:rPr>
            </w:pPr>
            <w:r>
              <w:rPr>
                <w:rFonts w:ascii="Calibri"/>
                <w:sz w:val="22"/>
              </w:rPr>
              <w:t>1</w:t>
            </w:r>
          </w:p>
        </w:tc>
        <w:tc>
          <w:tcPr>
            <w:tcW w:w="1157" w:type="dxa"/>
            <w:tcBorders>
              <w:top w:val="single" w:sz="3" w:space="0" w:color="000000"/>
              <w:left w:val="single" w:sz="3" w:space="0" w:color="000000"/>
              <w:bottom w:val="single" w:sz="3" w:space="0" w:color="000000"/>
              <w:right w:val="single" w:sz="3" w:space="0" w:color="000000"/>
            </w:tcBorders>
          </w:tcPr>
          <w:p>
            <w:pPr>
              <w:pStyle w:val="TableParagraph"/>
              <w:spacing w:before="24"/>
              <w:ind w:left="4"/>
              <w:jc w:val="center"/>
              <w:rPr>
                <w:rFonts w:ascii="Calibri"/>
                <w:sz w:val="22"/>
              </w:rPr>
            </w:pPr>
            <w:r>
              <w:rPr>
                <w:rFonts w:ascii="Calibri"/>
                <w:sz w:val="22"/>
              </w:rPr>
              <w:t>0</w:t>
            </w:r>
          </w:p>
        </w:tc>
        <w:tc>
          <w:tcPr>
            <w:tcW w:w="1198" w:type="dxa"/>
            <w:tcBorders>
              <w:top w:val="single" w:sz="3" w:space="0" w:color="000000"/>
              <w:left w:val="single" w:sz="3" w:space="0" w:color="000000"/>
              <w:bottom w:val="single" w:sz="3" w:space="0" w:color="000000"/>
            </w:tcBorders>
          </w:tcPr>
          <w:p>
            <w:pPr>
              <w:pStyle w:val="TableParagraph"/>
              <w:spacing w:before="24"/>
              <w:ind w:left="7"/>
              <w:jc w:val="center"/>
              <w:rPr>
                <w:rFonts w:ascii="Calibri"/>
                <w:sz w:val="22"/>
              </w:rPr>
            </w:pPr>
            <w:r>
              <w:rPr>
                <w:rFonts w:ascii="Calibri"/>
                <w:sz w:val="22"/>
              </w:rPr>
              <w:t>0</w:t>
            </w:r>
          </w:p>
        </w:tc>
        <w:tc>
          <w:tcPr>
            <w:tcW w:w="1082" w:type="dxa"/>
            <w:tcBorders>
              <w:top w:val="single" w:sz="3" w:space="0" w:color="000000"/>
              <w:bottom w:val="single" w:sz="3" w:space="0" w:color="000000"/>
              <w:right w:val="single" w:sz="3" w:space="0" w:color="000000"/>
            </w:tcBorders>
          </w:tcPr>
          <w:p>
            <w:pPr>
              <w:pStyle w:val="TableParagraph"/>
              <w:spacing w:before="24"/>
              <w:ind w:left="173" w:right="174"/>
              <w:jc w:val="center"/>
              <w:rPr>
                <w:rFonts w:ascii="Calibri"/>
                <w:sz w:val="22"/>
              </w:rPr>
            </w:pPr>
            <w:r>
              <w:rPr>
                <w:rFonts w:ascii="Calibri"/>
                <w:sz w:val="22"/>
              </w:rPr>
              <w:t>0.1</w:t>
            </w:r>
          </w:p>
        </w:tc>
        <w:tc>
          <w:tcPr>
            <w:tcW w:w="1157" w:type="dxa"/>
            <w:tcBorders>
              <w:top w:val="single" w:sz="3" w:space="0" w:color="000000"/>
              <w:left w:val="single" w:sz="3" w:space="0" w:color="000000"/>
              <w:bottom w:val="single" w:sz="3" w:space="0" w:color="000000"/>
              <w:right w:val="single" w:sz="3" w:space="0" w:color="000000"/>
            </w:tcBorders>
          </w:tcPr>
          <w:p>
            <w:pPr>
              <w:pStyle w:val="TableParagraph"/>
              <w:spacing w:before="24"/>
              <w:ind w:left="2"/>
              <w:jc w:val="center"/>
              <w:rPr>
                <w:rFonts w:ascii="Calibri"/>
                <w:sz w:val="22"/>
              </w:rPr>
            </w:pPr>
            <w:r>
              <w:rPr>
                <w:rFonts w:ascii="Calibri"/>
                <w:sz w:val="22"/>
              </w:rPr>
              <w:t>9</w:t>
            </w:r>
          </w:p>
        </w:tc>
        <w:tc>
          <w:tcPr>
            <w:tcW w:w="1198" w:type="dxa"/>
            <w:tcBorders>
              <w:top w:val="single" w:sz="3" w:space="0" w:color="000000"/>
              <w:left w:val="single" w:sz="3" w:space="0" w:color="000000"/>
              <w:bottom w:val="single" w:sz="3" w:space="0" w:color="000000"/>
            </w:tcBorders>
          </w:tcPr>
          <w:p>
            <w:pPr>
              <w:pStyle w:val="TableParagraph"/>
              <w:spacing w:before="24"/>
              <w:ind w:right="53"/>
              <w:jc w:val="right"/>
              <w:rPr>
                <w:rFonts w:ascii="Calibri"/>
                <w:sz w:val="22"/>
              </w:rPr>
            </w:pPr>
            <w:r>
              <w:rPr>
                <w:rFonts w:ascii="Calibri"/>
                <w:sz w:val="22"/>
              </w:rPr>
              <w:t>0.12857143</w:t>
            </w:r>
          </w:p>
        </w:tc>
      </w:tr>
      <w:tr>
        <w:trPr>
          <w:trHeight w:val="308" w:hRule="exact"/>
        </w:trPr>
        <w:tc>
          <w:tcPr>
            <w:tcW w:w="1675" w:type="dxa"/>
            <w:vMerge/>
            <w:tcBorders>
              <w:right w:val="single" w:sz="3" w:space="0" w:color="000000"/>
            </w:tcBorders>
          </w:tcPr>
          <w:p>
            <w:pPr/>
          </w:p>
        </w:tc>
        <w:tc>
          <w:tcPr>
            <w:tcW w:w="1268" w:type="dxa"/>
            <w:vMerge/>
            <w:tcBorders>
              <w:left w:val="single" w:sz="3" w:space="0" w:color="000000"/>
              <w:right w:val="single" w:sz="3" w:space="0" w:color="000000"/>
            </w:tcBorders>
          </w:tcPr>
          <w:p>
            <w:pPr/>
          </w:p>
        </w:tc>
        <w:tc>
          <w:tcPr>
            <w:tcW w:w="1268" w:type="dxa"/>
            <w:tcBorders>
              <w:top w:val="single" w:sz="3" w:space="0" w:color="000000"/>
              <w:left w:val="single" w:sz="3" w:space="0" w:color="000000"/>
              <w:bottom w:val="single" w:sz="3" w:space="0" w:color="000000"/>
              <w:right w:val="single" w:sz="3" w:space="0" w:color="000000"/>
            </w:tcBorders>
          </w:tcPr>
          <w:p>
            <w:pPr>
              <w:pStyle w:val="TableParagraph"/>
              <w:spacing w:before="19"/>
              <w:ind w:left="45" w:right="42"/>
              <w:jc w:val="center"/>
              <w:rPr>
                <w:rFonts w:ascii="Calibri"/>
                <w:sz w:val="22"/>
              </w:rPr>
            </w:pPr>
            <w:r>
              <w:rPr>
                <w:rFonts w:ascii="Calibri"/>
                <w:sz w:val="22"/>
              </w:rPr>
              <w:t>0.14</w:t>
            </w:r>
          </w:p>
        </w:tc>
        <w:tc>
          <w:tcPr>
            <w:tcW w:w="2083" w:type="dxa"/>
            <w:tcBorders>
              <w:top w:val="single" w:sz="3" w:space="0" w:color="000000"/>
              <w:left w:val="single" w:sz="3" w:space="0" w:color="000000"/>
              <w:bottom w:val="single" w:sz="3" w:space="0" w:color="000000"/>
            </w:tcBorders>
          </w:tcPr>
          <w:p>
            <w:pPr>
              <w:pStyle w:val="TableParagraph"/>
              <w:spacing w:before="19"/>
              <w:ind w:left="85" w:right="79"/>
              <w:jc w:val="center"/>
              <w:rPr>
                <w:rFonts w:ascii="Calibri"/>
                <w:sz w:val="22"/>
              </w:rPr>
            </w:pPr>
            <w:r>
              <w:rPr>
                <w:rFonts w:ascii="Calibri"/>
                <w:sz w:val="22"/>
              </w:rPr>
              <w:t>Ecotoxicidad</w:t>
            </w:r>
          </w:p>
        </w:tc>
        <w:tc>
          <w:tcPr>
            <w:tcW w:w="1010" w:type="dxa"/>
            <w:tcBorders>
              <w:top w:val="single" w:sz="3" w:space="0" w:color="000000"/>
              <w:bottom w:val="single" w:sz="3" w:space="0" w:color="000000"/>
              <w:right w:val="single" w:sz="3" w:space="0" w:color="000000"/>
            </w:tcBorders>
          </w:tcPr>
          <w:p>
            <w:pPr>
              <w:pStyle w:val="TableParagraph"/>
              <w:spacing w:before="19"/>
              <w:ind w:right="2"/>
              <w:jc w:val="center"/>
              <w:rPr>
                <w:rFonts w:ascii="Calibri"/>
                <w:sz w:val="22"/>
              </w:rPr>
            </w:pPr>
            <w:r>
              <w:rPr>
                <w:rFonts w:ascii="Calibri"/>
                <w:sz w:val="22"/>
              </w:rPr>
              <w:t>1</w:t>
            </w:r>
          </w:p>
        </w:tc>
        <w:tc>
          <w:tcPr>
            <w:tcW w:w="1157" w:type="dxa"/>
            <w:tcBorders>
              <w:top w:val="single" w:sz="3" w:space="0" w:color="000000"/>
              <w:left w:val="single" w:sz="3" w:space="0" w:color="000000"/>
              <w:bottom w:val="single" w:sz="3" w:space="0" w:color="000000"/>
              <w:right w:val="single" w:sz="3" w:space="0" w:color="000000"/>
            </w:tcBorders>
          </w:tcPr>
          <w:p>
            <w:pPr>
              <w:pStyle w:val="TableParagraph"/>
              <w:spacing w:before="19"/>
              <w:ind w:left="4"/>
              <w:jc w:val="center"/>
              <w:rPr>
                <w:rFonts w:ascii="Calibri"/>
                <w:sz w:val="22"/>
              </w:rPr>
            </w:pPr>
            <w:r>
              <w:rPr>
                <w:rFonts w:ascii="Calibri"/>
                <w:sz w:val="22"/>
              </w:rPr>
              <w:t>0</w:t>
            </w:r>
          </w:p>
        </w:tc>
        <w:tc>
          <w:tcPr>
            <w:tcW w:w="1198" w:type="dxa"/>
            <w:tcBorders>
              <w:top w:val="single" w:sz="3" w:space="0" w:color="000000"/>
              <w:left w:val="single" w:sz="3" w:space="0" w:color="000000"/>
              <w:bottom w:val="single" w:sz="3" w:space="0" w:color="000000"/>
            </w:tcBorders>
          </w:tcPr>
          <w:p>
            <w:pPr>
              <w:pStyle w:val="TableParagraph"/>
              <w:spacing w:before="19"/>
              <w:ind w:left="7"/>
              <w:jc w:val="center"/>
              <w:rPr>
                <w:rFonts w:ascii="Calibri"/>
                <w:sz w:val="22"/>
              </w:rPr>
            </w:pPr>
            <w:r>
              <w:rPr>
                <w:rFonts w:ascii="Calibri"/>
                <w:sz w:val="22"/>
              </w:rPr>
              <w:t>0</w:t>
            </w:r>
          </w:p>
        </w:tc>
        <w:tc>
          <w:tcPr>
            <w:tcW w:w="1082" w:type="dxa"/>
            <w:tcBorders>
              <w:top w:val="single" w:sz="3" w:space="0" w:color="000000"/>
              <w:bottom w:val="single" w:sz="3" w:space="0" w:color="000000"/>
              <w:right w:val="single" w:sz="3" w:space="0" w:color="000000"/>
            </w:tcBorders>
          </w:tcPr>
          <w:p>
            <w:pPr>
              <w:pStyle w:val="TableParagraph"/>
              <w:spacing w:before="19"/>
              <w:ind w:left="173" w:right="174"/>
              <w:jc w:val="center"/>
              <w:rPr>
                <w:rFonts w:ascii="Calibri"/>
                <w:sz w:val="22"/>
              </w:rPr>
            </w:pPr>
            <w:r>
              <w:rPr>
                <w:rFonts w:ascii="Calibri"/>
                <w:sz w:val="22"/>
              </w:rPr>
              <w:t>0.8</w:t>
            </w:r>
          </w:p>
        </w:tc>
        <w:tc>
          <w:tcPr>
            <w:tcW w:w="1157" w:type="dxa"/>
            <w:tcBorders>
              <w:top w:val="single" w:sz="3" w:space="0" w:color="000000"/>
              <w:left w:val="single" w:sz="3" w:space="0" w:color="000000"/>
              <w:bottom w:val="single" w:sz="3" w:space="0" w:color="000000"/>
              <w:right w:val="single" w:sz="3" w:space="0" w:color="000000"/>
            </w:tcBorders>
          </w:tcPr>
          <w:p>
            <w:pPr>
              <w:pStyle w:val="TableParagraph"/>
              <w:spacing w:before="19"/>
              <w:ind w:left="2"/>
              <w:jc w:val="center"/>
              <w:rPr>
                <w:rFonts w:ascii="Calibri"/>
                <w:sz w:val="22"/>
              </w:rPr>
            </w:pPr>
            <w:r>
              <w:rPr>
                <w:rFonts w:ascii="Calibri"/>
                <w:sz w:val="22"/>
              </w:rPr>
              <w:t>2</w:t>
            </w:r>
          </w:p>
        </w:tc>
        <w:tc>
          <w:tcPr>
            <w:tcW w:w="1198" w:type="dxa"/>
            <w:tcBorders>
              <w:top w:val="single" w:sz="3" w:space="0" w:color="000000"/>
              <w:left w:val="single" w:sz="3" w:space="0" w:color="000000"/>
              <w:bottom w:val="single" w:sz="3" w:space="0" w:color="000000"/>
            </w:tcBorders>
          </w:tcPr>
          <w:p>
            <w:pPr>
              <w:pStyle w:val="TableParagraph"/>
              <w:spacing w:before="19"/>
              <w:ind w:right="53"/>
              <w:jc w:val="right"/>
              <w:rPr>
                <w:rFonts w:ascii="Calibri"/>
                <w:sz w:val="22"/>
              </w:rPr>
            </w:pPr>
            <w:r>
              <w:rPr>
                <w:rFonts w:ascii="Calibri"/>
                <w:sz w:val="22"/>
              </w:rPr>
              <w:t>0.02857143</w:t>
            </w:r>
          </w:p>
        </w:tc>
      </w:tr>
      <w:tr>
        <w:trPr>
          <w:trHeight w:val="312" w:hRule="exact"/>
        </w:trPr>
        <w:tc>
          <w:tcPr>
            <w:tcW w:w="1675" w:type="dxa"/>
            <w:vMerge/>
            <w:tcBorders>
              <w:right w:val="single" w:sz="3" w:space="0" w:color="000000"/>
            </w:tcBorders>
          </w:tcPr>
          <w:p>
            <w:pPr/>
          </w:p>
        </w:tc>
        <w:tc>
          <w:tcPr>
            <w:tcW w:w="1268" w:type="dxa"/>
            <w:vMerge/>
            <w:tcBorders>
              <w:left w:val="single" w:sz="3" w:space="0" w:color="000000"/>
              <w:right w:val="single" w:sz="3" w:space="0" w:color="000000"/>
            </w:tcBorders>
          </w:tcPr>
          <w:p>
            <w:pPr/>
          </w:p>
        </w:tc>
        <w:tc>
          <w:tcPr>
            <w:tcW w:w="1268" w:type="dxa"/>
            <w:tcBorders>
              <w:top w:val="single" w:sz="3" w:space="0" w:color="000000"/>
              <w:left w:val="single" w:sz="3" w:space="0" w:color="000000"/>
              <w:bottom w:val="single" w:sz="3" w:space="0" w:color="000000"/>
              <w:right w:val="single" w:sz="3" w:space="0" w:color="000000"/>
            </w:tcBorders>
          </w:tcPr>
          <w:p>
            <w:pPr>
              <w:pStyle w:val="TableParagraph"/>
              <w:spacing w:before="23"/>
              <w:ind w:left="45" w:right="42"/>
              <w:jc w:val="center"/>
              <w:rPr>
                <w:rFonts w:ascii="Calibri"/>
                <w:sz w:val="22"/>
              </w:rPr>
            </w:pPr>
            <w:r>
              <w:rPr>
                <w:rFonts w:ascii="Calibri"/>
                <w:sz w:val="22"/>
              </w:rPr>
              <w:t>0.14</w:t>
            </w:r>
          </w:p>
        </w:tc>
        <w:tc>
          <w:tcPr>
            <w:tcW w:w="2083" w:type="dxa"/>
            <w:tcBorders>
              <w:top w:val="single" w:sz="3" w:space="0" w:color="000000"/>
              <w:left w:val="single" w:sz="3" w:space="0" w:color="000000"/>
              <w:bottom w:val="single" w:sz="3" w:space="0" w:color="000000"/>
            </w:tcBorders>
          </w:tcPr>
          <w:p>
            <w:pPr>
              <w:pStyle w:val="TableParagraph"/>
              <w:spacing w:before="23"/>
              <w:ind w:left="84" w:right="79"/>
              <w:jc w:val="center"/>
              <w:rPr>
                <w:rFonts w:ascii="Calibri" w:hAnsi="Calibri"/>
                <w:sz w:val="22"/>
              </w:rPr>
            </w:pPr>
            <w:r>
              <w:rPr>
                <w:rFonts w:ascii="Calibri" w:hAnsi="Calibri"/>
                <w:sz w:val="22"/>
              </w:rPr>
              <w:t>Eurotroficación</w:t>
            </w:r>
          </w:p>
        </w:tc>
        <w:tc>
          <w:tcPr>
            <w:tcW w:w="1010" w:type="dxa"/>
            <w:tcBorders>
              <w:top w:val="single" w:sz="3" w:space="0" w:color="000000"/>
              <w:bottom w:val="single" w:sz="3" w:space="0" w:color="000000"/>
              <w:right w:val="single" w:sz="3" w:space="0" w:color="000000"/>
            </w:tcBorders>
          </w:tcPr>
          <w:p>
            <w:pPr>
              <w:pStyle w:val="TableParagraph"/>
              <w:spacing w:before="23"/>
              <w:ind w:left="137" w:right="138"/>
              <w:jc w:val="center"/>
              <w:rPr>
                <w:rFonts w:ascii="Calibri"/>
                <w:sz w:val="22"/>
              </w:rPr>
            </w:pPr>
            <w:r>
              <w:rPr>
                <w:rFonts w:ascii="Calibri"/>
                <w:sz w:val="22"/>
              </w:rPr>
              <w:t>0.9</w:t>
            </w:r>
          </w:p>
        </w:tc>
        <w:tc>
          <w:tcPr>
            <w:tcW w:w="1157" w:type="dxa"/>
            <w:tcBorders>
              <w:top w:val="single" w:sz="3" w:space="0" w:color="000000"/>
              <w:left w:val="single" w:sz="3" w:space="0" w:color="000000"/>
              <w:bottom w:val="single" w:sz="3" w:space="0" w:color="000000"/>
              <w:right w:val="single" w:sz="3" w:space="0" w:color="000000"/>
            </w:tcBorders>
          </w:tcPr>
          <w:p>
            <w:pPr>
              <w:pStyle w:val="TableParagraph"/>
              <w:spacing w:before="23"/>
              <w:ind w:left="4"/>
              <w:jc w:val="center"/>
              <w:rPr>
                <w:rFonts w:ascii="Calibri"/>
                <w:sz w:val="22"/>
              </w:rPr>
            </w:pPr>
            <w:r>
              <w:rPr>
                <w:rFonts w:ascii="Calibri"/>
                <w:sz w:val="22"/>
              </w:rPr>
              <w:t>1</w:t>
            </w:r>
          </w:p>
        </w:tc>
        <w:tc>
          <w:tcPr>
            <w:tcW w:w="1198" w:type="dxa"/>
            <w:tcBorders>
              <w:top w:val="single" w:sz="3" w:space="0" w:color="000000"/>
              <w:left w:val="single" w:sz="3" w:space="0" w:color="000000"/>
              <w:bottom w:val="single" w:sz="3" w:space="0" w:color="000000"/>
            </w:tcBorders>
          </w:tcPr>
          <w:p>
            <w:pPr>
              <w:pStyle w:val="TableParagraph"/>
              <w:spacing w:before="23"/>
              <w:ind w:left="50" w:right="35"/>
              <w:jc w:val="center"/>
              <w:rPr>
                <w:rFonts w:ascii="Calibri"/>
                <w:sz w:val="22"/>
              </w:rPr>
            </w:pPr>
            <w:r>
              <w:rPr>
                <w:rFonts w:ascii="Calibri"/>
                <w:sz w:val="22"/>
              </w:rPr>
              <w:t>0.01428571</w:t>
            </w:r>
          </w:p>
        </w:tc>
        <w:tc>
          <w:tcPr>
            <w:tcW w:w="1082" w:type="dxa"/>
            <w:tcBorders>
              <w:top w:val="single" w:sz="3" w:space="0" w:color="000000"/>
              <w:bottom w:val="single" w:sz="3" w:space="0" w:color="000000"/>
              <w:right w:val="single" w:sz="3" w:space="0" w:color="000000"/>
            </w:tcBorders>
          </w:tcPr>
          <w:p>
            <w:pPr>
              <w:pStyle w:val="TableParagraph"/>
              <w:spacing w:before="23"/>
              <w:ind w:right="2"/>
              <w:jc w:val="center"/>
              <w:rPr>
                <w:rFonts w:ascii="Calibri"/>
                <w:sz w:val="22"/>
              </w:rPr>
            </w:pPr>
            <w:r>
              <w:rPr>
                <w:rFonts w:ascii="Calibri"/>
                <w:sz w:val="22"/>
              </w:rPr>
              <w:t>1</w:t>
            </w:r>
          </w:p>
        </w:tc>
        <w:tc>
          <w:tcPr>
            <w:tcW w:w="1157" w:type="dxa"/>
            <w:tcBorders>
              <w:top w:val="single" w:sz="3" w:space="0" w:color="000000"/>
              <w:left w:val="single" w:sz="3" w:space="0" w:color="000000"/>
              <w:bottom w:val="single" w:sz="3" w:space="0" w:color="000000"/>
              <w:right w:val="single" w:sz="3" w:space="0" w:color="000000"/>
            </w:tcBorders>
          </w:tcPr>
          <w:p>
            <w:pPr>
              <w:pStyle w:val="TableParagraph"/>
              <w:spacing w:before="23"/>
              <w:ind w:left="2"/>
              <w:jc w:val="center"/>
              <w:rPr>
                <w:rFonts w:ascii="Calibri"/>
                <w:sz w:val="22"/>
              </w:rPr>
            </w:pPr>
            <w:r>
              <w:rPr>
                <w:rFonts w:ascii="Calibri"/>
                <w:sz w:val="22"/>
              </w:rPr>
              <w:t>0</w:t>
            </w:r>
          </w:p>
        </w:tc>
        <w:tc>
          <w:tcPr>
            <w:tcW w:w="1198" w:type="dxa"/>
            <w:tcBorders>
              <w:top w:val="single" w:sz="3" w:space="0" w:color="000000"/>
              <w:left w:val="single" w:sz="3" w:space="0" w:color="000000"/>
              <w:bottom w:val="single" w:sz="3" w:space="0" w:color="000000"/>
            </w:tcBorders>
          </w:tcPr>
          <w:p>
            <w:pPr>
              <w:pStyle w:val="TableParagraph"/>
              <w:spacing w:before="23"/>
              <w:jc w:val="center"/>
              <w:rPr>
                <w:rFonts w:ascii="Calibri"/>
                <w:sz w:val="22"/>
              </w:rPr>
            </w:pPr>
            <w:r>
              <w:rPr>
                <w:rFonts w:ascii="Calibri"/>
                <w:sz w:val="22"/>
              </w:rPr>
              <w:t>0</w:t>
            </w:r>
          </w:p>
        </w:tc>
      </w:tr>
      <w:tr>
        <w:trPr>
          <w:trHeight w:val="308" w:hRule="exact"/>
        </w:trPr>
        <w:tc>
          <w:tcPr>
            <w:tcW w:w="1675" w:type="dxa"/>
            <w:vMerge/>
            <w:tcBorders>
              <w:right w:val="single" w:sz="3" w:space="0" w:color="000000"/>
            </w:tcBorders>
          </w:tcPr>
          <w:p>
            <w:pPr/>
          </w:p>
        </w:tc>
        <w:tc>
          <w:tcPr>
            <w:tcW w:w="1268" w:type="dxa"/>
            <w:vMerge/>
            <w:tcBorders>
              <w:left w:val="single" w:sz="3" w:space="0" w:color="000000"/>
              <w:right w:val="single" w:sz="3" w:space="0" w:color="000000"/>
            </w:tcBorders>
          </w:tcPr>
          <w:p>
            <w:pPr/>
          </w:p>
        </w:tc>
        <w:tc>
          <w:tcPr>
            <w:tcW w:w="1268" w:type="dxa"/>
            <w:tcBorders>
              <w:top w:val="single" w:sz="3" w:space="0" w:color="000000"/>
              <w:left w:val="single" w:sz="3" w:space="0" w:color="000000"/>
              <w:bottom w:val="single" w:sz="3" w:space="0" w:color="000000"/>
              <w:right w:val="single" w:sz="3" w:space="0" w:color="000000"/>
            </w:tcBorders>
          </w:tcPr>
          <w:p>
            <w:pPr>
              <w:pStyle w:val="TableParagraph"/>
              <w:spacing w:before="19"/>
              <w:ind w:left="45" w:right="42"/>
              <w:jc w:val="center"/>
              <w:rPr>
                <w:rFonts w:ascii="Calibri"/>
                <w:sz w:val="22"/>
              </w:rPr>
            </w:pPr>
            <w:r>
              <w:rPr>
                <w:rFonts w:ascii="Calibri"/>
                <w:sz w:val="22"/>
              </w:rPr>
              <w:t>0.14</w:t>
            </w:r>
          </w:p>
        </w:tc>
        <w:tc>
          <w:tcPr>
            <w:tcW w:w="2083" w:type="dxa"/>
            <w:tcBorders>
              <w:top w:val="single" w:sz="3" w:space="0" w:color="000000"/>
              <w:left w:val="single" w:sz="3" w:space="0" w:color="000000"/>
              <w:bottom w:val="single" w:sz="3" w:space="0" w:color="000000"/>
            </w:tcBorders>
          </w:tcPr>
          <w:p>
            <w:pPr>
              <w:pStyle w:val="TableParagraph"/>
              <w:spacing w:before="19"/>
              <w:ind w:left="83" w:right="79"/>
              <w:jc w:val="center"/>
              <w:rPr>
                <w:rFonts w:ascii="Calibri"/>
                <w:sz w:val="22"/>
              </w:rPr>
            </w:pPr>
            <w:r>
              <w:rPr>
                <w:rFonts w:ascii="Calibri"/>
                <w:sz w:val="22"/>
              </w:rPr>
              <w:t>Minerales</w:t>
            </w:r>
          </w:p>
        </w:tc>
        <w:tc>
          <w:tcPr>
            <w:tcW w:w="1010" w:type="dxa"/>
            <w:tcBorders>
              <w:top w:val="single" w:sz="3" w:space="0" w:color="000000"/>
              <w:bottom w:val="single" w:sz="3" w:space="0" w:color="000000"/>
              <w:right w:val="single" w:sz="3" w:space="0" w:color="000000"/>
            </w:tcBorders>
          </w:tcPr>
          <w:p>
            <w:pPr>
              <w:pStyle w:val="TableParagraph"/>
              <w:spacing w:before="19"/>
              <w:ind w:right="2"/>
              <w:jc w:val="center"/>
              <w:rPr>
                <w:rFonts w:ascii="Calibri"/>
                <w:sz w:val="22"/>
              </w:rPr>
            </w:pPr>
            <w:r>
              <w:rPr>
                <w:rFonts w:ascii="Calibri"/>
                <w:sz w:val="22"/>
              </w:rPr>
              <w:t>1</w:t>
            </w:r>
          </w:p>
        </w:tc>
        <w:tc>
          <w:tcPr>
            <w:tcW w:w="1157" w:type="dxa"/>
            <w:tcBorders>
              <w:top w:val="single" w:sz="3" w:space="0" w:color="000000"/>
              <w:left w:val="single" w:sz="3" w:space="0" w:color="000000"/>
              <w:bottom w:val="single" w:sz="3" w:space="0" w:color="000000"/>
              <w:right w:val="single" w:sz="3" w:space="0" w:color="000000"/>
            </w:tcBorders>
          </w:tcPr>
          <w:p>
            <w:pPr>
              <w:pStyle w:val="TableParagraph"/>
              <w:spacing w:before="19"/>
              <w:ind w:left="4"/>
              <w:jc w:val="center"/>
              <w:rPr>
                <w:rFonts w:ascii="Calibri"/>
                <w:sz w:val="22"/>
              </w:rPr>
            </w:pPr>
            <w:r>
              <w:rPr>
                <w:rFonts w:ascii="Calibri"/>
                <w:sz w:val="22"/>
              </w:rPr>
              <w:t>0</w:t>
            </w:r>
          </w:p>
        </w:tc>
        <w:tc>
          <w:tcPr>
            <w:tcW w:w="1198" w:type="dxa"/>
            <w:tcBorders>
              <w:top w:val="single" w:sz="3" w:space="0" w:color="000000"/>
              <w:left w:val="single" w:sz="3" w:space="0" w:color="000000"/>
              <w:bottom w:val="single" w:sz="3" w:space="0" w:color="000000"/>
            </w:tcBorders>
          </w:tcPr>
          <w:p>
            <w:pPr>
              <w:pStyle w:val="TableParagraph"/>
              <w:spacing w:before="19"/>
              <w:ind w:left="7"/>
              <w:jc w:val="center"/>
              <w:rPr>
                <w:rFonts w:ascii="Calibri"/>
                <w:sz w:val="22"/>
              </w:rPr>
            </w:pPr>
            <w:r>
              <w:rPr>
                <w:rFonts w:ascii="Calibri"/>
                <w:sz w:val="22"/>
              </w:rPr>
              <w:t>0</w:t>
            </w:r>
          </w:p>
        </w:tc>
        <w:tc>
          <w:tcPr>
            <w:tcW w:w="1082" w:type="dxa"/>
            <w:tcBorders>
              <w:top w:val="single" w:sz="3" w:space="0" w:color="000000"/>
              <w:bottom w:val="single" w:sz="3" w:space="0" w:color="000000"/>
              <w:right w:val="single" w:sz="3" w:space="0" w:color="000000"/>
            </w:tcBorders>
          </w:tcPr>
          <w:p>
            <w:pPr>
              <w:pStyle w:val="TableParagraph"/>
              <w:spacing w:before="19"/>
              <w:ind w:left="173" w:right="174"/>
              <w:jc w:val="center"/>
              <w:rPr>
                <w:rFonts w:ascii="Calibri"/>
                <w:sz w:val="22"/>
              </w:rPr>
            </w:pPr>
            <w:r>
              <w:rPr>
                <w:rFonts w:ascii="Calibri"/>
                <w:sz w:val="22"/>
              </w:rPr>
              <w:t>0.8</w:t>
            </w:r>
          </w:p>
        </w:tc>
        <w:tc>
          <w:tcPr>
            <w:tcW w:w="1157" w:type="dxa"/>
            <w:tcBorders>
              <w:top w:val="single" w:sz="3" w:space="0" w:color="000000"/>
              <w:left w:val="single" w:sz="3" w:space="0" w:color="000000"/>
              <w:bottom w:val="single" w:sz="3" w:space="0" w:color="000000"/>
              <w:right w:val="single" w:sz="3" w:space="0" w:color="000000"/>
            </w:tcBorders>
          </w:tcPr>
          <w:p>
            <w:pPr>
              <w:pStyle w:val="TableParagraph"/>
              <w:spacing w:before="19"/>
              <w:ind w:left="2"/>
              <w:jc w:val="center"/>
              <w:rPr>
                <w:rFonts w:ascii="Calibri"/>
                <w:sz w:val="22"/>
              </w:rPr>
            </w:pPr>
            <w:r>
              <w:rPr>
                <w:rFonts w:ascii="Calibri"/>
                <w:sz w:val="22"/>
              </w:rPr>
              <w:t>2</w:t>
            </w:r>
          </w:p>
        </w:tc>
        <w:tc>
          <w:tcPr>
            <w:tcW w:w="1198" w:type="dxa"/>
            <w:tcBorders>
              <w:top w:val="single" w:sz="3" w:space="0" w:color="000000"/>
              <w:left w:val="single" w:sz="3" w:space="0" w:color="000000"/>
              <w:bottom w:val="single" w:sz="3" w:space="0" w:color="000000"/>
            </w:tcBorders>
          </w:tcPr>
          <w:p>
            <w:pPr>
              <w:pStyle w:val="TableParagraph"/>
              <w:spacing w:before="19"/>
              <w:ind w:right="53"/>
              <w:jc w:val="right"/>
              <w:rPr>
                <w:rFonts w:ascii="Calibri"/>
                <w:sz w:val="22"/>
              </w:rPr>
            </w:pPr>
            <w:r>
              <w:rPr>
                <w:rFonts w:ascii="Calibri"/>
                <w:sz w:val="22"/>
              </w:rPr>
              <w:t>0.02857143</w:t>
            </w:r>
          </w:p>
        </w:tc>
      </w:tr>
      <w:tr>
        <w:trPr>
          <w:trHeight w:val="624" w:hRule="exact"/>
        </w:trPr>
        <w:tc>
          <w:tcPr>
            <w:tcW w:w="1675" w:type="dxa"/>
            <w:vMerge/>
            <w:tcBorders>
              <w:bottom w:val="single" w:sz="3" w:space="0" w:color="000000"/>
              <w:right w:val="single" w:sz="3" w:space="0" w:color="000000"/>
            </w:tcBorders>
          </w:tcPr>
          <w:p>
            <w:pPr/>
          </w:p>
        </w:tc>
        <w:tc>
          <w:tcPr>
            <w:tcW w:w="1268" w:type="dxa"/>
            <w:vMerge/>
            <w:tcBorders>
              <w:left w:val="single" w:sz="3" w:space="0" w:color="000000"/>
              <w:bottom w:val="single" w:sz="3" w:space="0" w:color="000000"/>
              <w:right w:val="single" w:sz="3" w:space="0" w:color="000000"/>
            </w:tcBorders>
          </w:tcPr>
          <w:p>
            <w:pPr/>
          </w:p>
        </w:tc>
        <w:tc>
          <w:tcPr>
            <w:tcW w:w="1268" w:type="dxa"/>
            <w:tcBorders>
              <w:top w:val="single" w:sz="3" w:space="0" w:color="000000"/>
              <w:left w:val="single" w:sz="3" w:space="0" w:color="000000"/>
              <w:bottom w:val="single" w:sz="3" w:space="0" w:color="000000"/>
              <w:right w:val="single" w:sz="3" w:space="0" w:color="000000"/>
            </w:tcBorders>
          </w:tcPr>
          <w:p>
            <w:pPr>
              <w:pStyle w:val="TableParagraph"/>
              <w:spacing w:before="179"/>
              <w:ind w:left="45" w:right="42"/>
              <w:jc w:val="center"/>
              <w:rPr>
                <w:rFonts w:ascii="Calibri"/>
                <w:sz w:val="22"/>
              </w:rPr>
            </w:pPr>
            <w:r>
              <w:rPr>
                <w:rFonts w:ascii="Calibri"/>
                <w:sz w:val="22"/>
              </w:rPr>
              <w:t>0.14</w:t>
            </w:r>
          </w:p>
        </w:tc>
        <w:tc>
          <w:tcPr>
            <w:tcW w:w="2083" w:type="dxa"/>
            <w:tcBorders>
              <w:top w:val="single" w:sz="3" w:space="0" w:color="000000"/>
              <w:left w:val="single" w:sz="3" w:space="0" w:color="000000"/>
              <w:bottom w:val="single" w:sz="3" w:space="0" w:color="000000"/>
            </w:tcBorders>
          </w:tcPr>
          <w:p>
            <w:pPr>
              <w:pStyle w:val="TableParagraph"/>
              <w:spacing w:before="179"/>
              <w:ind w:left="88" w:right="79"/>
              <w:jc w:val="center"/>
              <w:rPr>
                <w:rFonts w:ascii="Calibri" w:hAnsi="Calibri"/>
                <w:sz w:val="22"/>
              </w:rPr>
            </w:pPr>
            <w:r>
              <w:rPr>
                <w:rFonts w:ascii="Calibri" w:hAnsi="Calibri"/>
                <w:sz w:val="22"/>
              </w:rPr>
              <w:t>Combustibles Fósiles</w:t>
            </w:r>
          </w:p>
        </w:tc>
        <w:tc>
          <w:tcPr>
            <w:tcW w:w="1010" w:type="dxa"/>
            <w:tcBorders>
              <w:top w:val="single" w:sz="3" w:space="0" w:color="000000"/>
              <w:right w:val="single" w:sz="3" w:space="0" w:color="000000"/>
            </w:tcBorders>
          </w:tcPr>
          <w:p>
            <w:pPr>
              <w:pStyle w:val="TableParagraph"/>
              <w:spacing w:before="179"/>
              <w:ind w:right="2"/>
              <w:jc w:val="center"/>
              <w:rPr>
                <w:rFonts w:ascii="Calibri"/>
                <w:sz w:val="22"/>
              </w:rPr>
            </w:pPr>
            <w:r>
              <w:rPr>
                <w:rFonts w:ascii="Calibri"/>
                <w:sz w:val="22"/>
              </w:rPr>
              <w:t>1</w:t>
            </w:r>
          </w:p>
        </w:tc>
        <w:tc>
          <w:tcPr>
            <w:tcW w:w="1157" w:type="dxa"/>
            <w:tcBorders>
              <w:top w:val="single" w:sz="3" w:space="0" w:color="000000"/>
              <w:left w:val="single" w:sz="3" w:space="0" w:color="000000"/>
              <w:right w:val="single" w:sz="3" w:space="0" w:color="000000"/>
            </w:tcBorders>
          </w:tcPr>
          <w:p>
            <w:pPr>
              <w:pStyle w:val="TableParagraph"/>
              <w:spacing w:before="179"/>
              <w:ind w:left="4"/>
              <w:jc w:val="center"/>
              <w:rPr>
                <w:rFonts w:ascii="Calibri"/>
                <w:sz w:val="22"/>
              </w:rPr>
            </w:pPr>
            <w:r>
              <w:rPr>
                <w:rFonts w:ascii="Calibri"/>
                <w:sz w:val="22"/>
              </w:rPr>
              <w:t>0</w:t>
            </w:r>
          </w:p>
        </w:tc>
        <w:tc>
          <w:tcPr>
            <w:tcW w:w="1198" w:type="dxa"/>
            <w:tcBorders>
              <w:top w:val="single" w:sz="3" w:space="0" w:color="000000"/>
              <w:left w:val="single" w:sz="3" w:space="0" w:color="000000"/>
            </w:tcBorders>
          </w:tcPr>
          <w:p>
            <w:pPr>
              <w:pStyle w:val="TableParagraph"/>
              <w:spacing w:before="179"/>
              <w:ind w:left="7"/>
              <w:jc w:val="center"/>
              <w:rPr>
                <w:rFonts w:ascii="Calibri"/>
                <w:sz w:val="22"/>
              </w:rPr>
            </w:pPr>
            <w:r>
              <w:rPr>
                <w:rFonts w:ascii="Calibri"/>
                <w:sz w:val="22"/>
              </w:rPr>
              <w:t>0</w:t>
            </w:r>
          </w:p>
        </w:tc>
        <w:tc>
          <w:tcPr>
            <w:tcW w:w="1082" w:type="dxa"/>
            <w:tcBorders>
              <w:top w:val="single" w:sz="3" w:space="0" w:color="000000"/>
              <w:right w:val="single" w:sz="3" w:space="0" w:color="000000"/>
            </w:tcBorders>
          </w:tcPr>
          <w:p>
            <w:pPr>
              <w:pStyle w:val="TableParagraph"/>
              <w:spacing w:before="179"/>
              <w:ind w:right="2"/>
              <w:jc w:val="center"/>
              <w:rPr>
                <w:rFonts w:ascii="Calibri"/>
                <w:sz w:val="22"/>
              </w:rPr>
            </w:pPr>
            <w:r>
              <w:rPr>
                <w:rFonts w:ascii="Calibri"/>
                <w:sz w:val="22"/>
              </w:rPr>
              <w:t>1</w:t>
            </w:r>
          </w:p>
        </w:tc>
        <w:tc>
          <w:tcPr>
            <w:tcW w:w="1157" w:type="dxa"/>
            <w:tcBorders>
              <w:top w:val="single" w:sz="3" w:space="0" w:color="000000"/>
              <w:left w:val="single" w:sz="3" w:space="0" w:color="000000"/>
              <w:right w:val="single" w:sz="3" w:space="0" w:color="000000"/>
            </w:tcBorders>
          </w:tcPr>
          <w:p>
            <w:pPr>
              <w:pStyle w:val="TableParagraph"/>
              <w:spacing w:before="179"/>
              <w:ind w:left="2"/>
              <w:jc w:val="center"/>
              <w:rPr>
                <w:rFonts w:ascii="Calibri"/>
                <w:sz w:val="22"/>
              </w:rPr>
            </w:pPr>
            <w:r>
              <w:rPr>
                <w:rFonts w:ascii="Calibri"/>
                <w:sz w:val="22"/>
              </w:rPr>
              <w:t>0</w:t>
            </w:r>
          </w:p>
        </w:tc>
        <w:tc>
          <w:tcPr>
            <w:tcW w:w="1198" w:type="dxa"/>
            <w:tcBorders>
              <w:top w:val="single" w:sz="3" w:space="0" w:color="000000"/>
              <w:left w:val="single" w:sz="3" w:space="0" w:color="000000"/>
            </w:tcBorders>
          </w:tcPr>
          <w:p>
            <w:pPr>
              <w:pStyle w:val="TableParagraph"/>
              <w:spacing w:before="179"/>
              <w:jc w:val="center"/>
              <w:rPr>
                <w:rFonts w:ascii="Calibri"/>
                <w:sz w:val="22"/>
              </w:rPr>
            </w:pPr>
            <w:r>
              <w:rPr>
                <w:rFonts w:ascii="Calibri"/>
                <w:sz w:val="22"/>
              </w:rPr>
              <w:t>0</w:t>
            </w:r>
          </w:p>
        </w:tc>
      </w:tr>
      <w:tr>
        <w:trPr>
          <w:trHeight w:val="320" w:hRule="exact"/>
        </w:trPr>
        <w:tc>
          <w:tcPr>
            <w:tcW w:w="1675" w:type="dxa"/>
            <w:vMerge w:val="restart"/>
            <w:tcBorders>
              <w:top w:val="single" w:sz="3" w:space="0" w:color="000000"/>
              <w:right w:val="single" w:sz="3" w:space="0" w:color="000000"/>
            </w:tcBorders>
          </w:tcPr>
          <w:p>
            <w:pPr>
              <w:pStyle w:val="TableParagraph"/>
              <w:rPr>
                <w:sz w:val="22"/>
              </w:rPr>
            </w:pPr>
          </w:p>
          <w:p>
            <w:pPr>
              <w:pStyle w:val="TableParagraph"/>
              <w:rPr>
                <w:sz w:val="22"/>
              </w:rPr>
            </w:pPr>
          </w:p>
          <w:p>
            <w:pPr>
              <w:pStyle w:val="TableParagraph"/>
              <w:spacing w:before="145"/>
              <w:ind w:left="360" w:right="363"/>
              <w:jc w:val="center"/>
              <w:rPr>
                <w:rFonts w:ascii="Calibri"/>
                <w:sz w:val="22"/>
              </w:rPr>
            </w:pPr>
            <w:r>
              <w:rPr>
                <w:rFonts w:ascii="Calibri"/>
                <w:sz w:val="22"/>
              </w:rPr>
              <w:t>Salud</w:t>
            </w:r>
          </w:p>
        </w:tc>
        <w:tc>
          <w:tcPr>
            <w:tcW w:w="1268" w:type="dxa"/>
            <w:vMerge w:val="restart"/>
            <w:tcBorders>
              <w:top w:val="single" w:sz="3" w:space="0" w:color="000000"/>
              <w:left w:val="single" w:sz="3" w:space="0" w:color="000000"/>
              <w:right w:val="single" w:sz="3" w:space="0" w:color="000000"/>
            </w:tcBorders>
          </w:tcPr>
          <w:p>
            <w:pPr>
              <w:pStyle w:val="TableParagraph"/>
              <w:rPr>
                <w:sz w:val="22"/>
              </w:rPr>
            </w:pPr>
          </w:p>
          <w:p>
            <w:pPr>
              <w:pStyle w:val="TableParagraph"/>
              <w:rPr>
                <w:sz w:val="22"/>
              </w:rPr>
            </w:pPr>
          </w:p>
          <w:p>
            <w:pPr>
              <w:pStyle w:val="TableParagraph"/>
              <w:spacing w:before="145"/>
              <w:ind w:left="46" w:right="42"/>
              <w:jc w:val="center"/>
              <w:rPr>
                <w:rFonts w:ascii="Calibri"/>
                <w:sz w:val="22"/>
              </w:rPr>
            </w:pPr>
            <w:r>
              <w:rPr>
                <w:rFonts w:ascii="Calibri"/>
                <w:sz w:val="22"/>
              </w:rPr>
              <w:t>0.10</w:t>
            </w:r>
          </w:p>
        </w:tc>
        <w:tc>
          <w:tcPr>
            <w:tcW w:w="1268" w:type="dxa"/>
            <w:tcBorders>
              <w:top w:val="single" w:sz="3" w:space="0" w:color="000000"/>
              <w:left w:val="single" w:sz="3" w:space="0" w:color="000000"/>
              <w:bottom w:val="single" w:sz="3" w:space="0" w:color="000000"/>
              <w:right w:val="single" w:sz="3" w:space="0" w:color="000000"/>
            </w:tcBorders>
          </w:tcPr>
          <w:p>
            <w:pPr>
              <w:pStyle w:val="TableParagraph"/>
              <w:spacing w:before="31"/>
              <w:ind w:left="45" w:right="42"/>
              <w:jc w:val="center"/>
              <w:rPr>
                <w:rFonts w:ascii="Calibri"/>
                <w:sz w:val="22"/>
              </w:rPr>
            </w:pPr>
            <w:r>
              <w:rPr>
                <w:rFonts w:ascii="Calibri"/>
                <w:sz w:val="22"/>
              </w:rPr>
              <w:t>0.33</w:t>
            </w:r>
          </w:p>
        </w:tc>
        <w:tc>
          <w:tcPr>
            <w:tcW w:w="2083" w:type="dxa"/>
            <w:tcBorders>
              <w:top w:val="single" w:sz="3" w:space="0" w:color="000000"/>
              <w:left w:val="single" w:sz="3" w:space="0" w:color="000000"/>
              <w:bottom w:val="single" w:sz="3" w:space="0" w:color="000000"/>
            </w:tcBorders>
          </w:tcPr>
          <w:p>
            <w:pPr>
              <w:pStyle w:val="TableParagraph"/>
              <w:spacing w:before="31"/>
              <w:ind w:left="83" w:right="79"/>
              <w:jc w:val="center"/>
              <w:rPr>
                <w:rFonts w:ascii="Calibri" w:hAnsi="Calibri"/>
                <w:sz w:val="22"/>
              </w:rPr>
            </w:pPr>
            <w:r>
              <w:rPr>
                <w:rFonts w:ascii="Calibri" w:hAnsi="Calibri"/>
                <w:sz w:val="22"/>
              </w:rPr>
              <w:t>Cancerígenos</w:t>
            </w:r>
          </w:p>
        </w:tc>
        <w:tc>
          <w:tcPr>
            <w:tcW w:w="1010" w:type="dxa"/>
            <w:tcBorders>
              <w:bottom w:val="single" w:sz="3" w:space="0" w:color="000000"/>
              <w:right w:val="single" w:sz="3" w:space="0" w:color="000000"/>
            </w:tcBorders>
          </w:tcPr>
          <w:p>
            <w:pPr>
              <w:pStyle w:val="TableParagraph"/>
              <w:spacing w:before="25"/>
              <w:ind w:right="2"/>
              <w:jc w:val="center"/>
              <w:rPr>
                <w:rFonts w:ascii="Calibri"/>
                <w:sz w:val="22"/>
              </w:rPr>
            </w:pPr>
            <w:r>
              <w:rPr>
                <w:rFonts w:ascii="Calibri"/>
                <w:sz w:val="22"/>
              </w:rPr>
              <w:t>1</w:t>
            </w:r>
          </w:p>
        </w:tc>
        <w:tc>
          <w:tcPr>
            <w:tcW w:w="1157" w:type="dxa"/>
            <w:tcBorders>
              <w:left w:val="single" w:sz="3" w:space="0" w:color="000000"/>
              <w:bottom w:val="single" w:sz="3" w:space="0" w:color="000000"/>
              <w:right w:val="single" w:sz="3" w:space="0" w:color="000000"/>
            </w:tcBorders>
          </w:tcPr>
          <w:p>
            <w:pPr>
              <w:pStyle w:val="TableParagraph"/>
              <w:spacing w:before="25"/>
              <w:ind w:left="4"/>
              <w:jc w:val="center"/>
              <w:rPr>
                <w:rFonts w:ascii="Calibri"/>
                <w:sz w:val="22"/>
              </w:rPr>
            </w:pPr>
            <w:r>
              <w:rPr>
                <w:rFonts w:ascii="Calibri"/>
                <w:sz w:val="22"/>
              </w:rPr>
              <w:t>0</w:t>
            </w:r>
          </w:p>
        </w:tc>
        <w:tc>
          <w:tcPr>
            <w:tcW w:w="1198" w:type="dxa"/>
            <w:tcBorders>
              <w:left w:val="single" w:sz="3" w:space="0" w:color="000000"/>
              <w:bottom w:val="single" w:sz="3" w:space="0" w:color="000000"/>
            </w:tcBorders>
          </w:tcPr>
          <w:p>
            <w:pPr>
              <w:pStyle w:val="TableParagraph"/>
              <w:spacing w:before="25"/>
              <w:ind w:left="7"/>
              <w:jc w:val="center"/>
              <w:rPr>
                <w:rFonts w:ascii="Calibri"/>
                <w:sz w:val="22"/>
              </w:rPr>
            </w:pPr>
            <w:r>
              <w:rPr>
                <w:rFonts w:ascii="Calibri"/>
                <w:sz w:val="22"/>
              </w:rPr>
              <w:t>0</w:t>
            </w:r>
          </w:p>
        </w:tc>
        <w:tc>
          <w:tcPr>
            <w:tcW w:w="1082" w:type="dxa"/>
            <w:tcBorders>
              <w:bottom w:val="single" w:sz="3" w:space="0" w:color="000000"/>
              <w:right w:val="single" w:sz="3" w:space="0" w:color="000000"/>
            </w:tcBorders>
          </w:tcPr>
          <w:p>
            <w:pPr>
              <w:pStyle w:val="TableParagraph"/>
              <w:spacing w:before="25"/>
              <w:ind w:left="173" w:right="174"/>
              <w:jc w:val="center"/>
              <w:rPr>
                <w:rFonts w:ascii="Calibri"/>
                <w:sz w:val="22"/>
              </w:rPr>
            </w:pPr>
            <w:r>
              <w:rPr>
                <w:rFonts w:ascii="Calibri"/>
                <w:sz w:val="22"/>
              </w:rPr>
              <w:t>0.6</w:t>
            </w:r>
          </w:p>
        </w:tc>
        <w:tc>
          <w:tcPr>
            <w:tcW w:w="1157" w:type="dxa"/>
            <w:tcBorders>
              <w:left w:val="single" w:sz="3" w:space="0" w:color="000000"/>
              <w:bottom w:val="single" w:sz="3" w:space="0" w:color="000000"/>
              <w:right w:val="single" w:sz="3" w:space="0" w:color="000000"/>
            </w:tcBorders>
          </w:tcPr>
          <w:p>
            <w:pPr>
              <w:pStyle w:val="TableParagraph"/>
              <w:spacing w:before="25"/>
              <w:ind w:left="2"/>
              <w:jc w:val="center"/>
              <w:rPr>
                <w:rFonts w:ascii="Calibri"/>
                <w:sz w:val="22"/>
              </w:rPr>
            </w:pPr>
            <w:r>
              <w:rPr>
                <w:rFonts w:ascii="Calibri"/>
                <w:sz w:val="22"/>
              </w:rPr>
              <w:t>4</w:t>
            </w:r>
          </w:p>
        </w:tc>
        <w:tc>
          <w:tcPr>
            <w:tcW w:w="1198" w:type="dxa"/>
            <w:tcBorders>
              <w:left w:val="single" w:sz="3" w:space="0" w:color="000000"/>
              <w:bottom w:val="single" w:sz="3" w:space="0" w:color="000000"/>
            </w:tcBorders>
          </w:tcPr>
          <w:p>
            <w:pPr>
              <w:pStyle w:val="TableParagraph"/>
              <w:spacing w:before="25"/>
              <w:ind w:right="53"/>
              <w:jc w:val="right"/>
              <w:rPr>
                <w:rFonts w:ascii="Calibri"/>
                <w:sz w:val="22"/>
              </w:rPr>
            </w:pPr>
            <w:r>
              <w:rPr>
                <w:rFonts w:ascii="Calibri"/>
                <w:sz w:val="22"/>
              </w:rPr>
              <w:t>0.13333333</w:t>
            </w:r>
          </w:p>
        </w:tc>
      </w:tr>
      <w:tr>
        <w:trPr>
          <w:trHeight w:val="612" w:hRule="exact"/>
        </w:trPr>
        <w:tc>
          <w:tcPr>
            <w:tcW w:w="1675" w:type="dxa"/>
            <w:vMerge/>
            <w:tcBorders>
              <w:right w:val="single" w:sz="3" w:space="0" w:color="000000"/>
            </w:tcBorders>
          </w:tcPr>
          <w:p>
            <w:pPr/>
          </w:p>
        </w:tc>
        <w:tc>
          <w:tcPr>
            <w:tcW w:w="1268" w:type="dxa"/>
            <w:vMerge/>
            <w:tcBorders>
              <w:left w:val="single" w:sz="3" w:space="0" w:color="000000"/>
              <w:right w:val="single" w:sz="3" w:space="0" w:color="000000"/>
            </w:tcBorders>
          </w:tcPr>
          <w:p>
            <w:pPr/>
          </w:p>
        </w:tc>
        <w:tc>
          <w:tcPr>
            <w:tcW w:w="1268" w:type="dxa"/>
            <w:tcBorders>
              <w:top w:val="single" w:sz="3" w:space="0" w:color="000000"/>
              <w:left w:val="single" w:sz="3" w:space="0" w:color="000000"/>
              <w:bottom w:val="single" w:sz="3" w:space="0" w:color="000000"/>
              <w:right w:val="single" w:sz="3" w:space="0" w:color="000000"/>
            </w:tcBorders>
          </w:tcPr>
          <w:p>
            <w:pPr>
              <w:pStyle w:val="TableParagraph"/>
              <w:spacing w:before="171"/>
              <w:ind w:left="45" w:right="42"/>
              <w:jc w:val="center"/>
              <w:rPr>
                <w:rFonts w:ascii="Calibri"/>
                <w:sz w:val="22"/>
              </w:rPr>
            </w:pPr>
            <w:r>
              <w:rPr>
                <w:rFonts w:ascii="Calibri"/>
                <w:sz w:val="22"/>
              </w:rPr>
              <w:t>0.33</w:t>
            </w:r>
          </w:p>
        </w:tc>
        <w:tc>
          <w:tcPr>
            <w:tcW w:w="2083" w:type="dxa"/>
            <w:tcBorders>
              <w:top w:val="single" w:sz="3" w:space="0" w:color="000000"/>
              <w:left w:val="single" w:sz="3" w:space="0" w:color="000000"/>
              <w:bottom w:val="single" w:sz="3" w:space="0" w:color="000000"/>
            </w:tcBorders>
          </w:tcPr>
          <w:p>
            <w:pPr>
              <w:pStyle w:val="TableParagraph"/>
              <w:spacing w:before="39"/>
              <w:ind w:left="591" w:right="419" w:hanging="144"/>
              <w:rPr>
                <w:rFonts w:ascii="Calibri" w:hAnsi="Calibri"/>
                <w:sz w:val="22"/>
              </w:rPr>
            </w:pPr>
            <w:r>
              <w:rPr>
                <w:rFonts w:ascii="Calibri" w:hAnsi="Calibri"/>
                <w:sz w:val="22"/>
              </w:rPr>
              <w:t>Respiratorios Orgánicos</w:t>
            </w:r>
          </w:p>
        </w:tc>
        <w:tc>
          <w:tcPr>
            <w:tcW w:w="1010" w:type="dxa"/>
            <w:tcBorders>
              <w:top w:val="single" w:sz="3" w:space="0" w:color="000000"/>
              <w:bottom w:val="single" w:sz="3" w:space="0" w:color="000000"/>
              <w:right w:val="single" w:sz="3" w:space="0" w:color="000000"/>
            </w:tcBorders>
          </w:tcPr>
          <w:p>
            <w:pPr>
              <w:pStyle w:val="TableParagraph"/>
              <w:spacing w:before="171"/>
              <w:ind w:right="2"/>
              <w:jc w:val="center"/>
              <w:rPr>
                <w:rFonts w:ascii="Calibri"/>
                <w:sz w:val="22"/>
              </w:rPr>
            </w:pPr>
            <w:r>
              <w:rPr>
                <w:rFonts w:ascii="Calibri"/>
                <w:sz w:val="22"/>
              </w:rPr>
              <w:t>1</w:t>
            </w:r>
          </w:p>
        </w:tc>
        <w:tc>
          <w:tcPr>
            <w:tcW w:w="1157" w:type="dxa"/>
            <w:tcBorders>
              <w:top w:val="single" w:sz="3" w:space="0" w:color="000000"/>
              <w:left w:val="single" w:sz="3" w:space="0" w:color="000000"/>
              <w:bottom w:val="single" w:sz="3" w:space="0" w:color="000000"/>
              <w:right w:val="single" w:sz="3" w:space="0" w:color="000000"/>
            </w:tcBorders>
          </w:tcPr>
          <w:p>
            <w:pPr>
              <w:pStyle w:val="TableParagraph"/>
              <w:spacing w:before="171"/>
              <w:ind w:left="4"/>
              <w:jc w:val="center"/>
              <w:rPr>
                <w:rFonts w:ascii="Calibri"/>
                <w:sz w:val="22"/>
              </w:rPr>
            </w:pPr>
            <w:r>
              <w:rPr>
                <w:rFonts w:ascii="Calibri"/>
                <w:sz w:val="22"/>
              </w:rPr>
              <w:t>0</w:t>
            </w:r>
          </w:p>
        </w:tc>
        <w:tc>
          <w:tcPr>
            <w:tcW w:w="1198" w:type="dxa"/>
            <w:tcBorders>
              <w:top w:val="single" w:sz="3" w:space="0" w:color="000000"/>
              <w:left w:val="single" w:sz="3" w:space="0" w:color="000000"/>
              <w:bottom w:val="single" w:sz="3" w:space="0" w:color="000000"/>
            </w:tcBorders>
          </w:tcPr>
          <w:p>
            <w:pPr>
              <w:pStyle w:val="TableParagraph"/>
              <w:spacing w:before="171"/>
              <w:ind w:left="7"/>
              <w:jc w:val="center"/>
              <w:rPr>
                <w:rFonts w:ascii="Calibri"/>
                <w:sz w:val="22"/>
              </w:rPr>
            </w:pPr>
            <w:r>
              <w:rPr>
                <w:rFonts w:ascii="Calibri"/>
                <w:sz w:val="22"/>
              </w:rPr>
              <w:t>0</w:t>
            </w:r>
          </w:p>
        </w:tc>
        <w:tc>
          <w:tcPr>
            <w:tcW w:w="1082" w:type="dxa"/>
            <w:tcBorders>
              <w:top w:val="single" w:sz="3" w:space="0" w:color="000000"/>
              <w:bottom w:val="single" w:sz="3" w:space="0" w:color="000000"/>
              <w:right w:val="single" w:sz="3" w:space="0" w:color="000000"/>
            </w:tcBorders>
          </w:tcPr>
          <w:p>
            <w:pPr>
              <w:pStyle w:val="TableParagraph"/>
              <w:spacing w:before="171"/>
              <w:ind w:left="173" w:right="174"/>
              <w:jc w:val="center"/>
              <w:rPr>
                <w:rFonts w:ascii="Calibri"/>
                <w:sz w:val="22"/>
              </w:rPr>
            </w:pPr>
            <w:r>
              <w:rPr>
                <w:rFonts w:ascii="Calibri"/>
                <w:sz w:val="22"/>
              </w:rPr>
              <w:t>0.5</w:t>
            </w:r>
          </w:p>
        </w:tc>
        <w:tc>
          <w:tcPr>
            <w:tcW w:w="1157" w:type="dxa"/>
            <w:tcBorders>
              <w:top w:val="single" w:sz="3" w:space="0" w:color="000000"/>
              <w:left w:val="single" w:sz="3" w:space="0" w:color="000000"/>
              <w:bottom w:val="single" w:sz="3" w:space="0" w:color="000000"/>
              <w:right w:val="single" w:sz="3" w:space="0" w:color="000000"/>
            </w:tcBorders>
          </w:tcPr>
          <w:p>
            <w:pPr>
              <w:pStyle w:val="TableParagraph"/>
              <w:spacing w:before="171"/>
              <w:ind w:left="2"/>
              <w:jc w:val="center"/>
              <w:rPr>
                <w:rFonts w:ascii="Calibri"/>
                <w:sz w:val="22"/>
              </w:rPr>
            </w:pPr>
            <w:r>
              <w:rPr>
                <w:rFonts w:ascii="Calibri"/>
                <w:sz w:val="22"/>
              </w:rPr>
              <w:t>5</w:t>
            </w:r>
          </w:p>
        </w:tc>
        <w:tc>
          <w:tcPr>
            <w:tcW w:w="1198" w:type="dxa"/>
            <w:tcBorders>
              <w:top w:val="single" w:sz="3" w:space="0" w:color="000000"/>
              <w:left w:val="single" w:sz="3" w:space="0" w:color="000000"/>
              <w:bottom w:val="single" w:sz="3" w:space="0" w:color="000000"/>
            </w:tcBorders>
          </w:tcPr>
          <w:p>
            <w:pPr>
              <w:pStyle w:val="TableParagraph"/>
              <w:spacing w:before="171"/>
              <w:ind w:left="432" w:right="432"/>
              <w:jc w:val="center"/>
              <w:rPr>
                <w:rFonts w:ascii="Calibri"/>
                <w:sz w:val="22"/>
              </w:rPr>
            </w:pPr>
            <w:r>
              <w:rPr>
                <w:rFonts w:ascii="Calibri"/>
                <w:sz w:val="22"/>
              </w:rPr>
              <w:t>0.4</w:t>
            </w:r>
          </w:p>
        </w:tc>
      </w:tr>
      <w:tr>
        <w:trPr>
          <w:trHeight w:val="625" w:hRule="exact"/>
        </w:trPr>
        <w:tc>
          <w:tcPr>
            <w:tcW w:w="1675" w:type="dxa"/>
            <w:vMerge/>
            <w:tcBorders>
              <w:bottom w:val="single" w:sz="3" w:space="0" w:color="000000"/>
              <w:right w:val="single" w:sz="3" w:space="0" w:color="000000"/>
            </w:tcBorders>
          </w:tcPr>
          <w:p>
            <w:pPr/>
          </w:p>
        </w:tc>
        <w:tc>
          <w:tcPr>
            <w:tcW w:w="1268" w:type="dxa"/>
            <w:vMerge/>
            <w:tcBorders>
              <w:left w:val="single" w:sz="3" w:space="0" w:color="000000"/>
              <w:bottom w:val="single" w:sz="3" w:space="0" w:color="000000"/>
              <w:right w:val="single" w:sz="3" w:space="0" w:color="000000"/>
            </w:tcBorders>
          </w:tcPr>
          <w:p>
            <w:pPr/>
          </w:p>
        </w:tc>
        <w:tc>
          <w:tcPr>
            <w:tcW w:w="1268" w:type="dxa"/>
            <w:tcBorders>
              <w:top w:val="single" w:sz="3" w:space="0" w:color="000000"/>
              <w:left w:val="single" w:sz="3" w:space="0" w:color="000000"/>
              <w:bottom w:val="single" w:sz="3" w:space="0" w:color="000000"/>
              <w:right w:val="single" w:sz="3" w:space="0" w:color="000000"/>
            </w:tcBorders>
          </w:tcPr>
          <w:p>
            <w:pPr>
              <w:pStyle w:val="TableParagraph"/>
              <w:spacing w:before="179"/>
              <w:ind w:left="45" w:right="42"/>
              <w:jc w:val="center"/>
              <w:rPr>
                <w:rFonts w:ascii="Calibri"/>
                <w:sz w:val="22"/>
              </w:rPr>
            </w:pPr>
            <w:r>
              <w:rPr>
                <w:rFonts w:ascii="Calibri"/>
                <w:sz w:val="22"/>
              </w:rPr>
              <w:t>0.33</w:t>
            </w:r>
          </w:p>
        </w:tc>
        <w:tc>
          <w:tcPr>
            <w:tcW w:w="2083" w:type="dxa"/>
            <w:tcBorders>
              <w:top w:val="single" w:sz="3" w:space="0" w:color="000000"/>
              <w:left w:val="single" w:sz="3" w:space="0" w:color="000000"/>
              <w:bottom w:val="single" w:sz="3" w:space="0" w:color="000000"/>
            </w:tcBorders>
          </w:tcPr>
          <w:p>
            <w:pPr>
              <w:pStyle w:val="TableParagraph"/>
              <w:spacing w:before="43"/>
              <w:ind w:left="524" w:right="418" w:hanging="76"/>
              <w:rPr>
                <w:rFonts w:ascii="Calibri" w:hAnsi="Calibri"/>
                <w:sz w:val="22"/>
              </w:rPr>
            </w:pPr>
            <w:r>
              <w:rPr>
                <w:rFonts w:ascii="Calibri" w:hAnsi="Calibri"/>
                <w:sz w:val="22"/>
              </w:rPr>
              <w:t>Respiratorios Inorgánicos</w:t>
            </w:r>
          </w:p>
        </w:tc>
        <w:tc>
          <w:tcPr>
            <w:tcW w:w="1010" w:type="dxa"/>
            <w:tcBorders>
              <w:top w:val="single" w:sz="3" w:space="0" w:color="000000"/>
              <w:right w:val="single" w:sz="3" w:space="0" w:color="000000"/>
            </w:tcBorders>
          </w:tcPr>
          <w:p>
            <w:pPr>
              <w:pStyle w:val="TableParagraph"/>
              <w:spacing w:before="179"/>
              <w:ind w:right="2"/>
              <w:jc w:val="center"/>
              <w:rPr>
                <w:rFonts w:ascii="Calibri"/>
                <w:sz w:val="22"/>
              </w:rPr>
            </w:pPr>
            <w:r>
              <w:rPr>
                <w:rFonts w:ascii="Calibri"/>
                <w:sz w:val="22"/>
              </w:rPr>
              <w:t>1</w:t>
            </w:r>
          </w:p>
        </w:tc>
        <w:tc>
          <w:tcPr>
            <w:tcW w:w="1157" w:type="dxa"/>
            <w:tcBorders>
              <w:top w:val="single" w:sz="3" w:space="0" w:color="000000"/>
              <w:left w:val="single" w:sz="3" w:space="0" w:color="000000"/>
              <w:right w:val="single" w:sz="3" w:space="0" w:color="000000"/>
            </w:tcBorders>
          </w:tcPr>
          <w:p>
            <w:pPr>
              <w:pStyle w:val="TableParagraph"/>
              <w:spacing w:before="179"/>
              <w:ind w:left="4"/>
              <w:jc w:val="center"/>
              <w:rPr>
                <w:rFonts w:ascii="Calibri"/>
                <w:sz w:val="22"/>
              </w:rPr>
            </w:pPr>
            <w:r>
              <w:rPr>
                <w:rFonts w:ascii="Calibri"/>
                <w:sz w:val="22"/>
              </w:rPr>
              <w:t>0</w:t>
            </w:r>
          </w:p>
        </w:tc>
        <w:tc>
          <w:tcPr>
            <w:tcW w:w="1198" w:type="dxa"/>
            <w:tcBorders>
              <w:top w:val="single" w:sz="3" w:space="0" w:color="000000"/>
              <w:left w:val="single" w:sz="3" w:space="0" w:color="000000"/>
            </w:tcBorders>
          </w:tcPr>
          <w:p>
            <w:pPr>
              <w:pStyle w:val="TableParagraph"/>
              <w:spacing w:before="179"/>
              <w:ind w:left="7"/>
              <w:jc w:val="center"/>
              <w:rPr>
                <w:rFonts w:ascii="Calibri"/>
                <w:sz w:val="22"/>
              </w:rPr>
            </w:pPr>
            <w:r>
              <w:rPr>
                <w:rFonts w:ascii="Calibri"/>
                <w:sz w:val="22"/>
              </w:rPr>
              <w:t>0</w:t>
            </w:r>
          </w:p>
        </w:tc>
        <w:tc>
          <w:tcPr>
            <w:tcW w:w="1082" w:type="dxa"/>
            <w:tcBorders>
              <w:top w:val="single" w:sz="3" w:space="0" w:color="000000"/>
              <w:right w:val="single" w:sz="3" w:space="0" w:color="000000"/>
            </w:tcBorders>
          </w:tcPr>
          <w:p>
            <w:pPr>
              <w:pStyle w:val="TableParagraph"/>
              <w:spacing w:before="179"/>
              <w:ind w:left="173" w:right="174"/>
              <w:jc w:val="center"/>
              <w:rPr>
                <w:rFonts w:ascii="Calibri"/>
                <w:sz w:val="22"/>
              </w:rPr>
            </w:pPr>
            <w:r>
              <w:rPr>
                <w:rFonts w:ascii="Calibri"/>
                <w:sz w:val="22"/>
              </w:rPr>
              <w:t>0.9</w:t>
            </w:r>
          </w:p>
        </w:tc>
        <w:tc>
          <w:tcPr>
            <w:tcW w:w="1157" w:type="dxa"/>
            <w:tcBorders>
              <w:top w:val="single" w:sz="3" w:space="0" w:color="000000"/>
              <w:left w:val="single" w:sz="3" w:space="0" w:color="000000"/>
              <w:right w:val="single" w:sz="3" w:space="0" w:color="000000"/>
            </w:tcBorders>
          </w:tcPr>
          <w:p>
            <w:pPr>
              <w:pStyle w:val="TableParagraph"/>
              <w:spacing w:before="179"/>
              <w:ind w:left="2"/>
              <w:jc w:val="center"/>
              <w:rPr>
                <w:rFonts w:ascii="Calibri"/>
                <w:sz w:val="22"/>
              </w:rPr>
            </w:pPr>
            <w:r>
              <w:rPr>
                <w:rFonts w:ascii="Calibri"/>
                <w:sz w:val="22"/>
              </w:rPr>
              <w:t>1</w:t>
            </w:r>
          </w:p>
        </w:tc>
        <w:tc>
          <w:tcPr>
            <w:tcW w:w="1198" w:type="dxa"/>
            <w:tcBorders>
              <w:top w:val="single" w:sz="3" w:space="0" w:color="000000"/>
              <w:left w:val="single" w:sz="3" w:space="0" w:color="000000"/>
            </w:tcBorders>
          </w:tcPr>
          <w:p>
            <w:pPr>
              <w:pStyle w:val="TableParagraph"/>
              <w:spacing w:before="179"/>
              <w:ind w:left="432" w:right="432"/>
              <w:jc w:val="center"/>
              <w:rPr>
                <w:rFonts w:ascii="Calibri"/>
                <w:sz w:val="22"/>
              </w:rPr>
            </w:pPr>
            <w:r>
              <w:rPr>
                <w:rFonts w:ascii="Calibri"/>
                <w:sz w:val="22"/>
              </w:rPr>
              <w:t>0.4</w:t>
            </w:r>
          </w:p>
        </w:tc>
      </w:tr>
      <w:tr>
        <w:trPr>
          <w:trHeight w:val="636" w:hRule="exact"/>
        </w:trPr>
        <w:tc>
          <w:tcPr>
            <w:tcW w:w="1675" w:type="dxa"/>
            <w:tcBorders>
              <w:top w:val="single" w:sz="3" w:space="0" w:color="000000"/>
              <w:bottom w:val="single" w:sz="3" w:space="0" w:color="000000"/>
              <w:right w:val="single" w:sz="3" w:space="0" w:color="000000"/>
            </w:tcBorders>
          </w:tcPr>
          <w:p>
            <w:pPr>
              <w:pStyle w:val="TableParagraph"/>
              <w:spacing w:before="187"/>
              <w:ind w:left="363" w:right="363"/>
              <w:jc w:val="center"/>
              <w:rPr>
                <w:rFonts w:ascii="Calibri"/>
                <w:sz w:val="22"/>
              </w:rPr>
            </w:pPr>
            <w:r>
              <w:rPr>
                <w:rFonts w:ascii="Calibri"/>
                <w:sz w:val="22"/>
              </w:rPr>
              <w:t>Costo</w:t>
            </w:r>
          </w:p>
        </w:tc>
        <w:tc>
          <w:tcPr>
            <w:tcW w:w="1268" w:type="dxa"/>
            <w:tcBorders>
              <w:top w:val="single" w:sz="3" w:space="0" w:color="000000"/>
              <w:left w:val="single" w:sz="3" w:space="0" w:color="000000"/>
              <w:bottom w:val="single" w:sz="3" w:space="0" w:color="000000"/>
              <w:right w:val="single" w:sz="3" w:space="0" w:color="000000"/>
            </w:tcBorders>
          </w:tcPr>
          <w:p>
            <w:pPr>
              <w:pStyle w:val="TableParagraph"/>
              <w:spacing w:before="187"/>
              <w:ind w:left="46" w:right="42"/>
              <w:jc w:val="center"/>
              <w:rPr>
                <w:rFonts w:ascii="Calibri"/>
                <w:sz w:val="22"/>
              </w:rPr>
            </w:pPr>
            <w:r>
              <w:rPr>
                <w:rFonts w:ascii="Calibri"/>
                <w:sz w:val="22"/>
              </w:rPr>
              <w:t>0.10</w:t>
            </w:r>
          </w:p>
        </w:tc>
        <w:tc>
          <w:tcPr>
            <w:tcW w:w="1268" w:type="dxa"/>
            <w:tcBorders>
              <w:top w:val="single" w:sz="3" w:space="0" w:color="000000"/>
              <w:left w:val="single" w:sz="3" w:space="0" w:color="000000"/>
              <w:bottom w:val="single" w:sz="3" w:space="0" w:color="000000"/>
              <w:right w:val="single" w:sz="3" w:space="0" w:color="000000"/>
            </w:tcBorders>
          </w:tcPr>
          <w:p>
            <w:pPr>
              <w:pStyle w:val="TableParagraph"/>
              <w:spacing w:before="187"/>
              <w:ind w:left="45" w:right="42"/>
              <w:jc w:val="center"/>
              <w:rPr>
                <w:rFonts w:ascii="Calibri"/>
                <w:sz w:val="22"/>
              </w:rPr>
            </w:pPr>
            <w:r>
              <w:rPr>
                <w:rFonts w:ascii="Calibri"/>
                <w:sz w:val="22"/>
              </w:rPr>
              <w:t>1.00</w:t>
            </w:r>
          </w:p>
        </w:tc>
        <w:tc>
          <w:tcPr>
            <w:tcW w:w="2083" w:type="dxa"/>
            <w:tcBorders>
              <w:top w:val="single" w:sz="3" w:space="0" w:color="000000"/>
              <w:left w:val="single" w:sz="3" w:space="0" w:color="000000"/>
              <w:bottom w:val="single" w:sz="3" w:space="0" w:color="000000"/>
            </w:tcBorders>
          </w:tcPr>
          <w:p>
            <w:pPr>
              <w:pStyle w:val="TableParagraph"/>
              <w:spacing w:before="187"/>
              <w:ind w:left="88" w:right="79"/>
              <w:jc w:val="center"/>
              <w:rPr>
                <w:rFonts w:ascii="Calibri" w:hAnsi="Calibri"/>
                <w:sz w:val="22"/>
              </w:rPr>
            </w:pPr>
            <w:r>
              <w:rPr>
                <w:rFonts w:ascii="Calibri" w:hAnsi="Calibri"/>
                <w:sz w:val="22"/>
              </w:rPr>
              <w:t>Costo de Fabricación</w:t>
            </w:r>
          </w:p>
        </w:tc>
        <w:tc>
          <w:tcPr>
            <w:tcW w:w="1010" w:type="dxa"/>
            <w:tcBorders>
              <w:right w:val="single" w:sz="3" w:space="0" w:color="000000"/>
            </w:tcBorders>
          </w:tcPr>
          <w:p>
            <w:pPr>
              <w:pStyle w:val="TableParagraph"/>
              <w:spacing w:before="181"/>
              <w:ind w:left="132" w:right="138"/>
              <w:jc w:val="center"/>
              <w:rPr>
                <w:rFonts w:ascii="Calibri"/>
                <w:sz w:val="22"/>
              </w:rPr>
            </w:pPr>
            <w:r>
              <w:rPr>
                <w:rFonts w:ascii="Calibri"/>
                <w:sz w:val="22"/>
              </w:rPr>
              <w:t>Caro</w:t>
            </w:r>
          </w:p>
        </w:tc>
        <w:tc>
          <w:tcPr>
            <w:tcW w:w="1157" w:type="dxa"/>
            <w:tcBorders>
              <w:left w:val="single" w:sz="3" w:space="0" w:color="000000"/>
              <w:right w:val="single" w:sz="3" w:space="0" w:color="000000"/>
            </w:tcBorders>
          </w:tcPr>
          <w:p>
            <w:pPr>
              <w:pStyle w:val="TableParagraph"/>
              <w:spacing w:before="181"/>
              <w:ind w:left="4"/>
              <w:jc w:val="center"/>
              <w:rPr>
                <w:rFonts w:ascii="Calibri"/>
                <w:sz w:val="22"/>
              </w:rPr>
            </w:pPr>
            <w:r>
              <w:rPr>
                <w:rFonts w:ascii="Calibri"/>
                <w:sz w:val="22"/>
              </w:rPr>
              <w:t>1</w:t>
            </w:r>
          </w:p>
        </w:tc>
        <w:tc>
          <w:tcPr>
            <w:tcW w:w="1198" w:type="dxa"/>
            <w:tcBorders>
              <w:left w:val="single" w:sz="3" w:space="0" w:color="000000"/>
            </w:tcBorders>
          </w:tcPr>
          <w:p>
            <w:pPr>
              <w:pStyle w:val="TableParagraph"/>
              <w:spacing w:before="181"/>
              <w:ind w:left="42" w:right="35"/>
              <w:jc w:val="center"/>
              <w:rPr>
                <w:rFonts w:ascii="Calibri"/>
                <w:sz w:val="22"/>
              </w:rPr>
            </w:pPr>
            <w:r>
              <w:rPr>
                <w:rFonts w:ascii="Calibri"/>
                <w:sz w:val="22"/>
              </w:rPr>
              <w:t>0.1</w:t>
            </w:r>
          </w:p>
        </w:tc>
        <w:tc>
          <w:tcPr>
            <w:tcW w:w="1082" w:type="dxa"/>
            <w:tcBorders>
              <w:right w:val="single" w:sz="3" w:space="0" w:color="000000"/>
            </w:tcBorders>
          </w:tcPr>
          <w:p>
            <w:pPr>
              <w:pStyle w:val="TableParagraph"/>
              <w:spacing w:before="181"/>
              <w:ind w:left="173" w:right="174"/>
              <w:jc w:val="center"/>
              <w:rPr>
                <w:rFonts w:ascii="Calibri"/>
                <w:sz w:val="22"/>
              </w:rPr>
            </w:pPr>
            <w:r>
              <w:rPr>
                <w:rFonts w:ascii="Calibri"/>
                <w:sz w:val="22"/>
              </w:rPr>
              <w:t>Regular</w:t>
            </w:r>
          </w:p>
        </w:tc>
        <w:tc>
          <w:tcPr>
            <w:tcW w:w="1157" w:type="dxa"/>
            <w:tcBorders>
              <w:left w:val="single" w:sz="3" w:space="0" w:color="000000"/>
              <w:right w:val="single" w:sz="3" w:space="0" w:color="000000"/>
            </w:tcBorders>
          </w:tcPr>
          <w:p>
            <w:pPr>
              <w:pStyle w:val="TableParagraph"/>
              <w:spacing w:before="181"/>
              <w:ind w:left="2"/>
              <w:jc w:val="center"/>
              <w:rPr>
                <w:rFonts w:ascii="Calibri"/>
                <w:sz w:val="22"/>
              </w:rPr>
            </w:pPr>
            <w:r>
              <w:rPr>
                <w:rFonts w:ascii="Calibri"/>
                <w:sz w:val="22"/>
              </w:rPr>
              <w:t>2</w:t>
            </w:r>
          </w:p>
        </w:tc>
        <w:tc>
          <w:tcPr>
            <w:tcW w:w="1198" w:type="dxa"/>
            <w:tcBorders>
              <w:left w:val="single" w:sz="3" w:space="0" w:color="000000"/>
            </w:tcBorders>
          </w:tcPr>
          <w:p>
            <w:pPr>
              <w:pStyle w:val="TableParagraph"/>
              <w:spacing w:before="181"/>
              <w:ind w:left="432" w:right="432"/>
              <w:jc w:val="center"/>
              <w:rPr>
                <w:rFonts w:ascii="Calibri"/>
                <w:sz w:val="22"/>
              </w:rPr>
            </w:pPr>
            <w:r>
              <w:rPr>
                <w:rFonts w:ascii="Calibri"/>
                <w:sz w:val="22"/>
              </w:rPr>
              <w:t>0.2</w:t>
            </w:r>
          </w:p>
        </w:tc>
      </w:tr>
      <w:tr>
        <w:trPr>
          <w:trHeight w:val="921" w:hRule="exact"/>
        </w:trPr>
        <w:tc>
          <w:tcPr>
            <w:tcW w:w="1675" w:type="dxa"/>
            <w:vMerge w:val="restart"/>
            <w:tcBorders>
              <w:top w:val="single" w:sz="3" w:space="0" w:color="000000"/>
              <w:right w:val="single" w:sz="3" w:space="0" w:color="000000"/>
            </w:tcBorders>
          </w:tcPr>
          <w:p>
            <w:pPr>
              <w:pStyle w:val="TableParagraph"/>
              <w:rPr>
                <w:sz w:val="22"/>
              </w:rPr>
            </w:pPr>
          </w:p>
          <w:p>
            <w:pPr>
              <w:pStyle w:val="TableParagraph"/>
              <w:rPr>
                <w:sz w:val="22"/>
              </w:rPr>
            </w:pPr>
          </w:p>
          <w:p>
            <w:pPr>
              <w:pStyle w:val="TableParagraph"/>
              <w:spacing w:before="6"/>
              <w:rPr>
                <w:sz w:val="25"/>
              </w:rPr>
            </w:pPr>
          </w:p>
          <w:p>
            <w:pPr>
              <w:pStyle w:val="TableParagraph"/>
              <w:ind w:left="475" w:right="145"/>
              <w:rPr>
                <w:rFonts w:ascii="Calibri" w:hAnsi="Calibri"/>
                <w:sz w:val="22"/>
              </w:rPr>
            </w:pPr>
            <w:r>
              <w:rPr>
                <w:rFonts w:ascii="Calibri" w:hAnsi="Calibri"/>
                <w:sz w:val="22"/>
              </w:rPr>
              <w:t>Función</w:t>
            </w:r>
          </w:p>
        </w:tc>
        <w:tc>
          <w:tcPr>
            <w:tcW w:w="1268" w:type="dxa"/>
            <w:vMerge w:val="restart"/>
            <w:tcBorders>
              <w:top w:val="single" w:sz="3" w:space="0" w:color="000000"/>
              <w:left w:val="single" w:sz="3" w:space="0" w:color="000000"/>
              <w:right w:val="single" w:sz="3" w:space="0" w:color="000000"/>
            </w:tcBorders>
          </w:tcPr>
          <w:p>
            <w:pPr>
              <w:pStyle w:val="TableParagraph"/>
              <w:rPr>
                <w:sz w:val="22"/>
              </w:rPr>
            </w:pPr>
          </w:p>
          <w:p>
            <w:pPr>
              <w:pStyle w:val="TableParagraph"/>
              <w:rPr>
                <w:sz w:val="22"/>
              </w:rPr>
            </w:pPr>
          </w:p>
          <w:p>
            <w:pPr>
              <w:pStyle w:val="TableParagraph"/>
              <w:spacing w:before="6"/>
              <w:rPr>
                <w:sz w:val="25"/>
              </w:rPr>
            </w:pPr>
          </w:p>
          <w:p>
            <w:pPr>
              <w:pStyle w:val="TableParagraph"/>
              <w:ind w:left="46" w:right="42"/>
              <w:jc w:val="center"/>
              <w:rPr>
                <w:rFonts w:ascii="Calibri"/>
                <w:sz w:val="22"/>
              </w:rPr>
            </w:pPr>
            <w:r>
              <w:rPr>
                <w:rFonts w:ascii="Calibri"/>
                <w:sz w:val="22"/>
              </w:rPr>
              <w:t>0.70</w:t>
            </w:r>
          </w:p>
        </w:tc>
        <w:tc>
          <w:tcPr>
            <w:tcW w:w="1268" w:type="dxa"/>
            <w:tcBorders>
              <w:top w:val="single" w:sz="3" w:space="0" w:color="000000"/>
              <w:left w:val="single" w:sz="3" w:space="0" w:color="000000"/>
              <w:bottom w:val="single" w:sz="3" w:space="0" w:color="000000"/>
              <w:right w:val="single" w:sz="3" w:space="0" w:color="000000"/>
            </w:tcBorders>
          </w:tcPr>
          <w:p>
            <w:pPr>
              <w:pStyle w:val="TableParagraph"/>
              <w:spacing w:before="9"/>
              <w:rPr>
                <w:sz w:val="28"/>
              </w:rPr>
            </w:pPr>
          </w:p>
          <w:p>
            <w:pPr>
              <w:pStyle w:val="TableParagraph"/>
              <w:ind w:left="45" w:right="42"/>
              <w:jc w:val="center"/>
              <w:rPr>
                <w:rFonts w:ascii="Calibri"/>
                <w:sz w:val="22"/>
              </w:rPr>
            </w:pPr>
            <w:r>
              <w:rPr>
                <w:rFonts w:ascii="Calibri"/>
                <w:sz w:val="22"/>
              </w:rPr>
              <w:t>0.33</w:t>
            </w:r>
          </w:p>
        </w:tc>
        <w:tc>
          <w:tcPr>
            <w:tcW w:w="2083" w:type="dxa"/>
            <w:tcBorders>
              <w:top w:val="single" w:sz="3" w:space="0" w:color="000000"/>
              <w:left w:val="single" w:sz="3" w:space="0" w:color="000000"/>
              <w:bottom w:val="single" w:sz="3" w:space="0" w:color="000000"/>
            </w:tcBorders>
          </w:tcPr>
          <w:p>
            <w:pPr>
              <w:pStyle w:val="TableParagraph"/>
              <w:spacing w:before="195"/>
              <w:ind w:left="636" w:hanging="452"/>
              <w:rPr>
                <w:rFonts w:ascii="Calibri"/>
                <w:sz w:val="22"/>
              </w:rPr>
            </w:pPr>
            <w:r>
              <w:rPr>
                <w:rFonts w:ascii="Calibri"/>
                <w:sz w:val="22"/>
              </w:rPr>
              <w:t>Exactitud Trasladar Volumen</w:t>
            </w:r>
          </w:p>
        </w:tc>
        <w:tc>
          <w:tcPr>
            <w:tcW w:w="1010" w:type="dxa"/>
            <w:tcBorders>
              <w:bottom w:val="single" w:sz="3" w:space="0" w:color="000000"/>
              <w:right w:val="single" w:sz="3" w:space="0" w:color="000000"/>
            </w:tcBorders>
          </w:tcPr>
          <w:p>
            <w:pPr>
              <w:pStyle w:val="TableParagraph"/>
              <w:spacing w:before="3"/>
              <w:rPr>
                <w:sz w:val="28"/>
              </w:rPr>
            </w:pPr>
          </w:p>
          <w:p>
            <w:pPr>
              <w:pStyle w:val="TableParagraph"/>
              <w:ind w:left="137" w:right="138"/>
              <w:jc w:val="center"/>
              <w:rPr>
                <w:rFonts w:ascii="Calibri"/>
                <w:sz w:val="22"/>
              </w:rPr>
            </w:pPr>
            <w:r>
              <w:rPr>
                <w:rFonts w:ascii="Calibri"/>
                <w:sz w:val="22"/>
              </w:rPr>
              <w:t>Regular</w:t>
            </w:r>
          </w:p>
        </w:tc>
        <w:tc>
          <w:tcPr>
            <w:tcW w:w="1157" w:type="dxa"/>
            <w:tcBorders>
              <w:left w:val="single" w:sz="3" w:space="0" w:color="000000"/>
              <w:bottom w:val="single" w:sz="3" w:space="0" w:color="000000"/>
              <w:right w:val="single" w:sz="3" w:space="0" w:color="000000"/>
            </w:tcBorders>
          </w:tcPr>
          <w:p>
            <w:pPr>
              <w:pStyle w:val="TableParagraph"/>
              <w:spacing w:before="3"/>
              <w:rPr>
                <w:sz w:val="28"/>
              </w:rPr>
            </w:pPr>
          </w:p>
          <w:p>
            <w:pPr>
              <w:pStyle w:val="TableParagraph"/>
              <w:ind w:left="4"/>
              <w:jc w:val="center"/>
              <w:rPr>
                <w:rFonts w:ascii="Calibri"/>
                <w:sz w:val="22"/>
              </w:rPr>
            </w:pPr>
            <w:r>
              <w:rPr>
                <w:rFonts w:ascii="Calibri"/>
                <w:sz w:val="22"/>
              </w:rPr>
              <w:t>3</w:t>
            </w:r>
          </w:p>
        </w:tc>
        <w:tc>
          <w:tcPr>
            <w:tcW w:w="1198" w:type="dxa"/>
            <w:tcBorders>
              <w:left w:val="single" w:sz="3" w:space="0" w:color="000000"/>
              <w:bottom w:val="single" w:sz="3" w:space="0" w:color="000000"/>
            </w:tcBorders>
          </w:tcPr>
          <w:p>
            <w:pPr>
              <w:pStyle w:val="TableParagraph"/>
              <w:spacing w:before="3"/>
              <w:rPr>
                <w:sz w:val="28"/>
              </w:rPr>
            </w:pPr>
          </w:p>
          <w:p>
            <w:pPr>
              <w:pStyle w:val="TableParagraph"/>
              <w:ind w:left="42" w:right="35"/>
              <w:jc w:val="center"/>
              <w:rPr>
                <w:rFonts w:ascii="Calibri"/>
                <w:sz w:val="22"/>
              </w:rPr>
            </w:pPr>
            <w:r>
              <w:rPr>
                <w:rFonts w:ascii="Calibri"/>
                <w:sz w:val="22"/>
              </w:rPr>
              <w:t>0.7</w:t>
            </w:r>
          </w:p>
        </w:tc>
        <w:tc>
          <w:tcPr>
            <w:tcW w:w="1082" w:type="dxa"/>
            <w:tcBorders>
              <w:bottom w:val="single" w:sz="3" w:space="0" w:color="000000"/>
              <w:right w:val="single" w:sz="3" w:space="0" w:color="000000"/>
            </w:tcBorders>
          </w:tcPr>
          <w:p>
            <w:pPr>
              <w:pStyle w:val="TableParagraph"/>
              <w:spacing w:before="189"/>
              <w:ind w:left="252" w:right="230" w:firstLine="80"/>
              <w:rPr>
                <w:rFonts w:ascii="Calibri"/>
                <w:sz w:val="22"/>
              </w:rPr>
            </w:pPr>
            <w:r>
              <w:rPr>
                <w:rFonts w:ascii="Calibri"/>
                <w:sz w:val="22"/>
              </w:rPr>
              <w:t>Muy Buena</w:t>
            </w:r>
          </w:p>
        </w:tc>
        <w:tc>
          <w:tcPr>
            <w:tcW w:w="1157" w:type="dxa"/>
            <w:tcBorders>
              <w:left w:val="single" w:sz="3" w:space="0" w:color="000000"/>
              <w:bottom w:val="single" w:sz="3" w:space="0" w:color="000000"/>
              <w:right w:val="single" w:sz="3" w:space="0" w:color="000000"/>
            </w:tcBorders>
          </w:tcPr>
          <w:p>
            <w:pPr>
              <w:pStyle w:val="TableParagraph"/>
              <w:spacing w:before="3"/>
              <w:rPr>
                <w:sz w:val="28"/>
              </w:rPr>
            </w:pPr>
          </w:p>
          <w:p>
            <w:pPr>
              <w:pStyle w:val="TableParagraph"/>
              <w:ind w:left="2"/>
              <w:jc w:val="center"/>
              <w:rPr>
                <w:rFonts w:ascii="Calibri"/>
                <w:sz w:val="22"/>
              </w:rPr>
            </w:pPr>
            <w:r>
              <w:rPr>
                <w:rFonts w:ascii="Calibri"/>
                <w:sz w:val="22"/>
              </w:rPr>
              <w:t>5</w:t>
            </w:r>
          </w:p>
        </w:tc>
        <w:tc>
          <w:tcPr>
            <w:tcW w:w="1198" w:type="dxa"/>
            <w:tcBorders>
              <w:left w:val="single" w:sz="3" w:space="0" w:color="000000"/>
              <w:bottom w:val="single" w:sz="3" w:space="0" w:color="000000"/>
            </w:tcBorders>
          </w:tcPr>
          <w:p>
            <w:pPr>
              <w:pStyle w:val="TableParagraph"/>
              <w:rPr>
                <w:sz w:val="22"/>
              </w:rPr>
            </w:pPr>
          </w:p>
          <w:p>
            <w:pPr>
              <w:pStyle w:val="TableParagraph"/>
              <w:rPr>
                <w:sz w:val="22"/>
              </w:rPr>
            </w:pPr>
          </w:p>
          <w:p>
            <w:pPr>
              <w:pStyle w:val="TableParagraph"/>
              <w:spacing w:before="136"/>
              <w:ind w:right="53"/>
              <w:jc w:val="right"/>
              <w:rPr>
                <w:rFonts w:ascii="Calibri"/>
                <w:sz w:val="22"/>
              </w:rPr>
            </w:pPr>
            <w:r>
              <w:rPr>
                <w:rFonts w:ascii="Calibri"/>
                <w:sz w:val="22"/>
              </w:rPr>
              <w:t>1.16666667</w:t>
            </w:r>
          </w:p>
        </w:tc>
      </w:tr>
      <w:tr>
        <w:trPr>
          <w:trHeight w:val="608" w:hRule="exact"/>
        </w:trPr>
        <w:tc>
          <w:tcPr>
            <w:tcW w:w="1675" w:type="dxa"/>
            <w:vMerge/>
            <w:tcBorders>
              <w:right w:val="single" w:sz="3" w:space="0" w:color="000000"/>
            </w:tcBorders>
          </w:tcPr>
          <w:p>
            <w:pPr/>
          </w:p>
        </w:tc>
        <w:tc>
          <w:tcPr>
            <w:tcW w:w="1268" w:type="dxa"/>
            <w:vMerge/>
            <w:tcBorders>
              <w:left w:val="single" w:sz="3" w:space="0" w:color="000000"/>
              <w:right w:val="single" w:sz="3" w:space="0" w:color="000000"/>
            </w:tcBorders>
          </w:tcPr>
          <w:p>
            <w:pPr/>
          </w:p>
        </w:tc>
        <w:tc>
          <w:tcPr>
            <w:tcW w:w="1268" w:type="dxa"/>
            <w:tcBorders>
              <w:top w:val="single" w:sz="3" w:space="0" w:color="000000"/>
              <w:left w:val="single" w:sz="3" w:space="0" w:color="000000"/>
              <w:bottom w:val="single" w:sz="3" w:space="0" w:color="000000"/>
              <w:right w:val="single" w:sz="3" w:space="0" w:color="000000"/>
            </w:tcBorders>
          </w:tcPr>
          <w:p>
            <w:pPr>
              <w:pStyle w:val="TableParagraph"/>
              <w:spacing w:before="171"/>
              <w:ind w:left="45" w:right="42"/>
              <w:jc w:val="center"/>
              <w:rPr>
                <w:rFonts w:ascii="Calibri"/>
                <w:sz w:val="22"/>
              </w:rPr>
            </w:pPr>
            <w:r>
              <w:rPr>
                <w:rFonts w:ascii="Calibri"/>
                <w:sz w:val="22"/>
              </w:rPr>
              <w:t>0.33</w:t>
            </w:r>
          </w:p>
        </w:tc>
        <w:tc>
          <w:tcPr>
            <w:tcW w:w="2083" w:type="dxa"/>
            <w:tcBorders>
              <w:top w:val="single" w:sz="3" w:space="0" w:color="000000"/>
              <w:left w:val="single" w:sz="3" w:space="0" w:color="000000"/>
              <w:bottom w:val="single" w:sz="3" w:space="0" w:color="000000"/>
            </w:tcBorders>
          </w:tcPr>
          <w:p>
            <w:pPr>
              <w:pStyle w:val="TableParagraph"/>
              <w:spacing w:before="35"/>
              <w:ind w:left="528" w:right="419" w:firstLine="36"/>
              <w:rPr>
                <w:rFonts w:ascii="Calibri" w:hAnsi="Calibri"/>
                <w:sz w:val="22"/>
              </w:rPr>
            </w:pPr>
            <w:r>
              <w:rPr>
                <w:rFonts w:ascii="Calibri" w:hAnsi="Calibri"/>
                <w:sz w:val="22"/>
              </w:rPr>
              <w:t>Tiempo de Fabricación</w:t>
            </w:r>
          </w:p>
        </w:tc>
        <w:tc>
          <w:tcPr>
            <w:tcW w:w="1010" w:type="dxa"/>
            <w:tcBorders>
              <w:top w:val="single" w:sz="3" w:space="0" w:color="000000"/>
              <w:bottom w:val="single" w:sz="3" w:space="0" w:color="000000"/>
              <w:right w:val="single" w:sz="3" w:space="0" w:color="000000"/>
            </w:tcBorders>
          </w:tcPr>
          <w:p>
            <w:pPr>
              <w:pStyle w:val="TableParagraph"/>
              <w:spacing w:before="171"/>
              <w:ind w:left="137" w:right="138"/>
              <w:jc w:val="center"/>
              <w:rPr>
                <w:rFonts w:ascii="Calibri"/>
                <w:sz w:val="22"/>
              </w:rPr>
            </w:pPr>
            <w:r>
              <w:rPr>
                <w:rFonts w:ascii="Calibri"/>
                <w:sz w:val="22"/>
              </w:rPr>
              <w:t>Regular</w:t>
            </w:r>
          </w:p>
        </w:tc>
        <w:tc>
          <w:tcPr>
            <w:tcW w:w="1157" w:type="dxa"/>
            <w:tcBorders>
              <w:top w:val="single" w:sz="3" w:space="0" w:color="000000"/>
              <w:left w:val="single" w:sz="3" w:space="0" w:color="000000"/>
              <w:bottom w:val="single" w:sz="3" w:space="0" w:color="000000"/>
              <w:right w:val="single" w:sz="3" w:space="0" w:color="000000"/>
            </w:tcBorders>
          </w:tcPr>
          <w:p>
            <w:pPr>
              <w:pStyle w:val="TableParagraph"/>
              <w:spacing w:before="171"/>
              <w:ind w:left="4"/>
              <w:jc w:val="center"/>
              <w:rPr>
                <w:rFonts w:ascii="Calibri"/>
                <w:sz w:val="22"/>
              </w:rPr>
            </w:pPr>
            <w:r>
              <w:rPr>
                <w:rFonts w:ascii="Calibri"/>
                <w:sz w:val="22"/>
              </w:rPr>
              <w:t>3</w:t>
            </w:r>
          </w:p>
        </w:tc>
        <w:tc>
          <w:tcPr>
            <w:tcW w:w="1198" w:type="dxa"/>
            <w:tcBorders>
              <w:top w:val="single" w:sz="3" w:space="0" w:color="000000"/>
              <w:left w:val="single" w:sz="3" w:space="0" w:color="000000"/>
              <w:bottom w:val="single" w:sz="3" w:space="0" w:color="000000"/>
            </w:tcBorders>
          </w:tcPr>
          <w:p>
            <w:pPr>
              <w:pStyle w:val="TableParagraph"/>
              <w:spacing w:before="171"/>
              <w:ind w:left="42" w:right="35"/>
              <w:jc w:val="center"/>
              <w:rPr>
                <w:rFonts w:ascii="Calibri"/>
                <w:sz w:val="22"/>
              </w:rPr>
            </w:pPr>
            <w:r>
              <w:rPr>
                <w:rFonts w:ascii="Calibri"/>
                <w:sz w:val="22"/>
              </w:rPr>
              <w:t>0.7</w:t>
            </w:r>
          </w:p>
        </w:tc>
        <w:tc>
          <w:tcPr>
            <w:tcW w:w="1082" w:type="dxa"/>
            <w:tcBorders>
              <w:top w:val="single" w:sz="3" w:space="0" w:color="000000"/>
              <w:bottom w:val="single" w:sz="3" w:space="0" w:color="000000"/>
              <w:right w:val="single" w:sz="3" w:space="0" w:color="000000"/>
            </w:tcBorders>
          </w:tcPr>
          <w:p>
            <w:pPr>
              <w:pStyle w:val="TableParagraph"/>
              <w:spacing w:before="171"/>
              <w:ind w:left="173" w:right="173"/>
              <w:jc w:val="center"/>
              <w:rPr>
                <w:rFonts w:ascii="Calibri"/>
                <w:sz w:val="22"/>
              </w:rPr>
            </w:pPr>
            <w:r>
              <w:rPr>
                <w:rFonts w:ascii="Calibri"/>
                <w:sz w:val="22"/>
              </w:rPr>
              <w:t>Buena</w:t>
            </w:r>
          </w:p>
        </w:tc>
        <w:tc>
          <w:tcPr>
            <w:tcW w:w="1157" w:type="dxa"/>
            <w:tcBorders>
              <w:top w:val="single" w:sz="3" w:space="0" w:color="000000"/>
              <w:left w:val="single" w:sz="3" w:space="0" w:color="000000"/>
              <w:bottom w:val="single" w:sz="3" w:space="0" w:color="000000"/>
              <w:right w:val="single" w:sz="3" w:space="0" w:color="000000"/>
            </w:tcBorders>
          </w:tcPr>
          <w:p>
            <w:pPr>
              <w:pStyle w:val="TableParagraph"/>
              <w:spacing w:before="171"/>
              <w:ind w:left="2"/>
              <w:jc w:val="center"/>
              <w:rPr>
                <w:rFonts w:ascii="Calibri"/>
                <w:sz w:val="22"/>
              </w:rPr>
            </w:pPr>
            <w:r>
              <w:rPr>
                <w:rFonts w:ascii="Calibri"/>
                <w:sz w:val="22"/>
              </w:rPr>
              <w:t>4</w:t>
            </w:r>
          </w:p>
        </w:tc>
        <w:tc>
          <w:tcPr>
            <w:tcW w:w="1198" w:type="dxa"/>
            <w:tcBorders>
              <w:top w:val="single" w:sz="3" w:space="0" w:color="000000"/>
              <w:left w:val="single" w:sz="3" w:space="0" w:color="000000"/>
              <w:bottom w:val="single" w:sz="3" w:space="0" w:color="000000"/>
            </w:tcBorders>
          </w:tcPr>
          <w:p>
            <w:pPr>
              <w:pStyle w:val="TableParagraph"/>
              <w:spacing w:before="1"/>
              <w:rPr>
                <w:sz w:val="29"/>
              </w:rPr>
            </w:pPr>
          </w:p>
          <w:p>
            <w:pPr>
              <w:pStyle w:val="TableParagraph"/>
              <w:ind w:right="53"/>
              <w:jc w:val="right"/>
              <w:rPr>
                <w:rFonts w:ascii="Calibri"/>
                <w:sz w:val="22"/>
              </w:rPr>
            </w:pPr>
            <w:r>
              <w:rPr>
                <w:rFonts w:ascii="Calibri"/>
                <w:sz w:val="22"/>
              </w:rPr>
              <w:t>0.93333333</w:t>
            </w:r>
          </w:p>
        </w:tc>
      </w:tr>
      <w:tr>
        <w:trPr>
          <w:trHeight w:val="328" w:hRule="exact"/>
        </w:trPr>
        <w:tc>
          <w:tcPr>
            <w:tcW w:w="1675" w:type="dxa"/>
            <w:vMerge/>
            <w:tcBorders>
              <w:bottom w:val="single" w:sz="3" w:space="0" w:color="000000"/>
              <w:right w:val="single" w:sz="3" w:space="0" w:color="000000"/>
            </w:tcBorders>
          </w:tcPr>
          <w:p>
            <w:pPr/>
          </w:p>
        </w:tc>
        <w:tc>
          <w:tcPr>
            <w:tcW w:w="1268" w:type="dxa"/>
            <w:vMerge/>
            <w:tcBorders>
              <w:left w:val="single" w:sz="3" w:space="0" w:color="000000"/>
              <w:bottom w:val="single" w:sz="3" w:space="0" w:color="000000"/>
              <w:right w:val="single" w:sz="3" w:space="0" w:color="000000"/>
            </w:tcBorders>
          </w:tcPr>
          <w:p>
            <w:pPr/>
          </w:p>
        </w:tc>
        <w:tc>
          <w:tcPr>
            <w:tcW w:w="1268" w:type="dxa"/>
            <w:tcBorders>
              <w:top w:val="single" w:sz="3" w:space="0" w:color="000000"/>
              <w:left w:val="single" w:sz="3" w:space="0" w:color="000000"/>
              <w:bottom w:val="single" w:sz="3" w:space="0" w:color="000000"/>
              <w:right w:val="single" w:sz="3" w:space="0" w:color="000000"/>
            </w:tcBorders>
          </w:tcPr>
          <w:p>
            <w:pPr>
              <w:pStyle w:val="TableParagraph"/>
              <w:spacing w:before="31"/>
              <w:ind w:left="45" w:right="42"/>
              <w:jc w:val="center"/>
              <w:rPr>
                <w:rFonts w:ascii="Calibri"/>
                <w:sz w:val="22"/>
              </w:rPr>
            </w:pPr>
            <w:r>
              <w:rPr>
                <w:rFonts w:ascii="Calibri"/>
                <w:sz w:val="22"/>
              </w:rPr>
              <w:t>0.33</w:t>
            </w:r>
          </w:p>
        </w:tc>
        <w:tc>
          <w:tcPr>
            <w:tcW w:w="2083" w:type="dxa"/>
            <w:tcBorders>
              <w:top w:val="single" w:sz="3" w:space="0" w:color="000000"/>
              <w:left w:val="single" w:sz="3" w:space="0" w:color="000000"/>
              <w:bottom w:val="single" w:sz="3" w:space="0" w:color="000000"/>
            </w:tcBorders>
          </w:tcPr>
          <w:p>
            <w:pPr>
              <w:pStyle w:val="TableParagraph"/>
              <w:spacing w:before="31"/>
              <w:ind w:left="83" w:right="79"/>
              <w:jc w:val="center"/>
              <w:rPr>
                <w:rFonts w:ascii="Calibri" w:hAnsi="Calibri"/>
                <w:sz w:val="22"/>
              </w:rPr>
            </w:pPr>
            <w:r>
              <w:rPr>
                <w:rFonts w:ascii="Calibri" w:hAnsi="Calibri"/>
                <w:sz w:val="22"/>
              </w:rPr>
              <w:t>Estética</w:t>
            </w:r>
          </w:p>
        </w:tc>
        <w:tc>
          <w:tcPr>
            <w:tcW w:w="1010" w:type="dxa"/>
            <w:tcBorders>
              <w:top w:val="single" w:sz="3" w:space="0" w:color="000000"/>
              <w:right w:val="single" w:sz="3" w:space="0" w:color="000000"/>
            </w:tcBorders>
          </w:tcPr>
          <w:p>
            <w:pPr>
              <w:pStyle w:val="TableParagraph"/>
              <w:spacing w:before="31"/>
              <w:ind w:left="137" w:right="137"/>
              <w:jc w:val="center"/>
              <w:rPr>
                <w:rFonts w:ascii="Calibri"/>
                <w:sz w:val="22"/>
              </w:rPr>
            </w:pPr>
            <w:r>
              <w:rPr>
                <w:rFonts w:ascii="Calibri"/>
                <w:sz w:val="22"/>
              </w:rPr>
              <w:t>Buena</w:t>
            </w:r>
          </w:p>
        </w:tc>
        <w:tc>
          <w:tcPr>
            <w:tcW w:w="1157" w:type="dxa"/>
            <w:tcBorders>
              <w:top w:val="single" w:sz="3" w:space="0" w:color="000000"/>
              <w:left w:val="single" w:sz="3" w:space="0" w:color="000000"/>
              <w:right w:val="single" w:sz="3" w:space="0" w:color="000000"/>
            </w:tcBorders>
          </w:tcPr>
          <w:p>
            <w:pPr>
              <w:pStyle w:val="TableParagraph"/>
              <w:spacing w:before="31"/>
              <w:ind w:left="4"/>
              <w:jc w:val="center"/>
              <w:rPr>
                <w:rFonts w:ascii="Calibri"/>
                <w:sz w:val="22"/>
              </w:rPr>
            </w:pPr>
            <w:r>
              <w:rPr>
                <w:rFonts w:ascii="Calibri"/>
                <w:sz w:val="22"/>
              </w:rPr>
              <w:t>4</w:t>
            </w:r>
          </w:p>
        </w:tc>
        <w:tc>
          <w:tcPr>
            <w:tcW w:w="1198" w:type="dxa"/>
            <w:tcBorders>
              <w:top w:val="single" w:sz="3" w:space="0" w:color="000000"/>
              <w:left w:val="single" w:sz="3" w:space="0" w:color="000000"/>
            </w:tcBorders>
          </w:tcPr>
          <w:p>
            <w:pPr>
              <w:pStyle w:val="TableParagraph"/>
              <w:spacing w:before="31"/>
              <w:ind w:left="50" w:right="35"/>
              <w:jc w:val="center"/>
              <w:rPr>
                <w:rFonts w:ascii="Calibri"/>
                <w:sz w:val="22"/>
              </w:rPr>
            </w:pPr>
            <w:r>
              <w:rPr>
                <w:rFonts w:ascii="Calibri"/>
                <w:sz w:val="22"/>
              </w:rPr>
              <w:t>0.93333333</w:t>
            </w:r>
          </w:p>
        </w:tc>
        <w:tc>
          <w:tcPr>
            <w:tcW w:w="1082" w:type="dxa"/>
            <w:tcBorders>
              <w:top w:val="single" w:sz="3" w:space="0" w:color="000000"/>
              <w:right w:val="single" w:sz="3" w:space="0" w:color="000000"/>
            </w:tcBorders>
          </w:tcPr>
          <w:p>
            <w:pPr>
              <w:pStyle w:val="TableParagraph"/>
              <w:spacing w:before="31"/>
              <w:ind w:left="173" w:right="174"/>
              <w:jc w:val="center"/>
              <w:rPr>
                <w:rFonts w:ascii="Calibri"/>
                <w:sz w:val="22"/>
              </w:rPr>
            </w:pPr>
            <w:r>
              <w:rPr>
                <w:rFonts w:ascii="Calibri"/>
                <w:sz w:val="22"/>
              </w:rPr>
              <w:t>Regular</w:t>
            </w:r>
          </w:p>
        </w:tc>
        <w:tc>
          <w:tcPr>
            <w:tcW w:w="1157" w:type="dxa"/>
            <w:tcBorders>
              <w:top w:val="single" w:sz="3" w:space="0" w:color="000000"/>
              <w:left w:val="single" w:sz="3" w:space="0" w:color="000000"/>
              <w:right w:val="single" w:sz="3" w:space="0" w:color="000000"/>
            </w:tcBorders>
          </w:tcPr>
          <w:p>
            <w:pPr>
              <w:pStyle w:val="TableParagraph"/>
              <w:spacing w:before="31"/>
              <w:ind w:left="2"/>
              <w:jc w:val="center"/>
              <w:rPr>
                <w:rFonts w:ascii="Calibri"/>
                <w:sz w:val="22"/>
              </w:rPr>
            </w:pPr>
            <w:r>
              <w:rPr>
                <w:rFonts w:ascii="Calibri"/>
                <w:sz w:val="22"/>
              </w:rPr>
              <w:t>3</w:t>
            </w:r>
          </w:p>
        </w:tc>
        <w:tc>
          <w:tcPr>
            <w:tcW w:w="1198" w:type="dxa"/>
            <w:tcBorders>
              <w:top w:val="single" w:sz="3" w:space="0" w:color="000000"/>
              <w:left w:val="single" w:sz="3" w:space="0" w:color="000000"/>
            </w:tcBorders>
          </w:tcPr>
          <w:p>
            <w:pPr>
              <w:pStyle w:val="TableParagraph"/>
              <w:spacing w:before="55"/>
              <w:ind w:right="57"/>
              <w:jc w:val="right"/>
              <w:rPr>
                <w:rFonts w:ascii="Calibri"/>
                <w:sz w:val="22"/>
              </w:rPr>
            </w:pPr>
            <w:r>
              <w:rPr>
                <w:rFonts w:ascii="Calibri"/>
                <w:sz w:val="22"/>
              </w:rPr>
              <w:t>0.7</w:t>
            </w:r>
          </w:p>
        </w:tc>
      </w:tr>
      <w:tr>
        <w:trPr>
          <w:trHeight w:val="562" w:hRule="exact"/>
        </w:trPr>
        <w:tc>
          <w:tcPr>
            <w:tcW w:w="6294" w:type="dxa"/>
            <w:gridSpan w:val="4"/>
            <w:tcBorders>
              <w:top w:val="single" w:sz="3" w:space="0" w:color="000000"/>
              <w:right w:val="single" w:sz="3" w:space="0" w:color="000000"/>
            </w:tcBorders>
          </w:tcPr>
          <w:p>
            <w:pPr>
              <w:pStyle w:val="TableParagraph"/>
              <w:spacing w:before="15"/>
              <w:ind w:left="492" w:right="4057" w:hanging="396"/>
              <w:rPr>
                <w:rFonts w:ascii="Calibri"/>
                <w:sz w:val="22"/>
              </w:rPr>
            </w:pPr>
            <w:r>
              <w:rPr>
                <w:rFonts w:ascii="Calibri"/>
                <w:sz w:val="22"/>
              </w:rPr>
              <w:t>Valor general de utilidad</w:t>
            </w:r>
          </w:p>
        </w:tc>
        <w:tc>
          <w:tcPr>
            <w:tcW w:w="2167" w:type="dxa"/>
            <w:gridSpan w:val="2"/>
            <w:tcBorders>
              <w:left w:val="single" w:sz="3" w:space="0" w:color="000000"/>
              <w:right w:val="single" w:sz="3" w:space="0" w:color="000000"/>
            </w:tcBorders>
          </w:tcPr>
          <w:p>
            <w:pPr/>
          </w:p>
        </w:tc>
        <w:tc>
          <w:tcPr>
            <w:tcW w:w="1198" w:type="dxa"/>
            <w:tcBorders>
              <w:left w:val="single" w:sz="3" w:space="0" w:color="000000"/>
              <w:right w:val="single" w:sz="3" w:space="0" w:color="000000"/>
            </w:tcBorders>
            <w:shd w:val="clear" w:color="auto" w:fill="FFC6CE"/>
          </w:tcPr>
          <w:p>
            <w:pPr>
              <w:pStyle w:val="TableParagraph"/>
              <w:spacing w:before="141"/>
              <w:ind w:left="50" w:right="41"/>
              <w:jc w:val="center"/>
              <w:rPr>
                <w:rFonts w:ascii="Calibri"/>
                <w:sz w:val="22"/>
              </w:rPr>
            </w:pPr>
            <w:r>
              <w:rPr>
                <w:rFonts w:ascii="Calibri"/>
                <w:color w:val="9C0005"/>
                <w:sz w:val="22"/>
              </w:rPr>
              <w:t>0.81428571</w:t>
            </w:r>
          </w:p>
        </w:tc>
        <w:tc>
          <w:tcPr>
            <w:tcW w:w="2239" w:type="dxa"/>
            <w:gridSpan w:val="2"/>
            <w:tcBorders>
              <w:left w:val="single" w:sz="3" w:space="0" w:color="000000"/>
              <w:right w:val="single" w:sz="3" w:space="0" w:color="000000"/>
            </w:tcBorders>
          </w:tcPr>
          <w:p>
            <w:pPr/>
          </w:p>
        </w:tc>
        <w:tc>
          <w:tcPr>
            <w:tcW w:w="1198" w:type="dxa"/>
            <w:tcBorders>
              <w:left w:val="single" w:sz="3" w:space="0" w:color="000000"/>
            </w:tcBorders>
            <w:shd w:val="clear" w:color="auto" w:fill="C5EECE"/>
          </w:tcPr>
          <w:p>
            <w:pPr>
              <w:pStyle w:val="TableParagraph"/>
              <w:spacing w:before="141"/>
              <w:ind w:right="53"/>
              <w:jc w:val="right"/>
              <w:rPr>
                <w:rFonts w:ascii="Calibri"/>
                <w:sz w:val="22"/>
              </w:rPr>
            </w:pPr>
            <w:r>
              <w:rPr>
                <w:rFonts w:ascii="Calibri"/>
                <w:color w:val="006000"/>
                <w:sz w:val="22"/>
              </w:rPr>
              <w:t>2.58571429</w:t>
            </w:r>
          </w:p>
        </w:tc>
      </w:tr>
    </w:tbl>
    <w:p>
      <w:pPr>
        <w:spacing w:before="0"/>
        <w:ind w:left="5114" w:right="5172" w:firstLine="0"/>
        <w:jc w:val="center"/>
        <w:rPr>
          <w:sz w:val="16"/>
        </w:rPr>
      </w:pPr>
      <w:r>
        <w:rPr>
          <w:sz w:val="18"/>
        </w:rPr>
        <w:t>(Fuente: Elaboración propia, 2016</w:t>
      </w:r>
      <w:r>
        <w:rPr>
          <w:sz w:val="16"/>
        </w:rPr>
        <w:t>).</w:t>
      </w:r>
    </w:p>
    <w:p>
      <w:pPr>
        <w:spacing w:after="0"/>
        <w:jc w:val="center"/>
        <w:rPr>
          <w:sz w:val="16"/>
        </w:rPr>
        <w:sectPr>
          <w:pgSz w:w="15840" w:h="12240" w:orient="landscape"/>
          <w:pgMar w:header="0" w:footer="1031" w:top="1140" w:bottom="1220" w:left="1280" w:right="1220"/>
        </w:sectPr>
      </w:pPr>
    </w:p>
    <w:p>
      <w:pPr>
        <w:spacing w:line="360" w:lineRule="auto" w:before="55"/>
        <w:ind w:left="100" w:right="115" w:firstLine="0"/>
        <w:jc w:val="both"/>
        <w:rPr>
          <w:b/>
          <w:sz w:val="24"/>
        </w:rPr>
      </w:pPr>
      <w:r>
        <w:rPr>
          <w:sz w:val="24"/>
        </w:rPr>
        <w:t>Los resultados de comparativo muestran que </w:t>
      </w:r>
      <w:r>
        <w:rPr>
          <w:b/>
          <w:sz w:val="24"/>
        </w:rPr>
        <w:t>2.5 </w:t>
      </w:r>
      <w:r>
        <w:rPr>
          <w:sz w:val="24"/>
        </w:rPr>
        <w:t>del proceso de impresión 3D es mayor y favorable en comparación con el proceso de FV que resultó de </w:t>
      </w:r>
      <w:r>
        <w:rPr>
          <w:b/>
          <w:sz w:val="24"/>
        </w:rPr>
        <w:t>0.8 si importa más lo funcional.</w:t>
      </w:r>
    </w:p>
    <w:p>
      <w:pPr>
        <w:pStyle w:val="BodyText"/>
        <w:rPr>
          <w:b/>
        </w:rPr>
      </w:pPr>
    </w:p>
    <w:p>
      <w:pPr>
        <w:pStyle w:val="BodyText"/>
        <w:spacing w:before="7"/>
        <w:rPr>
          <w:b/>
          <w:sz w:val="20"/>
        </w:rPr>
      </w:pPr>
    </w:p>
    <w:p>
      <w:pPr>
        <w:pStyle w:val="Heading2"/>
        <w:numPr>
          <w:ilvl w:val="1"/>
          <w:numId w:val="64"/>
        </w:numPr>
        <w:tabs>
          <w:tab w:pos="677" w:val="left" w:leader="none"/>
        </w:tabs>
        <w:spacing w:line="240" w:lineRule="auto" w:before="0" w:after="0"/>
        <w:ind w:left="676" w:right="0" w:hanging="576"/>
        <w:jc w:val="both"/>
      </w:pPr>
      <w:bookmarkStart w:name="5.7. Conclusiones del caso de estudio" w:id="313"/>
      <w:bookmarkEnd w:id="313"/>
      <w:r>
        <w:rPr/>
      </w:r>
      <w:bookmarkStart w:name="_bookmark203" w:id="314"/>
      <w:bookmarkEnd w:id="314"/>
      <w:r>
        <w:rPr/>
      </w:r>
      <w:bookmarkStart w:name="_bookmark203" w:id="315"/>
      <w:bookmarkEnd w:id="315"/>
      <w:r>
        <w:rPr/>
        <w:t>C</w:t>
      </w:r>
      <w:r>
        <w:rPr/>
        <w:t>onclusiones del caso de</w:t>
      </w:r>
      <w:r>
        <w:rPr>
          <w:spacing w:val="-5"/>
        </w:rPr>
        <w:t> </w:t>
      </w:r>
      <w:r>
        <w:rPr/>
        <w:t>estudio</w:t>
      </w:r>
    </w:p>
    <w:p>
      <w:pPr>
        <w:pStyle w:val="BodyText"/>
        <w:rPr>
          <w:sz w:val="28"/>
        </w:rPr>
      </w:pPr>
    </w:p>
    <w:p>
      <w:pPr>
        <w:pStyle w:val="BodyText"/>
        <w:spacing w:before="8"/>
        <w:rPr>
          <w:sz w:val="22"/>
        </w:rPr>
      </w:pPr>
    </w:p>
    <w:p>
      <w:pPr>
        <w:pStyle w:val="BodyText"/>
        <w:spacing w:line="360" w:lineRule="auto"/>
        <w:ind w:left="100" w:right="113"/>
        <w:jc w:val="both"/>
      </w:pPr>
      <w:r>
        <w:rPr/>
        <w:t>En este apartado se muestran los resultados del caso de impresión 3D en una máquina Prusia i3 con proceso de FDM y los resultados del comparativo del árbol de requerimiento para comprobar su hipótesis.</w:t>
      </w:r>
    </w:p>
    <w:p>
      <w:pPr>
        <w:pStyle w:val="BodyText"/>
        <w:spacing w:before="11"/>
        <w:rPr>
          <w:sz w:val="35"/>
        </w:rPr>
      </w:pPr>
    </w:p>
    <w:p>
      <w:pPr>
        <w:pStyle w:val="BodyText"/>
        <w:spacing w:line="362" w:lineRule="auto"/>
        <w:ind w:left="100" w:right="119"/>
        <w:jc w:val="both"/>
      </w:pPr>
      <w:r>
        <w:rPr/>
        <w:t>Se imprimió una Banda de Moebius con cartucho de PLA color negro, y  de acuerdo a las observaciones realizadas se puede describir y concluir que:</w:t>
      </w:r>
    </w:p>
    <w:p>
      <w:pPr>
        <w:pStyle w:val="BodyText"/>
        <w:spacing w:before="9"/>
        <w:rPr>
          <w:sz w:val="35"/>
        </w:rPr>
      </w:pPr>
    </w:p>
    <w:p>
      <w:pPr>
        <w:pStyle w:val="ListParagraph"/>
        <w:numPr>
          <w:ilvl w:val="2"/>
          <w:numId w:val="64"/>
        </w:numPr>
        <w:tabs>
          <w:tab w:pos="821" w:val="left" w:leader="none"/>
          <w:tab w:pos="4321" w:val="left" w:leader="none"/>
          <w:tab w:pos="5513" w:val="left" w:leader="none"/>
          <w:tab w:pos="5954" w:val="left" w:leader="none"/>
        </w:tabs>
        <w:spacing w:line="362" w:lineRule="auto" w:before="0" w:after="0"/>
        <w:ind w:left="821" w:right="122" w:hanging="361"/>
        <w:jc w:val="left"/>
        <w:rPr>
          <w:sz w:val="24"/>
        </w:rPr>
      </w:pPr>
      <w:r>
        <w:rPr>
          <w:sz w:val="24"/>
        </w:rPr>
        <w:t>Se   imprimió </w:t>
      </w:r>
      <w:r>
        <w:rPr>
          <w:spacing w:val="57"/>
          <w:sz w:val="24"/>
        </w:rPr>
        <w:t> </w:t>
      </w:r>
      <w:r>
        <w:rPr>
          <w:sz w:val="24"/>
        </w:rPr>
        <w:t>con </w:t>
      </w:r>
      <w:r>
        <w:rPr>
          <w:spacing w:val="61"/>
          <w:sz w:val="24"/>
        </w:rPr>
        <w:t> </w:t>
      </w:r>
      <w:r>
        <w:rPr>
          <w:sz w:val="24"/>
        </w:rPr>
        <w:t>problemas</w:t>
        <w:tab/>
        <w:t>la </w:t>
      </w:r>
      <w:r>
        <w:rPr>
          <w:spacing w:val="63"/>
          <w:sz w:val="24"/>
        </w:rPr>
        <w:t> </w:t>
      </w:r>
      <w:r>
        <w:rPr>
          <w:b/>
          <w:sz w:val="24"/>
        </w:rPr>
        <w:t>pieza</w:t>
        <w:tab/>
        <w:t>C.</w:t>
        <w:tab/>
      </w:r>
      <w:r>
        <w:rPr>
          <w:sz w:val="24"/>
        </w:rPr>
        <w:t>Dibujada </w:t>
      </w:r>
      <w:r>
        <w:rPr>
          <w:spacing w:val="57"/>
          <w:sz w:val="24"/>
        </w:rPr>
        <w:t> </w:t>
      </w:r>
      <w:r>
        <w:rPr>
          <w:sz w:val="24"/>
        </w:rPr>
        <w:t>en </w:t>
      </w:r>
      <w:r>
        <w:rPr>
          <w:spacing w:val="57"/>
          <w:sz w:val="24"/>
        </w:rPr>
        <w:t> </w:t>
      </w:r>
      <w:r>
        <w:rPr>
          <w:sz w:val="24"/>
        </w:rPr>
        <w:t>Rhrinoceros- </w:t>
      </w:r>
      <w:r>
        <w:rPr>
          <w:sz w:val="24"/>
        </w:rPr>
        <w:t>Grasshoper®, ver </w:t>
      </w:r>
      <w:hyperlink w:history="true" w:anchor="_bookmark154">
        <w:r>
          <w:rPr>
            <w:sz w:val="24"/>
          </w:rPr>
          <w:t>Tabla</w:t>
        </w:r>
        <w:r>
          <w:rPr>
            <w:spacing w:val="-10"/>
            <w:sz w:val="24"/>
          </w:rPr>
          <w:t> </w:t>
        </w:r>
        <w:r>
          <w:rPr>
            <w:sz w:val="24"/>
          </w:rPr>
          <w:t>5.2</w:t>
        </w:r>
      </w:hyperlink>
      <w:r>
        <w:rPr>
          <w:sz w:val="24"/>
        </w:rPr>
        <w:t>.</w:t>
      </w:r>
    </w:p>
    <w:p>
      <w:pPr>
        <w:pStyle w:val="BodyText"/>
        <w:spacing w:before="8"/>
        <w:rPr>
          <w:sz w:val="35"/>
        </w:rPr>
      </w:pPr>
    </w:p>
    <w:p>
      <w:pPr>
        <w:pStyle w:val="BodyText"/>
        <w:spacing w:line="362" w:lineRule="auto" w:before="1"/>
        <w:ind w:left="100" w:right="116"/>
        <w:jc w:val="both"/>
      </w:pPr>
      <w:r>
        <w:rPr/>
        <w:t>Primero no se podía abrir el formato .stl en el software de impresión (</w:t>
      </w:r>
      <w:r>
        <w:rPr>
          <w:b/>
        </w:rPr>
        <w:t>Repetir Host </w:t>
      </w:r>
      <w:r>
        <w:rPr/>
        <w:t>y </w:t>
      </w:r>
      <w:r>
        <w:rPr>
          <w:b/>
        </w:rPr>
        <w:t>Cura </w:t>
      </w:r>
      <w:r>
        <w:rPr/>
        <w:t>donde lo pos-procesa en un rebanado (slice) por capas para posteriormente</w:t>
      </w:r>
      <w:r>
        <w:rPr>
          <w:spacing w:val="-17"/>
        </w:rPr>
        <w:t> </w:t>
      </w:r>
      <w:r>
        <w:rPr/>
        <w:t>imprimir).</w:t>
      </w:r>
    </w:p>
    <w:p>
      <w:pPr>
        <w:pStyle w:val="BodyText"/>
      </w:pPr>
    </w:p>
    <w:p>
      <w:pPr>
        <w:pStyle w:val="BodyText"/>
        <w:spacing w:line="355" w:lineRule="auto" w:before="139"/>
        <w:ind w:left="100" w:right="114"/>
        <w:jc w:val="both"/>
      </w:pPr>
      <w:r>
        <w:rPr/>
        <w:t>Luego de varios intentos se partió del archivo fuente .3dm y tardaba muchas horas en procesar y nunca terminaba. Se analizó el dibujo con CADoctor</w:t>
      </w:r>
      <w:r>
        <w:rPr>
          <w:position w:val="11"/>
          <w:sz w:val="16"/>
        </w:rPr>
        <w:t>® </w:t>
      </w:r>
      <w:r>
        <w:rPr/>
        <w:t>y Fix CAD</w:t>
      </w:r>
      <w:r>
        <w:rPr>
          <w:position w:val="11"/>
          <w:sz w:val="16"/>
        </w:rPr>
        <w:t>® </w:t>
      </w:r>
      <w:r>
        <w:rPr/>
        <w:t>y resultaba que había errores y estaba abierta la malla, siendo que se dibujó en sólido. El problema se ubicó en que el algoritmo para la creación de soporte de la piza no pudo realizar el relleno interno debido a las formas tan complejas de la pieza.</w:t>
      </w:r>
    </w:p>
    <w:p>
      <w:pPr>
        <w:pStyle w:val="BodyText"/>
      </w:pPr>
    </w:p>
    <w:p>
      <w:pPr>
        <w:pStyle w:val="BodyText"/>
        <w:spacing w:line="357" w:lineRule="auto" w:before="148"/>
        <w:ind w:left="100" w:right="122"/>
        <w:jc w:val="both"/>
      </w:pPr>
      <w:r>
        <w:rPr/>
        <w:t>Finalmente se pudo abrir y se imprimió (cada línea de .4 mm) que se rompió al desprender el material de soporte porque no imprimió el soporte interno.</w:t>
      </w:r>
    </w:p>
    <w:p>
      <w:pPr>
        <w:spacing w:after="0" w:line="357" w:lineRule="auto"/>
        <w:jc w:val="both"/>
        <w:sectPr>
          <w:pgSz w:w="12240" w:h="15840"/>
          <w:pgMar w:header="0" w:footer="1031" w:top="1360" w:bottom="1220" w:left="1600" w:right="1580"/>
        </w:sectPr>
      </w:pPr>
    </w:p>
    <w:p>
      <w:pPr>
        <w:pStyle w:val="BodyText"/>
        <w:spacing w:line="360" w:lineRule="auto" w:before="59"/>
        <w:ind w:left="220" w:right="219"/>
        <w:jc w:val="both"/>
      </w:pPr>
      <w:r>
        <w:rPr/>
        <w:t>Con lo cual se concluye que dicho proceso de imprimir con esta forma en  particular no es compatible con el proceso de FDM en una máquina Prusia i3 porque hay un error de trabajo del</w:t>
      </w:r>
      <w:r>
        <w:rPr>
          <w:spacing w:val="-19"/>
        </w:rPr>
        <w:t> </w:t>
      </w:r>
      <w:r>
        <w:rPr/>
        <w:t>algoritmo.</w:t>
      </w:r>
    </w:p>
    <w:p>
      <w:pPr>
        <w:pStyle w:val="BodyText"/>
        <w:rPr>
          <w:sz w:val="33"/>
        </w:rPr>
      </w:pPr>
    </w:p>
    <w:p>
      <w:pPr>
        <w:pStyle w:val="ListParagraph"/>
        <w:numPr>
          <w:ilvl w:val="3"/>
          <w:numId w:val="64"/>
        </w:numPr>
        <w:tabs>
          <w:tab w:pos="941" w:val="left" w:leader="none"/>
        </w:tabs>
        <w:spacing w:line="362" w:lineRule="auto" w:before="0" w:after="0"/>
        <w:ind w:left="941" w:right="221" w:hanging="361"/>
        <w:jc w:val="left"/>
        <w:rPr>
          <w:sz w:val="24"/>
        </w:rPr>
      </w:pPr>
      <w:r>
        <w:rPr>
          <w:sz w:val="24"/>
        </w:rPr>
        <w:t>Se imprimió sin problema la </w:t>
      </w:r>
      <w:r>
        <w:rPr>
          <w:b/>
          <w:sz w:val="24"/>
        </w:rPr>
        <w:t>pieza A. </w:t>
      </w:r>
      <w:r>
        <w:rPr>
          <w:sz w:val="24"/>
        </w:rPr>
        <w:t>Dibujada en Solidworks</w:t>
      </w:r>
      <w:r>
        <w:rPr>
          <w:position w:val="11"/>
          <w:sz w:val="16"/>
        </w:rPr>
        <w:t>®</w:t>
      </w:r>
      <w:r>
        <w:rPr>
          <w:sz w:val="24"/>
        </w:rPr>
        <w:t>, </w:t>
      </w:r>
      <w:r>
        <w:rPr>
          <w:b/>
          <w:sz w:val="24"/>
        </w:rPr>
        <w:t>v</w:t>
      </w:r>
      <w:r>
        <w:rPr>
          <w:sz w:val="24"/>
        </w:rPr>
        <w:t>er </w:t>
      </w:r>
      <w:hyperlink w:history="true" w:anchor="_bookmark154">
        <w:r>
          <w:rPr>
            <w:sz w:val="24"/>
          </w:rPr>
          <w:t>Tabla</w:t>
        </w:r>
      </w:hyperlink>
      <w:r>
        <w:rPr>
          <w:sz w:val="24"/>
        </w:rPr>
        <w:t> </w:t>
      </w:r>
      <w:hyperlink w:history="true" w:anchor="_bookmark154">
        <w:r>
          <w:rPr>
            <w:sz w:val="24"/>
          </w:rPr>
          <w:t>5.2</w:t>
        </w:r>
      </w:hyperlink>
      <w:r>
        <w:rPr>
          <w:sz w:val="24"/>
        </w:rPr>
        <w:t>.</w:t>
      </w:r>
    </w:p>
    <w:p>
      <w:pPr>
        <w:pStyle w:val="BodyText"/>
        <w:spacing w:line="360" w:lineRule="auto" w:before="3"/>
        <w:ind w:left="220" w:right="218"/>
        <w:jc w:val="both"/>
      </w:pPr>
      <w:r>
        <w:rPr/>
        <w:t>Prácticamente fue una adecuación de la pieza a la máquina lo cual muestra pobreza en el volumen escultórico que repercute en lo estético aunque cumple con el objeto de cinta de Moebius. Ver </w:t>
      </w:r>
      <w:hyperlink w:history="true" w:anchor="_bookmark154">
        <w:r>
          <w:rPr/>
          <w:t>Tabla 5.2</w:t>
        </w:r>
      </w:hyperlink>
      <w:r>
        <w:rPr/>
        <w:t>.</w:t>
      </w:r>
    </w:p>
    <w:p>
      <w:pPr>
        <w:pStyle w:val="BodyText"/>
      </w:pPr>
    </w:p>
    <w:p>
      <w:pPr>
        <w:pStyle w:val="BodyText"/>
        <w:spacing w:line="360" w:lineRule="auto" w:before="142"/>
        <w:ind w:left="220" w:right="214"/>
        <w:jc w:val="both"/>
      </w:pPr>
      <w:r>
        <w:rPr/>
        <w:t>Otro resultado importante de la impresión fue el acabado de la pieza brillante muestra escamas del material de soporte impreso, estas se funden con la pieza y solo se pueden lijar. Por lo tanto se concluye que la pieza muestra defectos en acabados de la superficie. Ver </w:t>
      </w:r>
      <w:hyperlink w:history="true" w:anchor="_bookmark160">
        <w:r>
          <w:rPr/>
          <w:t>Tabla 5.5</w:t>
        </w:r>
      </w:hyperlink>
      <w:r>
        <w:rPr/>
        <w:t>.</w:t>
      </w:r>
    </w:p>
    <w:p>
      <w:pPr>
        <w:pStyle w:val="BodyText"/>
      </w:pPr>
    </w:p>
    <w:p>
      <w:pPr>
        <w:pStyle w:val="BodyText"/>
        <w:spacing w:line="360" w:lineRule="auto" w:before="142"/>
        <w:ind w:left="220" w:right="221"/>
        <w:jc w:val="both"/>
      </w:pPr>
      <w:r>
        <w:rPr/>
        <w:t>El resultados de los tres escenarios del árbol de requerimiento que nos ayuda a tomar una decisión de dos procesos de fabricación, ¿qué proceso es </w:t>
      </w:r>
      <w:r>
        <w:rPr>
          <w:spacing w:val="-2"/>
        </w:rPr>
        <w:t>más </w:t>
      </w:r>
      <w:r>
        <w:rPr/>
        <w:t>amigable con el medio ambiente? el proceso de fabricación por Impresión 3D resultó </w:t>
      </w:r>
      <w:r>
        <w:rPr>
          <w:spacing w:val="-2"/>
        </w:rPr>
        <w:t>más </w:t>
      </w:r>
      <w:r>
        <w:rPr/>
        <w:t>favorable que la FV en los cuatro aspectos que</w:t>
      </w:r>
      <w:r>
        <w:rPr>
          <w:spacing w:val="-27"/>
        </w:rPr>
        <w:t> </w:t>
      </w:r>
      <w:r>
        <w:rPr/>
        <w:t>evalúan.</w:t>
      </w:r>
    </w:p>
    <w:p>
      <w:pPr>
        <w:pStyle w:val="BodyText"/>
      </w:pPr>
    </w:p>
    <w:p>
      <w:pPr>
        <w:pStyle w:val="BodyText"/>
        <w:spacing w:before="141"/>
        <w:ind w:left="220"/>
        <w:jc w:val="both"/>
      </w:pPr>
      <w:r>
        <w:rPr/>
        <w:t>Los resultados se pueden apreciar de manera general en la  </w:t>
      </w:r>
      <w:hyperlink w:history="true" w:anchor="_bookmark204">
        <w:r>
          <w:rPr/>
          <w:t>Tabla 5.26</w:t>
        </w:r>
      </w:hyperlink>
    </w:p>
    <w:p>
      <w:pPr>
        <w:pStyle w:val="BodyText"/>
        <w:spacing w:before="11"/>
        <w:rPr>
          <w:sz w:val="29"/>
        </w:rPr>
      </w:pPr>
    </w:p>
    <w:p>
      <w:pPr>
        <w:spacing w:before="0"/>
        <w:ind w:left="3204" w:right="2972" w:firstLine="0"/>
        <w:jc w:val="center"/>
        <w:rPr>
          <w:sz w:val="18"/>
        </w:rPr>
      </w:pPr>
      <w:bookmarkStart w:name="_bookmark204" w:id="316"/>
      <w:bookmarkEnd w:id="316"/>
      <w:r>
        <w:rPr/>
      </w:r>
      <w:r>
        <w:rPr>
          <w:sz w:val="18"/>
        </w:rPr>
        <w:t>Tabla 5.26. Tabla de resultados.</w:t>
      </w:r>
    </w:p>
    <w:tbl>
      <w:tblPr>
        <w:tblW w:w="0" w:type="auto"/>
        <w:jc w:val="left"/>
        <w:tblInd w:w="10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328"/>
        <w:gridCol w:w="1329"/>
        <w:gridCol w:w="1360"/>
        <w:gridCol w:w="1232"/>
        <w:gridCol w:w="1401"/>
        <w:gridCol w:w="1352"/>
        <w:gridCol w:w="1057"/>
      </w:tblGrid>
      <w:tr>
        <w:trPr>
          <w:trHeight w:val="324" w:hRule="exact"/>
        </w:trPr>
        <w:tc>
          <w:tcPr>
            <w:tcW w:w="1328" w:type="dxa"/>
            <w:vMerge w:val="restart"/>
          </w:tcPr>
          <w:p>
            <w:pPr/>
          </w:p>
        </w:tc>
        <w:tc>
          <w:tcPr>
            <w:tcW w:w="1329" w:type="dxa"/>
          </w:tcPr>
          <w:p>
            <w:pPr>
              <w:pStyle w:val="TableParagraph"/>
              <w:spacing w:line="206" w:lineRule="exact"/>
              <w:ind w:left="241" w:right="238"/>
              <w:jc w:val="center"/>
              <w:rPr>
                <w:sz w:val="18"/>
              </w:rPr>
            </w:pPr>
            <w:r>
              <w:rPr>
                <w:sz w:val="18"/>
              </w:rPr>
              <w:t>Ambiental</w:t>
            </w:r>
          </w:p>
        </w:tc>
        <w:tc>
          <w:tcPr>
            <w:tcW w:w="1360" w:type="dxa"/>
          </w:tcPr>
          <w:p>
            <w:pPr>
              <w:pStyle w:val="TableParagraph"/>
              <w:spacing w:line="206" w:lineRule="exact"/>
              <w:ind w:left="205" w:right="205"/>
              <w:jc w:val="center"/>
              <w:rPr>
                <w:sz w:val="18"/>
              </w:rPr>
            </w:pPr>
            <w:r>
              <w:rPr>
                <w:sz w:val="18"/>
              </w:rPr>
              <w:t>Económico</w:t>
            </w:r>
          </w:p>
        </w:tc>
        <w:tc>
          <w:tcPr>
            <w:tcW w:w="1232" w:type="dxa"/>
          </w:tcPr>
          <w:p>
            <w:pPr>
              <w:pStyle w:val="TableParagraph"/>
              <w:spacing w:line="206" w:lineRule="exact"/>
              <w:ind w:left="364" w:right="163"/>
              <w:rPr>
                <w:sz w:val="18"/>
              </w:rPr>
            </w:pPr>
            <w:r>
              <w:rPr>
                <w:sz w:val="18"/>
              </w:rPr>
              <w:t>Social</w:t>
            </w:r>
          </w:p>
        </w:tc>
        <w:tc>
          <w:tcPr>
            <w:tcW w:w="3810" w:type="dxa"/>
            <w:gridSpan w:val="3"/>
          </w:tcPr>
          <w:p>
            <w:pPr>
              <w:pStyle w:val="TableParagraph"/>
              <w:spacing w:line="206" w:lineRule="exact"/>
              <w:ind w:left="1492" w:right="1489"/>
              <w:jc w:val="center"/>
              <w:rPr>
                <w:sz w:val="18"/>
              </w:rPr>
            </w:pPr>
            <w:r>
              <w:rPr>
                <w:sz w:val="18"/>
              </w:rPr>
              <w:t>Funcional</w:t>
            </w:r>
          </w:p>
        </w:tc>
      </w:tr>
      <w:tr>
        <w:trPr>
          <w:trHeight w:val="1253" w:hRule="exact"/>
        </w:trPr>
        <w:tc>
          <w:tcPr>
            <w:tcW w:w="1328" w:type="dxa"/>
            <w:vMerge/>
          </w:tcPr>
          <w:p>
            <w:pPr/>
          </w:p>
        </w:tc>
        <w:tc>
          <w:tcPr>
            <w:tcW w:w="1329" w:type="dxa"/>
          </w:tcPr>
          <w:p>
            <w:pPr>
              <w:pStyle w:val="TableParagraph"/>
              <w:spacing w:line="360" w:lineRule="auto"/>
              <w:ind w:left="268" w:right="266" w:hanging="2"/>
              <w:jc w:val="center"/>
              <w:rPr>
                <w:sz w:val="18"/>
              </w:rPr>
            </w:pPr>
            <w:r>
              <w:rPr>
                <w:sz w:val="18"/>
              </w:rPr>
              <w:t>Análisis Sima Pro Impacto ambiental</w:t>
            </w:r>
          </w:p>
        </w:tc>
        <w:tc>
          <w:tcPr>
            <w:tcW w:w="1360" w:type="dxa"/>
          </w:tcPr>
          <w:p>
            <w:pPr>
              <w:pStyle w:val="TableParagraph"/>
              <w:spacing w:line="360" w:lineRule="auto"/>
              <w:ind w:left="240" w:right="234" w:hanging="9"/>
              <w:jc w:val="center"/>
              <w:rPr>
                <w:sz w:val="18"/>
              </w:rPr>
            </w:pPr>
            <w:r>
              <w:rPr>
                <w:sz w:val="18"/>
              </w:rPr>
              <w:t>Costo de fabricación por pieza</w:t>
            </w:r>
          </w:p>
        </w:tc>
        <w:tc>
          <w:tcPr>
            <w:tcW w:w="1232" w:type="dxa"/>
          </w:tcPr>
          <w:p>
            <w:pPr>
              <w:pStyle w:val="TableParagraph"/>
              <w:spacing w:before="8"/>
              <w:rPr>
                <w:sz w:val="26"/>
              </w:rPr>
            </w:pPr>
          </w:p>
          <w:p>
            <w:pPr>
              <w:pStyle w:val="TableParagraph"/>
              <w:spacing w:line="357" w:lineRule="auto"/>
              <w:ind w:left="396" w:right="163" w:hanging="216"/>
              <w:rPr>
                <w:sz w:val="18"/>
              </w:rPr>
            </w:pPr>
            <w:r>
              <w:rPr>
                <w:sz w:val="18"/>
              </w:rPr>
              <w:t>Daños a la salud</w:t>
            </w:r>
          </w:p>
        </w:tc>
        <w:tc>
          <w:tcPr>
            <w:tcW w:w="1401" w:type="dxa"/>
          </w:tcPr>
          <w:p>
            <w:pPr>
              <w:pStyle w:val="TableParagraph"/>
              <w:spacing w:line="360" w:lineRule="auto"/>
              <w:ind w:left="232" w:right="221"/>
              <w:jc w:val="center"/>
              <w:rPr>
                <w:sz w:val="18"/>
              </w:rPr>
            </w:pPr>
            <w:r>
              <w:rPr>
                <w:sz w:val="18"/>
              </w:rPr>
              <w:t>Exactitud al trasladar el volumen</w:t>
            </w:r>
          </w:p>
        </w:tc>
        <w:tc>
          <w:tcPr>
            <w:tcW w:w="1352" w:type="dxa"/>
          </w:tcPr>
          <w:p>
            <w:pPr>
              <w:pStyle w:val="TableParagraph"/>
              <w:spacing w:before="8"/>
              <w:rPr>
                <w:sz w:val="26"/>
              </w:rPr>
            </w:pPr>
          </w:p>
          <w:p>
            <w:pPr>
              <w:pStyle w:val="TableParagraph"/>
              <w:spacing w:line="357" w:lineRule="auto"/>
              <w:ind w:left="236" w:right="217" w:firstLine="8"/>
              <w:rPr>
                <w:sz w:val="18"/>
              </w:rPr>
            </w:pPr>
            <w:r>
              <w:rPr>
                <w:sz w:val="18"/>
              </w:rPr>
              <w:t>Tiempo de fabricación</w:t>
            </w:r>
          </w:p>
        </w:tc>
        <w:tc>
          <w:tcPr>
            <w:tcW w:w="1057" w:type="dxa"/>
          </w:tcPr>
          <w:p>
            <w:pPr>
              <w:pStyle w:val="TableParagraph"/>
              <w:rPr>
                <w:sz w:val="18"/>
              </w:rPr>
            </w:pPr>
          </w:p>
          <w:p>
            <w:pPr>
              <w:pStyle w:val="TableParagraph"/>
              <w:rPr>
                <w:sz w:val="18"/>
              </w:rPr>
            </w:pPr>
          </w:p>
          <w:p>
            <w:pPr>
              <w:pStyle w:val="TableParagraph"/>
              <w:spacing w:before="6"/>
              <w:rPr>
                <w:sz w:val="17"/>
              </w:rPr>
            </w:pPr>
          </w:p>
          <w:p>
            <w:pPr>
              <w:pStyle w:val="TableParagraph"/>
              <w:ind w:left="182" w:right="185"/>
              <w:jc w:val="center"/>
              <w:rPr>
                <w:sz w:val="18"/>
              </w:rPr>
            </w:pPr>
            <w:r>
              <w:rPr>
                <w:sz w:val="18"/>
              </w:rPr>
              <w:t>Estética</w:t>
            </w:r>
          </w:p>
        </w:tc>
      </w:tr>
      <w:tr>
        <w:trPr>
          <w:trHeight w:val="628" w:hRule="exact"/>
        </w:trPr>
        <w:tc>
          <w:tcPr>
            <w:tcW w:w="1328" w:type="dxa"/>
          </w:tcPr>
          <w:p>
            <w:pPr>
              <w:pStyle w:val="TableParagraph"/>
              <w:spacing w:line="202" w:lineRule="exact"/>
              <w:ind w:left="124"/>
              <w:rPr>
                <w:sz w:val="18"/>
              </w:rPr>
            </w:pPr>
            <w:r>
              <w:rPr>
                <w:sz w:val="18"/>
              </w:rPr>
              <w:t>Impresión 3D</w:t>
            </w:r>
          </w:p>
        </w:tc>
        <w:tc>
          <w:tcPr>
            <w:tcW w:w="1329" w:type="dxa"/>
          </w:tcPr>
          <w:p>
            <w:pPr>
              <w:pStyle w:val="TableParagraph"/>
              <w:spacing w:line="202" w:lineRule="exact"/>
              <w:ind w:left="238" w:right="238"/>
              <w:jc w:val="center"/>
              <w:rPr>
                <w:sz w:val="18"/>
              </w:rPr>
            </w:pPr>
            <w:r>
              <w:rPr>
                <w:sz w:val="18"/>
              </w:rPr>
              <w:t>75%</w:t>
            </w:r>
          </w:p>
        </w:tc>
        <w:tc>
          <w:tcPr>
            <w:tcW w:w="1360" w:type="dxa"/>
          </w:tcPr>
          <w:p>
            <w:pPr>
              <w:pStyle w:val="TableParagraph"/>
              <w:spacing w:line="202" w:lineRule="exact"/>
              <w:ind w:left="205" w:right="205"/>
              <w:jc w:val="center"/>
              <w:rPr>
                <w:sz w:val="18"/>
              </w:rPr>
            </w:pPr>
            <w:r>
              <w:rPr>
                <w:sz w:val="18"/>
              </w:rPr>
              <w:t>$31,890.00</w:t>
            </w:r>
          </w:p>
        </w:tc>
        <w:tc>
          <w:tcPr>
            <w:tcW w:w="1232" w:type="dxa"/>
          </w:tcPr>
          <w:p>
            <w:pPr>
              <w:pStyle w:val="TableParagraph"/>
              <w:spacing w:line="202" w:lineRule="exact"/>
              <w:ind w:left="404" w:right="163"/>
              <w:rPr>
                <w:sz w:val="18"/>
              </w:rPr>
            </w:pPr>
            <w:r>
              <w:rPr>
                <w:sz w:val="18"/>
              </w:rPr>
              <w:t>60 %</w:t>
            </w:r>
          </w:p>
        </w:tc>
        <w:tc>
          <w:tcPr>
            <w:tcW w:w="1401" w:type="dxa"/>
          </w:tcPr>
          <w:p>
            <w:pPr>
              <w:pStyle w:val="TableParagraph"/>
              <w:spacing w:line="202" w:lineRule="exact"/>
              <w:ind w:left="620"/>
              <w:rPr>
                <w:sz w:val="18"/>
              </w:rPr>
            </w:pPr>
            <w:r>
              <w:rPr>
                <w:sz w:val="18"/>
              </w:rPr>
              <w:t>Si</w:t>
            </w:r>
          </w:p>
        </w:tc>
        <w:tc>
          <w:tcPr>
            <w:tcW w:w="1352" w:type="dxa"/>
          </w:tcPr>
          <w:p>
            <w:pPr>
              <w:pStyle w:val="TableParagraph"/>
              <w:spacing w:line="202" w:lineRule="exact"/>
              <w:ind w:left="401" w:right="402"/>
              <w:jc w:val="center"/>
              <w:rPr>
                <w:sz w:val="18"/>
              </w:rPr>
            </w:pPr>
            <w:r>
              <w:rPr>
                <w:sz w:val="18"/>
              </w:rPr>
              <w:t>37 hrs</w:t>
            </w:r>
          </w:p>
        </w:tc>
        <w:tc>
          <w:tcPr>
            <w:tcW w:w="1057" w:type="dxa"/>
          </w:tcPr>
          <w:p>
            <w:pPr>
              <w:pStyle w:val="TableParagraph"/>
              <w:spacing w:line="202" w:lineRule="exact"/>
              <w:ind w:left="174" w:right="185"/>
              <w:jc w:val="center"/>
              <w:rPr>
                <w:sz w:val="18"/>
              </w:rPr>
            </w:pPr>
            <w:r>
              <w:rPr>
                <w:sz w:val="18"/>
              </w:rPr>
              <w:t>No</w:t>
            </w:r>
          </w:p>
        </w:tc>
      </w:tr>
      <w:tr>
        <w:trPr>
          <w:trHeight w:val="1253" w:hRule="exact"/>
        </w:trPr>
        <w:tc>
          <w:tcPr>
            <w:tcW w:w="1328" w:type="dxa"/>
          </w:tcPr>
          <w:p>
            <w:pPr>
              <w:pStyle w:val="TableParagraph"/>
              <w:spacing w:line="360" w:lineRule="auto"/>
              <w:ind w:left="255" w:right="258"/>
              <w:jc w:val="center"/>
              <w:rPr>
                <w:sz w:val="18"/>
              </w:rPr>
            </w:pPr>
            <w:r>
              <w:rPr>
                <w:sz w:val="18"/>
              </w:rPr>
              <w:t>Fibra de Vidrio con resina poliéster</w:t>
            </w:r>
          </w:p>
        </w:tc>
        <w:tc>
          <w:tcPr>
            <w:tcW w:w="1329" w:type="dxa"/>
          </w:tcPr>
          <w:p>
            <w:pPr>
              <w:pStyle w:val="TableParagraph"/>
              <w:spacing w:line="207" w:lineRule="exact"/>
              <w:ind w:left="236" w:right="238"/>
              <w:jc w:val="center"/>
              <w:rPr>
                <w:sz w:val="18"/>
              </w:rPr>
            </w:pPr>
            <w:r>
              <w:rPr>
                <w:sz w:val="18"/>
              </w:rPr>
              <w:t>100%</w:t>
            </w:r>
          </w:p>
        </w:tc>
        <w:tc>
          <w:tcPr>
            <w:tcW w:w="1360" w:type="dxa"/>
          </w:tcPr>
          <w:p>
            <w:pPr>
              <w:pStyle w:val="TableParagraph"/>
              <w:spacing w:line="207" w:lineRule="exact"/>
              <w:ind w:left="205" w:right="205"/>
              <w:jc w:val="center"/>
              <w:rPr>
                <w:sz w:val="18"/>
              </w:rPr>
            </w:pPr>
            <w:r>
              <w:rPr>
                <w:sz w:val="18"/>
              </w:rPr>
              <w:t>$36,120.50</w:t>
            </w:r>
          </w:p>
        </w:tc>
        <w:tc>
          <w:tcPr>
            <w:tcW w:w="1232" w:type="dxa"/>
          </w:tcPr>
          <w:p>
            <w:pPr>
              <w:pStyle w:val="TableParagraph"/>
              <w:spacing w:line="207" w:lineRule="exact"/>
              <w:ind w:left="380" w:right="163"/>
              <w:rPr>
                <w:sz w:val="18"/>
              </w:rPr>
            </w:pPr>
            <w:r>
              <w:rPr>
                <w:sz w:val="18"/>
              </w:rPr>
              <w:t>100%</w:t>
            </w:r>
          </w:p>
        </w:tc>
        <w:tc>
          <w:tcPr>
            <w:tcW w:w="1401" w:type="dxa"/>
          </w:tcPr>
          <w:p>
            <w:pPr>
              <w:pStyle w:val="TableParagraph"/>
              <w:spacing w:line="207" w:lineRule="exact"/>
              <w:ind w:left="584"/>
              <w:rPr>
                <w:sz w:val="18"/>
              </w:rPr>
            </w:pPr>
            <w:r>
              <w:rPr>
                <w:sz w:val="18"/>
              </w:rPr>
              <w:t>No</w:t>
            </w:r>
          </w:p>
        </w:tc>
        <w:tc>
          <w:tcPr>
            <w:tcW w:w="1352" w:type="dxa"/>
          </w:tcPr>
          <w:p>
            <w:pPr>
              <w:pStyle w:val="TableParagraph"/>
              <w:spacing w:line="207" w:lineRule="exact"/>
              <w:ind w:left="401" w:right="402"/>
              <w:jc w:val="center"/>
              <w:rPr>
                <w:sz w:val="18"/>
              </w:rPr>
            </w:pPr>
            <w:r>
              <w:rPr>
                <w:sz w:val="18"/>
              </w:rPr>
              <w:t>72 hrs</w:t>
            </w:r>
          </w:p>
        </w:tc>
        <w:tc>
          <w:tcPr>
            <w:tcW w:w="1057" w:type="dxa"/>
          </w:tcPr>
          <w:p>
            <w:pPr>
              <w:pStyle w:val="TableParagraph"/>
              <w:spacing w:line="207" w:lineRule="exact"/>
              <w:ind w:left="180" w:right="185"/>
              <w:jc w:val="center"/>
              <w:rPr>
                <w:sz w:val="18"/>
              </w:rPr>
            </w:pPr>
            <w:r>
              <w:rPr>
                <w:sz w:val="18"/>
              </w:rPr>
              <w:t>Si</w:t>
            </w:r>
          </w:p>
        </w:tc>
      </w:tr>
    </w:tbl>
    <w:p>
      <w:pPr>
        <w:spacing w:line="206" w:lineRule="exact" w:before="0"/>
        <w:ind w:left="3204" w:right="3204" w:firstLine="0"/>
        <w:jc w:val="center"/>
        <w:rPr>
          <w:sz w:val="18"/>
        </w:rPr>
      </w:pPr>
      <w:r>
        <w:rPr>
          <w:sz w:val="18"/>
        </w:rPr>
        <w:t>(Fuente: Elaboración propia, 2015).</w:t>
      </w:r>
    </w:p>
    <w:p>
      <w:pPr>
        <w:spacing w:after="0" w:line="206" w:lineRule="exact"/>
        <w:jc w:val="center"/>
        <w:rPr>
          <w:sz w:val="18"/>
        </w:rPr>
        <w:sectPr>
          <w:footerReference w:type="even" r:id="rId217"/>
          <w:footerReference w:type="default" r:id="rId218"/>
          <w:pgSz w:w="12240" w:h="15840"/>
          <w:pgMar w:footer="1031" w:header="0" w:top="1420" w:bottom="1220" w:left="1480" w:right="1480"/>
          <w:pgNumType w:start="214"/>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8"/>
        </w:rPr>
      </w:pPr>
    </w:p>
    <w:p>
      <w:pPr>
        <w:pStyle w:val="Heading2"/>
        <w:numPr>
          <w:ilvl w:val="1"/>
          <w:numId w:val="52"/>
        </w:numPr>
        <w:tabs>
          <w:tab w:pos="3122" w:val="left" w:leader="none"/>
        </w:tabs>
        <w:spacing w:line="240" w:lineRule="auto" w:before="65" w:after="0"/>
        <w:ind w:left="3121" w:right="0" w:hanging="432"/>
        <w:jc w:val="left"/>
      </w:pPr>
      <w:bookmarkStart w:name="6. Conclusiones generales" w:id="317"/>
      <w:bookmarkEnd w:id="317"/>
      <w:r>
        <w:rPr/>
      </w:r>
      <w:bookmarkStart w:name="_bookmark205" w:id="318"/>
      <w:bookmarkEnd w:id="318"/>
      <w:r>
        <w:rPr/>
      </w:r>
      <w:bookmarkStart w:name="_bookmark205" w:id="319"/>
      <w:bookmarkEnd w:id="319"/>
      <w:r>
        <w:rPr/>
        <w:t>C</w:t>
      </w:r>
      <w:r>
        <w:rPr/>
        <w:t>onclusiones</w:t>
      </w:r>
      <w:r>
        <w:rPr>
          <w:spacing w:val="-2"/>
        </w:rPr>
        <w:t> </w:t>
      </w:r>
      <w:r>
        <w:rPr/>
        <w:t>generales</w:t>
      </w:r>
    </w:p>
    <w:p>
      <w:pPr>
        <w:spacing w:after="0" w:line="240" w:lineRule="auto"/>
        <w:jc w:val="left"/>
        <w:sectPr>
          <w:pgSz w:w="12240" w:h="15840"/>
          <w:pgMar w:header="0" w:footer="1031" w:top="1500" w:bottom="1220" w:left="1720" w:right="1600"/>
        </w:sectPr>
      </w:pPr>
    </w:p>
    <w:p>
      <w:pPr>
        <w:pStyle w:val="BodyText"/>
        <w:spacing w:line="360" w:lineRule="auto" w:before="55"/>
        <w:ind w:left="100" w:right="122"/>
        <w:jc w:val="both"/>
      </w:pPr>
      <w:r>
        <w:rPr/>
        <w:t>Dicha investigación nace de la necesidad de solucionar el problema funcional de traslado de volumen con exactitud, mejorar tiempo de fabricación y solución de problemas estéticos; mejorar los costos; una mejor opción con los materiales que trata el escultor que no dañen su salud; y que los materiales y procesos sean más amigables con el medio ambiente.</w:t>
      </w:r>
    </w:p>
    <w:p>
      <w:pPr>
        <w:pStyle w:val="BodyText"/>
      </w:pPr>
    </w:p>
    <w:p>
      <w:pPr>
        <w:pStyle w:val="BodyText"/>
        <w:spacing w:line="360" w:lineRule="auto" w:before="142"/>
        <w:ind w:left="100" w:right="117"/>
        <w:jc w:val="both"/>
      </w:pPr>
      <w:r>
        <w:rPr/>
        <w:t>La hipótesis: Si se utiliza tecnología de modelado 3D para la escultura de pequeño formato</w:t>
      </w:r>
      <w:r>
        <w:rPr>
          <w:b/>
        </w:rPr>
        <w:t>, </w:t>
      </w:r>
      <w:r>
        <w:rPr/>
        <w:t>entonces se obtendrá mayor exactitud en las medidas, se reduciría el impacto ambiental en comparación con el método de aplicación de fibra de vidrio, así como la disminución de costos en el proceso y menor daño a la salud; resulto </w:t>
      </w:r>
      <w:r>
        <w:rPr>
          <w:b/>
          <w:i/>
        </w:rPr>
        <w:t>Positiva</w:t>
      </w:r>
      <w:r>
        <w:rPr/>
        <w:t>, si se logra la exactitud en formas y de los resultados del Sima Pro 8.0 la impresión 3D es más amigable con el medio ambiente de acuerdo a la </w:t>
      </w:r>
      <w:hyperlink w:history="true" w:anchor="_bookmark190">
        <w:r>
          <w:rPr/>
          <w:t>Figura 5.9</w:t>
        </w:r>
      </w:hyperlink>
      <w:r>
        <w:rPr/>
        <w:t>.</w:t>
      </w:r>
    </w:p>
    <w:p>
      <w:pPr>
        <w:pStyle w:val="BodyText"/>
      </w:pPr>
    </w:p>
    <w:p>
      <w:pPr>
        <w:pStyle w:val="BodyText"/>
        <w:spacing w:line="360" w:lineRule="auto" w:before="142"/>
        <w:ind w:left="100" w:right="123"/>
        <w:jc w:val="both"/>
      </w:pPr>
      <w:r>
        <w:rPr/>
        <w:t>Para llegar a dichos resultados primero se realizaron entrevistas y encuestas a escultores para diagnosticar los materiales y procesos más utilizados, así como también investigación documental de herramientas de tecnología de modelado 3D de RP ya utilizado en la escultura. Y se llegaron a las siguientes conclusiones:</w:t>
      </w:r>
    </w:p>
    <w:p>
      <w:pPr>
        <w:pStyle w:val="BodyText"/>
      </w:pPr>
    </w:p>
    <w:p>
      <w:pPr>
        <w:pStyle w:val="ListParagraph"/>
        <w:numPr>
          <w:ilvl w:val="2"/>
          <w:numId w:val="64"/>
        </w:numPr>
        <w:tabs>
          <w:tab w:pos="821" w:val="left" w:leader="none"/>
        </w:tabs>
        <w:spacing w:line="360" w:lineRule="auto" w:before="142" w:after="0"/>
        <w:ind w:left="821" w:right="115" w:hanging="361"/>
        <w:jc w:val="both"/>
        <w:rPr>
          <w:sz w:val="24"/>
        </w:rPr>
      </w:pPr>
      <w:r>
        <w:rPr>
          <w:sz w:val="24"/>
        </w:rPr>
        <w:t>La parte novedosa del uso de tecnología de RP en el campo de la escultura, es que en lo funcional las piezas se fabrican sin alteraciones de ladeo, fidelidad, reducción de tiempo en proceso de fabricación, y diseños escultóricos que de manera artesanal sería imposible de</w:t>
      </w:r>
      <w:r>
        <w:rPr>
          <w:spacing w:val="-35"/>
          <w:sz w:val="24"/>
        </w:rPr>
        <w:t> </w:t>
      </w:r>
      <w:r>
        <w:rPr>
          <w:sz w:val="24"/>
        </w:rPr>
        <w:t>fabricar.</w:t>
      </w:r>
    </w:p>
    <w:p>
      <w:pPr>
        <w:pStyle w:val="BodyText"/>
      </w:pPr>
    </w:p>
    <w:p>
      <w:pPr>
        <w:pStyle w:val="ListParagraph"/>
        <w:numPr>
          <w:ilvl w:val="2"/>
          <w:numId w:val="64"/>
        </w:numPr>
        <w:tabs>
          <w:tab w:pos="821" w:val="left" w:leader="none"/>
        </w:tabs>
        <w:spacing w:line="360" w:lineRule="auto" w:before="142" w:after="0"/>
        <w:ind w:left="821" w:right="115" w:hanging="361"/>
        <w:jc w:val="both"/>
        <w:rPr>
          <w:b/>
          <w:sz w:val="24"/>
        </w:rPr>
      </w:pPr>
      <w:r>
        <w:rPr>
          <w:sz w:val="24"/>
        </w:rPr>
        <w:t>Para determinar si el diseño de la pieza podría ser impreso en la Prusia i3, se realizaron bocetos en papel y luego se digitalizaron dos, donde solamente la forma más sencilla se imprimió sin problemas. Ver </w:t>
      </w:r>
      <w:hyperlink w:history="true" w:anchor="_bookmark154">
        <w:r>
          <w:rPr>
            <w:sz w:val="24"/>
          </w:rPr>
          <w:t>Tabla 5.2</w:t>
        </w:r>
      </w:hyperlink>
      <w:r>
        <w:rPr>
          <w:b/>
          <w:sz w:val="24"/>
        </w:rPr>
        <w:t>. Prácticamente la forma se adaptó a la impresora cerrando posibilidades</w:t>
      </w:r>
      <w:r>
        <w:rPr>
          <w:b/>
          <w:spacing w:val="-14"/>
          <w:sz w:val="24"/>
        </w:rPr>
        <w:t> </w:t>
      </w:r>
      <w:r>
        <w:rPr>
          <w:b/>
          <w:sz w:val="24"/>
        </w:rPr>
        <w:t>estéticas.</w:t>
      </w:r>
    </w:p>
    <w:p>
      <w:pPr>
        <w:pStyle w:val="BodyText"/>
        <w:rPr>
          <w:b/>
        </w:rPr>
      </w:pPr>
    </w:p>
    <w:p>
      <w:pPr>
        <w:pStyle w:val="ListParagraph"/>
        <w:numPr>
          <w:ilvl w:val="2"/>
          <w:numId w:val="64"/>
        </w:numPr>
        <w:tabs>
          <w:tab w:pos="821" w:val="left" w:leader="none"/>
        </w:tabs>
        <w:spacing w:line="357" w:lineRule="auto" w:before="146" w:after="0"/>
        <w:ind w:left="821" w:right="119" w:hanging="361"/>
        <w:jc w:val="both"/>
        <w:rPr>
          <w:sz w:val="24"/>
        </w:rPr>
      </w:pPr>
      <w:r>
        <w:rPr>
          <w:sz w:val="24"/>
        </w:rPr>
        <w:t>La impresión 3D en este caso únicamente con PLA en la impresora Prusia i3 la pieza mantiene marcas en la superficie del material de soporte que </w:t>
      </w:r>
      <w:r>
        <w:rPr>
          <w:spacing w:val="53"/>
          <w:sz w:val="24"/>
        </w:rPr>
        <w:t> </w:t>
      </w:r>
      <w:r>
        <w:rPr>
          <w:sz w:val="24"/>
        </w:rPr>
        <w:t>es</w:t>
      </w:r>
    </w:p>
    <w:p>
      <w:pPr>
        <w:spacing w:after="0" w:line="357" w:lineRule="auto"/>
        <w:jc w:val="both"/>
        <w:rPr>
          <w:sz w:val="24"/>
        </w:rPr>
        <w:sectPr>
          <w:pgSz w:w="12240" w:h="15840"/>
          <w:pgMar w:header="0" w:footer="1031" w:top="1360" w:bottom="1220" w:left="1600" w:right="1580"/>
        </w:sectPr>
      </w:pPr>
    </w:p>
    <w:p>
      <w:pPr>
        <w:pStyle w:val="BodyText"/>
        <w:spacing w:line="357" w:lineRule="auto" w:before="55"/>
        <w:ind w:left="821" w:right="125"/>
        <w:jc w:val="both"/>
        <w:rPr>
          <w:b/>
        </w:rPr>
      </w:pPr>
      <w:r>
        <w:rPr/>
        <w:t>retirado. No se puede lijar porque maltrata el acabado brillante de la impresión. Por lo tanto dicha máquina se limita a formas cerradas que no requieran de tanto material de soporte que deje marcas, ver </w:t>
      </w:r>
      <w:hyperlink w:history="true" w:anchor="_bookmark166">
        <w:r>
          <w:rPr/>
          <w:t>Figura 5.6</w:t>
        </w:r>
      </w:hyperlink>
      <w:r>
        <w:rPr>
          <w:b/>
        </w:rPr>
        <w:t>.</w:t>
      </w:r>
    </w:p>
    <w:p>
      <w:pPr>
        <w:pStyle w:val="BodyText"/>
        <w:rPr>
          <w:b/>
        </w:rPr>
      </w:pPr>
    </w:p>
    <w:p>
      <w:pPr>
        <w:pStyle w:val="BodyText"/>
        <w:spacing w:line="362" w:lineRule="auto" w:before="145"/>
        <w:ind w:left="100" w:right="117"/>
        <w:jc w:val="both"/>
      </w:pPr>
      <w:r>
        <w:rPr/>
        <w:t>Los resultados se discuten con los arboles de decisiones de </w:t>
      </w:r>
      <w:r>
        <w:rPr>
          <w:b/>
        </w:rPr>
        <w:t>Nigel Cross </w:t>
      </w:r>
      <w:r>
        <w:rPr/>
        <w:t>en la </w:t>
      </w:r>
      <w:hyperlink w:history="true" w:anchor="_bookmark196">
        <w:r>
          <w:rPr/>
          <w:t>Figura 5.12</w:t>
        </w:r>
      </w:hyperlink>
      <w:r>
        <w:rPr/>
        <w:t>. donde se manejan tres escenarios en las ponderaciones de los aspectos ambientales, de salud, costos y función.</w:t>
      </w:r>
    </w:p>
    <w:p>
      <w:pPr>
        <w:pStyle w:val="BodyText"/>
        <w:spacing w:before="8"/>
        <w:rPr>
          <w:sz w:val="35"/>
        </w:rPr>
      </w:pPr>
    </w:p>
    <w:p>
      <w:pPr>
        <w:spacing w:before="1"/>
        <w:ind w:left="100" w:right="0" w:firstLine="0"/>
        <w:jc w:val="both"/>
        <w:rPr>
          <w:b/>
          <w:sz w:val="24"/>
        </w:rPr>
      </w:pPr>
      <w:r>
        <w:rPr>
          <w:sz w:val="24"/>
        </w:rPr>
        <w:t>Para medir el </w:t>
      </w:r>
      <w:r>
        <w:rPr>
          <w:b/>
          <w:sz w:val="24"/>
        </w:rPr>
        <w:t>impacto  ambiental </w:t>
      </w:r>
      <w:r>
        <w:rPr>
          <w:sz w:val="24"/>
        </w:rPr>
        <w:t>se utiliza el software de simulación </w:t>
      </w:r>
      <w:r>
        <w:rPr>
          <w:b/>
          <w:sz w:val="24"/>
        </w:rPr>
        <w:t>Sima     Pro</w:t>
      </w:r>
    </w:p>
    <w:p>
      <w:pPr>
        <w:pStyle w:val="BodyText"/>
        <w:spacing w:line="362" w:lineRule="auto" w:before="140"/>
        <w:ind w:left="100" w:right="118"/>
        <w:jc w:val="both"/>
      </w:pPr>
      <w:r>
        <w:rPr>
          <w:b/>
        </w:rPr>
        <w:t>8.0. </w:t>
      </w:r>
      <w:r>
        <w:rPr/>
        <w:t>Y el resultado es favorable para el proceso de impresión 3D FDM utilizando material de PLA como el menos dañino con el medio ambiente en comparativa con la resina poliéster FV.</w:t>
      </w:r>
    </w:p>
    <w:p>
      <w:pPr>
        <w:pStyle w:val="BodyText"/>
        <w:spacing w:before="9"/>
        <w:rPr>
          <w:sz w:val="35"/>
        </w:rPr>
      </w:pPr>
    </w:p>
    <w:p>
      <w:pPr>
        <w:pStyle w:val="BodyText"/>
        <w:spacing w:line="362" w:lineRule="auto"/>
        <w:ind w:left="100" w:right="121"/>
        <w:jc w:val="both"/>
      </w:pPr>
      <w:r>
        <w:rPr/>
        <w:t>En </w:t>
      </w:r>
      <w:r>
        <w:rPr>
          <w:b/>
        </w:rPr>
        <w:t>salud </w:t>
      </w:r>
      <w:r>
        <w:rPr/>
        <w:t>se consideran los aspectos cancerígenos, respiratorios orgánicos e inorgánicos,  resultando favorable el proceso de impresión 3D.</w:t>
      </w:r>
    </w:p>
    <w:p>
      <w:pPr>
        <w:pStyle w:val="BodyText"/>
        <w:spacing w:before="8"/>
        <w:rPr>
          <w:sz w:val="35"/>
        </w:rPr>
      </w:pPr>
    </w:p>
    <w:p>
      <w:pPr>
        <w:pStyle w:val="BodyText"/>
        <w:spacing w:line="362" w:lineRule="auto" w:before="1"/>
        <w:ind w:left="100" w:right="121"/>
        <w:jc w:val="both"/>
      </w:pPr>
      <w:r>
        <w:rPr/>
        <w:t>Para comparar los </w:t>
      </w:r>
      <w:r>
        <w:rPr>
          <w:b/>
        </w:rPr>
        <w:t>costos </w:t>
      </w:r>
      <w:r>
        <w:rPr/>
        <w:t>se establecen parámetros representando el costo como económico, regular y caro; a su vez se asigna un valor a cada uno para clasificar en qué parámetro  se ubica. Resulta a favor la impresión 3D.</w:t>
      </w:r>
    </w:p>
    <w:p>
      <w:pPr>
        <w:pStyle w:val="BodyText"/>
        <w:spacing w:before="8"/>
        <w:rPr>
          <w:sz w:val="35"/>
        </w:rPr>
      </w:pPr>
    </w:p>
    <w:p>
      <w:pPr>
        <w:pStyle w:val="BodyText"/>
        <w:spacing w:line="362" w:lineRule="auto"/>
        <w:ind w:left="100" w:right="118"/>
        <w:jc w:val="both"/>
      </w:pPr>
      <w:r>
        <w:rPr/>
        <w:t>En lo </w:t>
      </w:r>
      <w:r>
        <w:rPr>
          <w:b/>
        </w:rPr>
        <w:t>Funcional </w:t>
      </w:r>
      <w:r>
        <w:rPr/>
        <w:t>que se refiere a la exactitud al trasladar el volumen, es favorable la pieza impresa. En tiempo de impresión 3D es de 37 horas contra 72 horas de la artesanal. En el aspecto estético resulta favorable la artesanal en comparación  con la pieza impresa por acabados que necesitan intervención</w:t>
      </w:r>
      <w:r>
        <w:rPr>
          <w:spacing w:val="-34"/>
        </w:rPr>
        <w:t> </w:t>
      </w:r>
      <w:r>
        <w:rPr/>
        <w:t>artesanal.</w:t>
      </w:r>
    </w:p>
    <w:p>
      <w:pPr>
        <w:pStyle w:val="BodyText"/>
        <w:spacing w:before="8"/>
        <w:rPr>
          <w:sz w:val="35"/>
        </w:rPr>
      </w:pPr>
    </w:p>
    <w:p>
      <w:pPr>
        <w:pStyle w:val="BodyText"/>
        <w:spacing w:line="360" w:lineRule="auto" w:before="1"/>
        <w:ind w:left="100" w:right="117"/>
        <w:jc w:val="both"/>
      </w:pPr>
      <w:r>
        <w:rPr/>
        <w:t>Un resultado importante en el aspecto </w:t>
      </w:r>
      <w:r>
        <w:rPr>
          <w:b/>
        </w:rPr>
        <w:t>Funcional-Estético </w:t>
      </w:r>
      <w:r>
        <w:rPr/>
        <w:t>fue que al retirar el material de soporte quedan las marcas del mismo, de tal modo que si se tienen que retirar con lija y lastima el acabado brillante del PLA como se muestra en la fotografía de detalle. Por lo tanto se puede concluir que se necesita una parte artesanal o de tratamiento a la pieza impresa, lo llamamos un proceso </w:t>
      </w:r>
      <w:r>
        <w:rPr>
          <w:b/>
          <w:i/>
        </w:rPr>
        <w:t>híbrido </w:t>
      </w:r>
      <w:r>
        <w:rPr/>
        <w:t>que lleva ambos procesos.</w:t>
      </w:r>
    </w:p>
    <w:p>
      <w:pPr>
        <w:spacing w:after="0" w:line="360" w:lineRule="auto"/>
        <w:jc w:val="both"/>
        <w:sectPr>
          <w:pgSz w:w="12240" w:h="15840"/>
          <w:pgMar w:header="0" w:footer="1031" w:top="1360" w:bottom="1220" w:left="1600" w:right="1580"/>
        </w:sectPr>
      </w:pPr>
    </w:p>
    <w:p>
      <w:pPr>
        <w:spacing w:before="51"/>
        <w:ind w:left="230" w:right="0" w:firstLine="0"/>
        <w:jc w:val="center"/>
        <w:rPr>
          <w:sz w:val="18"/>
        </w:rPr>
      </w:pPr>
      <w:r>
        <w:rPr>
          <w:w w:val="100"/>
          <w:sz w:val="18"/>
        </w:rPr>
        <w:t>.</w:t>
      </w:r>
    </w:p>
    <w:p>
      <w:pPr>
        <w:pStyle w:val="BodyText"/>
        <w:spacing w:line="360" w:lineRule="auto" w:before="4"/>
        <w:ind w:left="100" w:right="99"/>
        <w:jc w:val="both"/>
      </w:pPr>
      <w:r>
        <w:rPr/>
        <w:t>¿Cuál es la aportación de este estudio al área de la escultura? La impresión 3D, en el caso particular de la Prusia i3 y de los sistemas basados en RepRap con arquitectura altera han demostrado tener ventajas en el tiempo, costos  (adquisición y producción) y en la manufactura de algunos volúmenes complejos, pero se puso en evidencia las limitaciones a la hora de reproducir formas complejas con espesores delgados (&lt;1mm) y aunado al error del</w:t>
      </w:r>
      <w:r>
        <w:rPr>
          <w:spacing w:val="-29"/>
        </w:rPr>
        <w:t> </w:t>
      </w:r>
      <w:r>
        <w:rPr/>
        <w:t>algoritmo.</w:t>
      </w:r>
    </w:p>
    <w:p>
      <w:pPr>
        <w:pStyle w:val="BodyText"/>
      </w:pPr>
    </w:p>
    <w:p>
      <w:pPr>
        <w:pStyle w:val="BodyText"/>
        <w:spacing w:line="360" w:lineRule="auto" w:before="142"/>
        <w:ind w:left="100" w:right="99" w:firstLine="68"/>
        <w:jc w:val="both"/>
      </w:pPr>
      <w:r>
        <w:rPr/>
        <w:t>Se llegó a la conclusión de que dicha tecnología son una opción más como herramienta de fabricación de escultura de pequeño a mediano formato, sabemos que las técnicas tradicionales de la escultura seguirán existiendo, pero en esta investigación se presenta una opción más de fabricación escultórica.</w:t>
      </w:r>
    </w:p>
    <w:p>
      <w:pPr>
        <w:pStyle w:val="BodyText"/>
      </w:pPr>
    </w:p>
    <w:p>
      <w:pPr>
        <w:pStyle w:val="BodyText"/>
        <w:spacing w:line="362" w:lineRule="auto" w:before="141"/>
        <w:ind w:left="100" w:right="109"/>
        <w:jc w:val="both"/>
      </w:pPr>
      <w:r>
        <w:rPr/>
        <w:t>Y definitivamente esta herramienta de impresión 3D necesita forzosamente un proceso híbrido donde se mezcla lo digital con lo artesanal.</w:t>
      </w:r>
    </w:p>
    <w:p>
      <w:pPr>
        <w:spacing w:after="0" w:line="362" w:lineRule="auto"/>
        <w:jc w:val="both"/>
        <w:sectPr>
          <w:pgSz w:w="12240" w:h="15840"/>
          <w:pgMar w:header="0" w:footer="1031" w:top="1360" w:bottom="1220" w:left="1600" w:right="1600"/>
        </w:sectPr>
      </w:pPr>
    </w:p>
    <w:p>
      <w:pPr>
        <w:pStyle w:val="Heading2"/>
        <w:numPr>
          <w:ilvl w:val="1"/>
          <w:numId w:val="52"/>
        </w:numPr>
        <w:tabs>
          <w:tab w:pos="3270" w:val="left" w:leader="none"/>
        </w:tabs>
        <w:spacing w:line="240" w:lineRule="auto" w:before="49" w:after="0"/>
        <w:ind w:left="3269" w:right="0" w:hanging="432"/>
        <w:jc w:val="left"/>
      </w:pPr>
      <w:bookmarkStart w:name="7. Fuentes de información" w:id="320"/>
      <w:bookmarkEnd w:id="320"/>
      <w:r>
        <w:rPr/>
      </w:r>
      <w:bookmarkStart w:name="_bookmark206" w:id="321"/>
      <w:bookmarkEnd w:id="321"/>
      <w:r>
        <w:rPr/>
      </w:r>
      <w:bookmarkStart w:name="_bookmark206" w:id="322"/>
      <w:bookmarkEnd w:id="322"/>
      <w:r>
        <w:rPr/>
        <w:t>F</w:t>
      </w:r>
      <w:r>
        <w:rPr/>
        <w:t>uentes de</w:t>
      </w:r>
      <w:r>
        <w:rPr>
          <w:spacing w:val="-2"/>
        </w:rPr>
        <w:t> </w:t>
      </w:r>
      <w:r>
        <w:rPr/>
        <w:t>información</w:t>
      </w:r>
    </w:p>
    <w:p>
      <w:pPr>
        <w:pStyle w:val="BodyText"/>
        <w:spacing w:before="5"/>
        <w:rPr>
          <w:sz w:val="36"/>
        </w:rPr>
      </w:pPr>
    </w:p>
    <w:p>
      <w:pPr>
        <w:pStyle w:val="BodyText"/>
        <w:spacing w:line="360" w:lineRule="auto"/>
        <w:ind w:left="100" w:right="99"/>
        <w:jc w:val="both"/>
      </w:pPr>
      <w:r>
        <w:rPr/>
        <w:t>Andersen, Z.J., Olsen, T.S., Andersen, K.K., Loft, S., Ketzel, M., Raaschou- Nielsen, O.,2010. Association between short-term exposure to ultrafine particles and hospital admissions for stroke in Copenhagen, Denmark. European Heart Journal 31, 2034e2040.</w:t>
      </w:r>
    </w:p>
    <w:p>
      <w:pPr>
        <w:pStyle w:val="BodyText"/>
      </w:pPr>
    </w:p>
    <w:p>
      <w:pPr>
        <w:pStyle w:val="BodyText"/>
        <w:spacing w:line="357" w:lineRule="auto" w:before="142"/>
        <w:ind w:left="100" w:right="106"/>
        <w:jc w:val="both"/>
      </w:pPr>
      <w:r>
        <w:rPr/>
        <w:t>Aranda, A. e, I. Zabalza, (2010). Ecodiseño y análisis de ciclo de vida. Universidad de Zaragoza. España, Prensas Universitarias de Zaragoza.</w:t>
      </w:r>
    </w:p>
    <w:p>
      <w:pPr>
        <w:pStyle w:val="BodyText"/>
      </w:pPr>
    </w:p>
    <w:p>
      <w:pPr>
        <w:pStyle w:val="BodyText"/>
        <w:spacing w:line="362" w:lineRule="auto" w:before="145"/>
        <w:ind w:left="100" w:right="111"/>
        <w:jc w:val="both"/>
      </w:pPr>
      <w:r>
        <w:rPr/>
        <w:t>Ares escultor (2014). “Ares escultor”. [En línea]. España, disponible en: </w:t>
      </w:r>
      <w:hyperlink r:id="rId137">
        <w:r>
          <w:rPr/>
          <w:t>http://ares.cat/processos.php</w:t>
        </w:r>
      </w:hyperlink>
      <w:r>
        <w:rPr/>
        <w:t> [Accesado el día 30 de abril de 2015].</w:t>
      </w:r>
    </w:p>
    <w:p>
      <w:pPr>
        <w:pStyle w:val="BodyText"/>
      </w:pPr>
    </w:p>
    <w:p>
      <w:pPr>
        <w:pStyle w:val="BodyText"/>
        <w:spacing w:line="360" w:lineRule="auto" w:before="139"/>
        <w:ind w:left="100" w:right="104"/>
        <w:jc w:val="both"/>
      </w:pPr>
      <w:r>
        <w:rPr/>
        <w:t>Arguemi, A., (2015). Diseño de un escáner 3D con una Raspberry PI. Trabajo final de Grado. España, Escuela Universitaria de Ingeniería Técnica e Industrial de Barcelona, Universidad Politécnica de Catalunya.</w:t>
      </w:r>
    </w:p>
    <w:p>
      <w:pPr>
        <w:pStyle w:val="BodyText"/>
      </w:pPr>
    </w:p>
    <w:p>
      <w:pPr>
        <w:pStyle w:val="BodyText"/>
        <w:tabs>
          <w:tab w:pos="2648" w:val="left" w:leader="none"/>
          <w:tab w:pos="4417" w:val="left" w:leader="none"/>
        </w:tabs>
        <w:spacing w:line="360" w:lineRule="auto" w:before="142"/>
        <w:ind w:left="100" w:right="98"/>
        <w:jc w:val="both"/>
      </w:pPr>
      <w:r>
        <w:rPr/>
        <w:t>Atelier, Johnson. (2004). Johnson Atelier slashes the time for enlarged sculpture reproduction from 3 months to 2 weeks. Innove-Merics Software. [En línea]. Disponible</w:t>
        <w:tab/>
        <w:t>en:</w:t>
        <w:tab/>
      </w:r>
      <w:hyperlink r:id="rId145">
        <w:r>
          <w:rPr>
            <w:spacing w:val="-1"/>
          </w:rPr>
          <w:t>http://www.innovmetric.com/polyworks/3D-</w:t>
        </w:r>
      </w:hyperlink>
      <w:r>
        <w:rPr>
          <w:spacing w:val="-1"/>
        </w:rPr>
        <w:t> </w:t>
      </w:r>
      <w:hyperlink r:id="rId145">
        <w:r>
          <w:rPr/>
          <w:t>scanners/pdf/PolyWorks_CaseStudy_Johnson_Atelier.pdf</w:t>
        </w:r>
      </w:hyperlink>
      <w:r>
        <w:rPr/>
        <w:t> [Accesado el día 22 de noviembre de</w:t>
      </w:r>
      <w:r>
        <w:rPr>
          <w:spacing w:val="-12"/>
        </w:rPr>
        <w:t> </w:t>
      </w:r>
      <w:r>
        <w:rPr/>
        <w:t>2014].</w:t>
      </w:r>
    </w:p>
    <w:p>
      <w:pPr>
        <w:pStyle w:val="BodyText"/>
      </w:pPr>
    </w:p>
    <w:p>
      <w:pPr>
        <w:pStyle w:val="BodyText"/>
        <w:spacing w:line="360" w:lineRule="auto" w:before="142"/>
        <w:ind w:left="100" w:right="100"/>
        <w:jc w:val="both"/>
      </w:pPr>
      <w:r>
        <w:rPr/>
        <w:t>Barry, Ball (1982-2013). Barry X Ball. [En línea]. Disponible en: </w:t>
      </w:r>
      <w:hyperlink r:id="rId219">
        <w:r>
          <w:rPr/>
          <w:t>http://www.barryxball.com/works_cat.php?cat=1&amp;folder=6</w:t>
        </w:r>
      </w:hyperlink>
      <w:r>
        <w:rPr/>
        <w:t>html [Accesado el día 22 de noviembre de 2013].</w:t>
      </w:r>
    </w:p>
    <w:p>
      <w:pPr>
        <w:pStyle w:val="BodyText"/>
      </w:pPr>
    </w:p>
    <w:p>
      <w:pPr>
        <w:pStyle w:val="BodyText"/>
        <w:spacing w:line="357" w:lineRule="auto" w:before="142"/>
        <w:ind w:left="100" w:right="100"/>
        <w:jc w:val="both"/>
      </w:pPr>
      <w:r>
        <w:rPr/>
        <w:t>Bell, S. and S. Morse, (2003). Measuring sustainability learning by doing. London, Earthscan Publications Ltd.</w:t>
      </w:r>
    </w:p>
    <w:p>
      <w:pPr>
        <w:spacing w:after="0" w:line="357" w:lineRule="auto"/>
        <w:jc w:val="both"/>
        <w:sectPr>
          <w:pgSz w:w="12240" w:h="15840"/>
          <w:pgMar w:header="0" w:footer="1031" w:top="1360" w:bottom="1220" w:left="1600" w:right="1600"/>
        </w:sectPr>
      </w:pPr>
    </w:p>
    <w:p>
      <w:pPr>
        <w:pStyle w:val="BodyText"/>
        <w:spacing w:line="360" w:lineRule="auto" w:before="55"/>
        <w:ind w:left="100" w:right="101"/>
        <w:jc w:val="both"/>
      </w:pPr>
      <w:r>
        <w:rPr/>
        <w:t>Bhamra, T. A., V. A. Lofthouse and E. W. L. Norman (2002). Ecodesign education strategies: a recent initiative for Industrial Design and Technology undergraduates at Loughborough University. Journal of Design and Technology Education.</w:t>
      </w:r>
    </w:p>
    <w:p>
      <w:pPr>
        <w:pStyle w:val="BodyText"/>
      </w:pPr>
    </w:p>
    <w:p>
      <w:pPr>
        <w:pStyle w:val="BodyText"/>
        <w:spacing w:line="362" w:lineRule="auto" w:before="142"/>
        <w:ind w:left="100" w:right="109"/>
        <w:jc w:val="both"/>
      </w:pPr>
      <w:r>
        <w:rPr/>
        <w:t>Bhamra, T. and V. A. Lofthouse (2007). Design For Sustainability. A practical Approach, Gower Publishing Limited.</w:t>
      </w:r>
    </w:p>
    <w:p>
      <w:pPr>
        <w:pStyle w:val="BodyText"/>
      </w:pPr>
    </w:p>
    <w:p>
      <w:pPr>
        <w:pStyle w:val="BodyText"/>
        <w:spacing w:line="360" w:lineRule="auto" w:before="139"/>
        <w:ind w:left="100" w:right="102"/>
        <w:jc w:val="both"/>
      </w:pPr>
      <w:r>
        <w:rPr/>
        <w:t>Brezet, J. and C. Hemel, (1997). Ecodesign: A Promising Approach to Sustainable Production and Consumption, United Nations Environment Program (UNEP),  Paris.</w:t>
      </w:r>
    </w:p>
    <w:p>
      <w:pPr>
        <w:pStyle w:val="BodyText"/>
      </w:pPr>
    </w:p>
    <w:p>
      <w:pPr>
        <w:pStyle w:val="BodyText"/>
        <w:spacing w:line="357" w:lineRule="auto" w:before="142"/>
        <w:ind w:left="100" w:right="105"/>
        <w:jc w:val="both"/>
      </w:pPr>
      <w:r>
        <w:rPr/>
        <w:t>Bryden, D., (2014). Cad y prototipado rápido en el diseño de producto. Promopress. Barcelona.</w:t>
      </w:r>
    </w:p>
    <w:p>
      <w:pPr>
        <w:pStyle w:val="BodyText"/>
      </w:pPr>
    </w:p>
    <w:p>
      <w:pPr>
        <w:pStyle w:val="BodyText"/>
        <w:spacing w:line="360" w:lineRule="auto" w:before="145"/>
        <w:ind w:left="100" w:right="99"/>
        <w:jc w:val="both"/>
      </w:pPr>
      <w:r>
        <w:rPr/>
        <w:t>Brundtland, G.H. (1987). Our Common Future: From One Earth to One World. Oxford University Press, Nueva York, disponible en: </w:t>
      </w:r>
      <w:hyperlink r:id="rId220">
        <w:r>
          <w:rPr/>
          <w:t>http://www.mdaperu.com/XMLData/Publicaciones/Desarrollo%20Sostenible%201/I</w:t>
        </w:r>
      </w:hyperlink>
      <w:r>
        <w:rPr/>
        <w:t> nforme_Brundtland_Desarrollo_Sostenible.pdf [Consultado el 11 de mayo de 2016].</w:t>
      </w:r>
    </w:p>
    <w:p>
      <w:pPr>
        <w:pStyle w:val="BodyText"/>
      </w:pPr>
    </w:p>
    <w:p>
      <w:pPr>
        <w:pStyle w:val="BodyText"/>
        <w:spacing w:before="141"/>
        <w:ind w:left="100"/>
        <w:jc w:val="both"/>
      </w:pPr>
      <w:r>
        <w:rPr/>
        <w:t>Calvo, A., (1997). Conservación y restauración A-Z. España.  Ediciones del Serbal.</w:t>
      </w:r>
    </w:p>
    <w:p>
      <w:pPr>
        <w:pStyle w:val="BodyText"/>
      </w:pPr>
    </w:p>
    <w:p>
      <w:pPr>
        <w:pStyle w:val="BodyText"/>
      </w:pPr>
    </w:p>
    <w:p>
      <w:pPr>
        <w:pStyle w:val="BodyText"/>
        <w:spacing w:line="278" w:lineRule="auto"/>
        <w:ind w:left="100" w:right="107"/>
        <w:jc w:val="both"/>
      </w:pPr>
      <w:r>
        <w:rPr>
          <w:color w:val="212121"/>
        </w:rPr>
        <w:t>Chakrabarti, A. (2013) CIRP Design 2012 Sustainable Product Development. London, Springer.</w:t>
      </w:r>
    </w:p>
    <w:p>
      <w:pPr>
        <w:pStyle w:val="BodyText"/>
      </w:pPr>
    </w:p>
    <w:p>
      <w:pPr>
        <w:pStyle w:val="BodyText"/>
        <w:spacing w:before="11"/>
        <w:rPr>
          <w:sz w:val="28"/>
        </w:rPr>
      </w:pPr>
    </w:p>
    <w:p>
      <w:pPr>
        <w:pStyle w:val="BodyText"/>
        <w:spacing w:line="360" w:lineRule="auto"/>
        <w:ind w:left="100" w:right="102"/>
        <w:jc w:val="both"/>
      </w:pPr>
      <w:r>
        <w:rPr/>
        <w:t>Collins, D. (2003). Twister. Digital Eyes 2008-2009, disponible en: </w:t>
      </w:r>
      <w:hyperlink r:id="rId95">
        <w:r>
          <w:rPr/>
          <w:t>http://digitaleyes2008.org/?q=gallery-twister</w:t>
        </w:r>
      </w:hyperlink>
      <w:r>
        <w:rPr/>
        <w:t> (Consultada el 8 de noviembre de 2013).</w:t>
      </w:r>
    </w:p>
    <w:p>
      <w:pPr>
        <w:pStyle w:val="BodyText"/>
      </w:pPr>
    </w:p>
    <w:p>
      <w:pPr>
        <w:pStyle w:val="BodyText"/>
        <w:spacing w:line="362" w:lineRule="auto" w:before="142"/>
        <w:ind w:left="100" w:right="105"/>
        <w:jc w:val="both"/>
      </w:pPr>
      <w:r>
        <w:rPr/>
        <w:t>De la Flor, M., (2010) Digital Sculpting with Mudbox, Essential Tools and Techniques for Art.USA, Focal Press.</w:t>
      </w:r>
    </w:p>
    <w:p>
      <w:pPr>
        <w:spacing w:after="0" w:line="362" w:lineRule="auto"/>
        <w:jc w:val="both"/>
        <w:sectPr>
          <w:pgSz w:w="12240" w:h="15840"/>
          <w:pgMar w:header="0" w:footer="1031" w:top="1360" w:bottom="1220" w:left="1600" w:right="1600"/>
        </w:sectPr>
      </w:pPr>
    </w:p>
    <w:p>
      <w:pPr>
        <w:pStyle w:val="BodyText"/>
        <w:spacing w:line="360" w:lineRule="auto" w:before="55"/>
        <w:ind w:left="100" w:right="123"/>
        <w:jc w:val="both"/>
      </w:pPr>
      <w:r>
        <w:rPr/>
        <w:t>De la Peña, S. (2014). Diseño del prototipo de un kit de impresora 3D. Tesis de Grado en Ingeniería en Tecnologías Industriales. Barcelona, Departamento de Resistencia de Materiales y Estructuras de la Ingeniería, Escuela Técnica Superior de Ingeniería, Universidad Politécnica de Catalunya.</w:t>
      </w:r>
    </w:p>
    <w:p>
      <w:pPr>
        <w:pStyle w:val="BodyText"/>
      </w:pPr>
    </w:p>
    <w:p>
      <w:pPr>
        <w:pStyle w:val="BodyText"/>
        <w:spacing w:line="357" w:lineRule="auto" w:before="142"/>
        <w:ind w:left="100" w:right="123"/>
        <w:jc w:val="both"/>
      </w:pPr>
      <w:r>
        <w:rPr/>
        <w:t>Drizo, A., Pegna, J., (2006)."Environmental impacts of rapid prototyping: an overview of research to date", Rapid Prototyping Journal, Vol. 12 Iss 2 pp. 64 – 71.</w:t>
      </w:r>
    </w:p>
    <w:p>
      <w:pPr>
        <w:pStyle w:val="BodyText"/>
      </w:pPr>
    </w:p>
    <w:p>
      <w:pPr>
        <w:pStyle w:val="BodyText"/>
        <w:spacing w:line="360" w:lineRule="auto" w:before="144"/>
        <w:ind w:left="100" w:right="125"/>
        <w:jc w:val="both"/>
      </w:pPr>
      <w:r>
        <w:rPr/>
        <w:t>Durham, D.R. (2002), “Environmentally Benign manufacturing: current practice and future trends”, Journal of the Minerals Metals &amp; Materials Society, Vol. 54 No. 5, pp.</w:t>
      </w:r>
      <w:r>
        <w:rPr>
          <w:spacing w:val="-9"/>
        </w:rPr>
        <w:t> </w:t>
      </w:r>
      <w:r>
        <w:rPr/>
        <w:t>34-8.</w:t>
      </w:r>
    </w:p>
    <w:p>
      <w:pPr>
        <w:pStyle w:val="BodyText"/>
      </w:pPr>
    </w:p>
    <w:p>
      <w:pPr>
        <w:pStyle w:val="BodyText"/>
        <w:spacing w:line="362" w:lineRule="auto" w:before="142"/>
        <w:ind w:left="100" w:right="122"/>
        <w:jc w:val="both"/>
      </w:pPr>
      <w:r>
        <w:rPr/>
        <w:t>Elkington, J., (2002). Cannivals with forks: the triple bottom line of 21st century business. Oxford, Capstone Publishing Ltd.</w:t>
      </w:r>
    </w:p>
    <w:p>
      <w:pPr>
        <w:pStyle w:val="BodyText"/>
      </w:pPr>
    </w:p>
    <w:p>
      <w:pPr>
        <w:pStyle w:val="BodyText"/>
        <w:spacing w:line="360" w:lineRule="auto" w:before="139"/>
        <w:ind w:left="100" w:right="121"/>
        <w:jc w:val="both"/>
      </w:pPr>
      <w:r>
        <w:rPr/>
        <w:t>Erlhoff, M., et al., (2008). Design Dictionary. Perspectives on Design Terminology. Translation from German into English: Laura Bruce, Steve Lindbes. Germany. BirkhäuserVerlag A. C.</w:t>
      </w:r>
    </w:p>
    <w:p>
      <w:pPr>
        <w:pStyle w:val="BodyText"/>
      </w:pPr>
    </w:p>
    <w:p>
      <w:pPr>
        <w:pStyle w:val="BodyText"/>
        <w:tabs>
          <w:tab w:pos="3902" w:val="left" w:leader="none"/>
          <w:tab w:pos="4886" w:val="left" w:leader="none"/>
          <w:tab w:pos="6742" w:val="left" w:leader="none"/>
          <w:tab w:pos="8605" w:val="left" w:leader="none"/>
        </w:tabs>
        <w:spacing w:line="360" w:lineRule="auto" w:before="142"/>
        <w:ind w:left="100" w:right="117"/>
        <w:jc w:val="both"/>
      </w:pPr>
      <w:r>
        <w:rPr/>
        <w:t>Faludi, J., Bayley C., Bhogal S., Iribarne M., (2014a) .“Comparing Environmental Impacts of Additive Manufacturing, vs. Traditional Machining via Life-Cycle Assessment” en Laboratory for Manufacturing and Sustainability UC Berkeley. [En Línea]eScholashipUniversity</w:t>
        <w:tab/>
        <w:t>of</w:t>
        <w:tab/>
        <w:t>California,</w:t>
        <w:tab/>
        <w:t>disponible</w:t>
        <w:tab/>
        <w:t>en: https://escholarship.org/uc/item/0gv882qk [Accesado el 28 de mayo de</w:t>
      </w:r>
      <w:r>
        <w:rPr>
          <w:spacing w:val="-37"/>
        </w:rPr>
        <w:t> </w:t>
      </w:r>
      <w:r>
        <w:rPr/>
        <w:t>2015].</w:t>
      </w:r>
    </w:p>
    <w:p>
      <w:pPr>
        <w:pStyle w:val="BodyText"/>
      </w:pPr>
    </w:p>
    <w:p>
      <w:pPr>
        <w:pStyle w:val="BodyText"/>
        <w:spacing w:line="360" w:lineRule="auto" w:before="142"/>
        <w:ind w:left="100" w:right="121"/>
        <w:jc w:val="both"/>
      </w:pPr>
      <w:r>
        <w:rPr/>
        <w:t>Faludi, J., Ganeriwala, R., Kelly, B., Rygg, T., Yang, T. (2014b). “Sustainability of 3D Printing vs. Machining: Do Machine Type &amp; Size Matter?” Accepted for publication in Proceedings of EcoBalance Conference, Japan 2014.</w:t>
      </w:r>
    </w:p>
    <w:p>
      <w:pPr>
        <w:pStyle w:val="BodyText"/>
      </w:pPr>
    </w:p>
    <w:p>
      <w:pPr>
        <w:pStyle w:val="BodyText"/>
        <w:spacing w:line="357" w:lineRule="auto" w:before="142"/>
        <w:ind w:left="100" w:right="124"/>
        <w:jc w:val="both"/>
      </w:pPr>
      <w:r>
        <w:rPr/>
        <w:t>Faludi, J., Hu, Z., Alrashed, S., Braunholz, C., Kaul, S., Kassaye, L., (2015). Does Material Choice Drive Sustainability of 3D Printing? World Academy of Science,</w:t>
      </w:r>
    </w:p>
    <w:p>
      <w:pPr>
        <w:spacing w:after="0" w:line="357" w:lineRule="auto"/>
        <w:jc w:val="both"/>
        <w:sectPr>
          <w:pgSz w:w="12240" w:h="15840"/>
          <w:pgMar w:header="0" w:footer="1031" w:top="1360" w:bottom="1220" w:left="1600" w:right="1580"/>
        </w:sectPr>
      </w:pPr>
    </w:p>
    <w:p>
      <w:pPr>
        <w:pStyle w:val="BodyText"/>
        <w:spacing w:line="362" w:lineRule="auto" w:before="55"/>
        <w:ind w:left="100" w:right="105"/>
        <w:jc w:val="both"/>
      </w:pPr>
      <w:r>
        <w:rPr/>
        <w:t>Engineering and Technology International Journal of Mechanical, Aerospace, Industrial and Mechatronics Engineering Vol:9, No:2, 2015.</w:t>
      </w:r>
    </w:p>
    <w:p>
      <w:pPr>
        <w:pStyle w:val="BodyText"/>
      </w:pPr>
    </w:p>
    <w:p>
      <w:pPr>
        <w:pStyle w:val="BodyText"/>
        <w:spacing w:line="360" w:lineRule="auto" w:before="139"/>
        <w:ind w:left="100" w:right="108"/>
        <w:jc w:val="both"/>
      </w:pPr>
      <w:r>
        <w:rPr/>
        <w:t>Fernández, J., (1996) Introducción a la conservación del patrimonio y técnicas artísticas. Barcelona, Ariel Historia del Arte.</w:t>
      </w:r>
    </w:p>
    <w:p>
      <w:pPr>
        <w:pStyle w:val="BodyText"/>
      </w:pPr>
    </w:p>
    <w:p>
      <w:pPr>
        <w:pStyle w:val="BodyText"/>
        <w:tabs>
          <w:tab w:pos="2036" w:val="left" w:leader="none"/>
          <w:tab w:pos="3308" w:val="left" w:leader="none"/>
          <w:tab w:pos="4875" w:val="left" w:leader="none"/>
          <w:tab w:pos="6611" w:val="left" w:leader="none"/>
          <w:tab w:pos="8603" w:val="left" w:leader="none"/>
        </w:tabs>
        <w:spacing w:line="360" w:lineRule="auto" w:before="142"/>
        <w:ind w:left="100" w:right="101"/>
      </w:pPr>
      <w:r>
        <w:rPr/>
        <w:t>Fisher, R., (2013)”Escultura asistida por ordenador, consideraciones visuales y técnicas”.</w:t>
        <w:tab/>
        <w:t>[En</w:t>
        <w:tab/>
        <w:t>línea].</w:t>
        <w:tab/>
        <w:t>México,</w:t>
        <w:tab/>
        <w:t>disponible</w:t>
        <w:tab/>
        <w:t>en: ttp://</w:t>
      </w:r>
      <w:hyperlink r:id="rId221">
        <w:r>
          <w:rPr/>
          <w:t>www.quadernsdigitals.net/datos_web/articles/telos/telos7/t7escultura.htm</w:t>
        </w:r>
      </w:hyperlink>
      <w:r>
        <w:rPr/>
        <w:t> [Accesado el día 16 de abril de</w:t>
      </w:r>
      <w:r>
        <w:rPr>
          <w:spacing w:val="-17"/>
        </w:rPr>
        <w:t> </w:t>
      </w:r>
      <w:r>
        <w:rPr/>
        <w:t>2013].</w:t>
      </w:r>
    </w:p>
    <w:p>
      <w:pPr>
        <w:pStyle w:val="BodyText"/>
      </w:pPr>
    </w:p>
    <w:p>
      <w:pPr>
        <w:pStyle w:val="BodyText"/>
        <w:spacing w:line="357" w:lineRule="auto" w:before="142"/>
        <w:ind w:left="100" w:right="101"/>
        <w:jc w:val="both"/>
      </w:pPr>
      <w:r>
        <w:rPr/>
        <w:t>Fundación Sebastián (2012) “de la cinta sebastina al calabi-yau” [En Línea]1 de junio de 2012, disponible en: </w:t>
      </w:r>
      <w:hyperlink r:id="rId78">
        <w:r>
          <w:rPr/>
          <w:t>http://www.youtube.com/watch?v=aFq15otTjjs</w:t>
        </w:r>
      </w:hyperlink>
    </w:p>
    <w:p>
      <w:pPr>
        <w:pStyle w:val="BodyText"/>
      </w:pPr>
    </w:p>
    <w:p>
      <w:pPr>
        <w:pStyle w:val="BodyText"/>
        <w:spacing w:line="362" w:lineRule="auto" w:before="145"/>
        <w:ind w:left="100" w:right="109"/>
        <w:jc w:val="both"/>
      </w:pPr>
      <w:r>
        <w:rPr/>
        <w:t>García, B., (2008) Ecodiseño. Nueva herramienta para la sustentabilidad. México, Editorial Designio.</w:t>
      </w:r>
    </w:p>
    <w:p>
      <w:pPr>
        <w:pStyle w:val="BodyText"/>
      </w:pPr>
    </w:p>
    <w:p>
      <w:pPr>
        <w:pStyle w:val="BodyText"/>
        <w:spacing w:line="360" w:lineRule="auto" w:before="139"/>
        <w:ind w:left="100" w:right="109"/>
        <w:jc w:val="both"/>
      </w:pPr>
      <w:r>
        <w:rPr/>
        <w:t>García, G., (2004) Propuesta de manual de sistema de copiado de escultura.</w:t>
      </w:r>
      <w:r>
        <w:rPr>
          <w:spacing w:val="-34"/>
        </w:rPr>
        <w:t> </w:t>
      </w:r>
      <w:r>
        <w:rPr/>
        <w:t>Tesis de licenciatura. México, Escuela de Artes, Universidad Autónoma del Estado de México.</w:t>
      </w:r>
    </w:p>
    <w:p>
      <w:pPr>
        <w:pStyle w:val="BodyText"/>
      </w:pPr>
    </w:p>
    <w:p>
      <w:pPr>
        <w:pStyle w:val="BodyText"/>
        <w:spacing w:line="360" w:lineRule="auto" w:before="142"/>
        <w:ind w:left="100" w:right="98"/>
        <w:jc w:val="both"/>
      </w:pPr>
      <w:r>
        <w:rPr/>
        <w:t>Giménez, J., (2011-2012) “Procesos Industriales y Medio Ambiente” del Máster en Ingeniería Ambiental de la UB en el curso 2011-12. Universidad Politécnica de Catalunya.</w:t>
      </w:r>
    </w:p>
    <w:p>
      <w:pPr>
        <w:pStyle w:val="BodyText"/>
      </w:pPr>
    </w:p>
    <w:p>
      <w:pPr>
        <w:pStyle w:val="BodyText"/>
        <w:spacing w:line="360" w:lineRule="auto" w:before="142"/>
        <w:ind w:left="100" w:right="102"/>
        <w:jc w:val="both"/>
      </w:pPr>
      <w:r>
        <w:rPr/>
        <w:t>Goedkoop, M.; Effiting, </w:t>
      </w:r>
      <w:r>
        <w:rPr>
          <w:spacing w:val="-3"/>
        </w:rPr>
        <w:t>S. </w:t>
      </w:r>
      <w:r>
        <w:rPr/>
        <w:t>y Colignon, Marcel, (1999) Eco-indicador 99. Método para evaluar el impacto ambiental a lo largo del Ciclo de Vida. Sociedad Pública  de Gestión Ambiental IHOBE.</w:t>
      </w:r>
      <w:r>
        <w:rPr>
          <w:spacing w:val="-23"/>
        </w:rPr>
        <w:t> </w:t>
      </w:r>
      <w:r>
        <w:rPr/>
        <w:t>Amersfoort.</w:t>
      </w:r>
    </w:p>
    <w:p>
      <w:pPr>
        <w:pStyle w:val="BodyText"/>
      </w:pPr>
    </w:p>
    <w:p>
      <w:pPr>
        <w:pStyle w:val="BodyText"/>
        <w:spacing w:line="357" w:lineRule="auto" w:before="142"/>
        <w:ind w:left="100" w:right="112"/>
        <w:jc w:val="both"/>
      </w:pPr>
      <w:r>
        <w:rPr/>
        <w:t>Howarth, G. and Hadfield M. (2006). A sustainable product design model,</w:t>
      </w:r>
      <w:r>
        <w:rPr>
          <w:spacing w:val="-39"/>
        </w:rPr>
        <w:t> </w:t>
      </w:r>
      <w:r>
        <w:rPr/>
        <w:t>Materials and Design.</w:t>
      </w:r>
      <w:r>
        <w:rPr>
          <w:spacing w:val="57"/>
        </w:rPr>
        <w:t> </w:t>
      </w:r>
      <w:r>
        <w:rPr/>
        <w:t>Elsevier.</w:t>
      </w:r>
    </w:p>
    <w:p>
      <w:pPr>
        <w:spacing w:after="0" w:line="357" w:lineRule="auto"/>
        <w:jc w:val="both"/>
        <w:sectPr>
          <w:pgSz w:w="12240" w:h="15840"/>
          <w:pgMar w:header="0" w:footer="1031" w:top="1360" w:bottom="1220" w:left="1600" w:right="1600"/>
        </w:sectPr>
      </w:pPr>
    </w:p>
    <w:p>
      <w:pPr>
        <w:pStyle w:val="BodyText"/>
        <w:spacing w:line="362" w:lineRule="auto" w:before="51"/>
        <w:ind w:left="100" w:right="122"/>
        <w:jc w:val="both"/>
      </w:pPr>
      <w:r>
        <w:rPr/>
        <w:t>Henton, D., Gruber, P., Lunt, J., Randall, J., (2005). </w:t>
      </w:r>
      <w:r>
        <w:rPr>
          <w:i/>
        </w:rPr>
        <w:t>Polylactic Acid Technology. </w:t>
      </w:r>
      <w:r>
        <w:rPr/>
        <w:t>Disponible en: </w:t>
      </w:r>
      <w:hyperlink r:id="rId222">
        <w:r>
          <w:rPr/>
          <w:t>http://www.jimluntllc.com/publications/index.html</w:t>
        </w:r>
      </w:hyperlink>
      <w:r>
        <w:rPr/>
        <w:t> Taylor and Francis Group. Page 527.</w:t>
      </w:r>
    </w:p>
    <w:p>
      <w:pPr>
        <w:pStyle w:val="BodyText"/>
      </w:pPr>
    </w:p>
    <w:p>
      <w:pPr>
        <w:pStyle w:val="BodyText"/>
        <w:spacing w:line="360" w:lineRule="auto" w:before="140"/>
        <w:ind w:left="100" w:right="127"/>
      </w:pPr>
      <w:r>
        <w:rPr/>
        <w:t>Impresiontresde.com (2014). “Una revisión al impacto ambiental en la impresión 3D” en Impresiontresde.com del 3 de enero, [En línea]. México, disponible en: </w:t>
      </w:r>
      <w:hyperlink r:id="rId223">
        <w:r>
          <w:rPr/>
          <w:t>http://impresiontresde.com/blog/una-nueva-revision-al-impacto-ambiental-de-la-</w:t>
        </w:r>
      </w:hyperlink>
      <w:r>
        <w:rPr/>
        <w:t> </w:t>
      </w:r>
      <w:hyperlink r:id="rId223">
        <w:r>
          <w:rPr/>
          <w:t>impresion-3d/</w:t>
        </w:r>
      </w:hyperlink>
      <w:r>
        <w:rPr/>
        <w:t> [Accesado el día 17 de octubre de 2014].</w:t>
      </w:r>
    </w:p>
    <w:p>
      <w:pPr>
        <w:pStyle w:val="BodyText"/>
      </w:pPr>
    </w:p>
    <w:p>
      <w:pPr>
        <w:pStyle w:val="BodyText"/>
        <w:spacing w:line="357" w:lineRule="auto" w:before="142"/>
        <w:ind w:left="100" w:right="121"/>
        <w:jc w:val="both"/>
      </w:pPr>
      <w:r>
        <w:rPr/>
        <w:t>ISO (International Standard Organization). (2006). Enviromental Management-Life Cycle Assessment; Principles and Framework, ISO 14040, ISO, Switzerland.</w:t>
      </w:r>
    </w:p>
    <w:p>
      <w:pPr>
        <w:pStyle w:val="BodyText"/>
      </w:pPr>
    </w:p>
    <w:p>
      <w:pPr>
        <w:pStyle w:val="BodyText"/>
        <w:spacing w:line="357" w:lineRule="auto" w:before="144"/>
        <w:ind w:left="100" w:right="114"/>
        <w:jc w:val="both"/>
      </w:pPr>
      <w:r>
        <w:rPr/>
        <w:t>Kreiger, M., and Pearce, J. Environmental Life Cycle Analysis of Distributed Three- Dimensional Printing and Conventional Manufacturing of Polymer Products. </w:t>
      </w:r>
      <w:r>
        <w:rPr>
          <w:i/>
        </w:rPr>
        <w:t>ACS </w:t>
      </w:r>
      <w:r>
        <w:rPr>
          <w:i/>
        </w:rPr>
        <w:t>Sustainable Chemistry &amp; Engineering </w:t>
      </w:r>
      <w:r>
        <w:rPr/>
        <w:t>1.12: 1511-1519, 2013.</w:t>
      </w:r>
    </w:p>
    <w:p>
      <w:pPr>
        <w:pStyle w:val="BodyText"/>
      </w:pPr>
    </w:p>
    <w:p>
      <w:pPr>
        <w:pStyle w:val="BodyText"/>
        <w:spacing w:before="148"/>
        <w:ind w:left="100"/>
        <w:jc w:val="both"/>
      </w:pPr>
      <w:r>
        <w:rPr/>
        <w:t>Langland, T., (1999). From clay to bronze. A Studio Guide to Figurative Sculpture.</w:t>
      </w:r>
    </w:p>
    <w:p>
      <w:pPr>
        <w:pStyle w:val="BodyText"/>
      </w:pPr>
    </w:p>
    <w:p>
      <w:pPr>
        <w:pStyle w:val="BodyText"/>
      </w:pPr>
    </w:p>
    <w:p>
      <w:pPr>
        <w:pStyle w:val="BodyText"/>
        <w:spacing w:line="360" w:lineRule="auto"/>
        <w:ind w:left="100" w:right="117"/>
        <w:jc w:val="both"/>
      </w:pPr>
      <w:r>
        <w:rPr/>
        <w:t>Laran Bronze Inc., (2007). 3D Scanning and Enlarging. High Resolution 3D Scanner en Laran Bronce Inc</w:t>
      </w:r>
      <w:r>
        <w:rPr>
          <w:color w:val="FF0000"/>
        </w:rPr>
        <w:t>. </w:t>
      </w:r>
      <w:r>
        <w:rPr/>
        <w:t>[En línea].</w:t>
      </w:r>
      <w:hyperlink r:id="rId224">
        <w:r>
          <w:rPr/>
          <w:t>http://www.laranbronze.com/3d-scanning-</w:t>
        </w:r>
      </w:hyperlink>
      <w:r>
        <w:rPr/>
        <w:t> </w:t>
      </w:r>
      <w:hyperlink r:id="rId224">
        <w:r>
          <w:rPr/>
          <w:t>for-bronze.html</w:t>
        </w:r>
      </w:hyperlink>
      <w:r>
        <w:rPr/>
        <w:t> [Accesado el día 22 de noviembre  de 2013].</w:t>
      </w:r>
    </w:p>
    <w:p>
      <w:pPr>
        <w:pStyle w:val="BodyText"/>
      </w:pPr>
    </w:p>
    <w:p>
      <w:pPr>
        <w:pStyle w:val="BodyText"/>
        <w:spacing w:line="360" w:lineRule="auto" w:before="142"/>
        <w:ind w:left="100" w:right="117"/>
        <w:jc w:val="both"/>
      </w:pPr>
      <w:r>
        <w:rPr/>
        <w:t>Laser Design©. (2015). “3D Scanning Glossary” All Rights Reserved. [En línea]. USA, disponible en: </w:t>
      </w:r>
      <w:hyperlink r:id="rId225">
        <w:r>
          <w:rPr/>
          <w:t>http://www.laserdesign.com/3d-technology-glossary</w:t>
        </w:r>
      </w:hyperlink>
      <w:r>
        <w:rPr/>
        <w:t>  [Accesado el día 12 de mayo de</w:t>
      </w:r>
      <w:r>
        <w:rPr>
          <w:spacing w:val="-16"/>
        </w:rPr>
        <w:t> </w:t>
      </w:r>
      <w:r>
        <w:rPr/>
        <w:t>2015].</w:t>
      </w:r>
    </w:p>
    <w:p>
      <w:pPr>
        <w:pStyle w:val="BodyText"/>
      </w:pPr>
    </w:p>
    <w:p>
      <w:pPr>
        <w:pStyle w:val="BodyText"/>
        <w:spacing w:line="360" w:lineRule="auto" w:before="142"/>
        <w:ind w:left="100" w:right="112"/>
        <w:jc w:val="both"/>
      </w:pPr>
      <w:r>
        <w:rPr/>
        <w:t>Liggett, B. (2010).” Artist Uses 3D Printer to Turn Human Ashes into Objects”. </w:t>
      </w:r>
      <w:r>
        <w:rPr>
          <w:spacing w:val="-3"/>
        </w:rPr>
        <w:t>En </w:t>
      </w:r>
      <w:r>
        <w:rPr/>
        <w:t>revista Inhabitat [En Línea] sección Arte, 23 de Junio de 2010, California, disponible en: </w:t>
      </w:r>
      <w:hyperlink r:id="rId82">
        <w:r>
          <w:rPr/>
          <w:t>http://inhabitat.com/artist-uses-3d-printer-to-turn-human-ashes-into-</w:t>
        </w:r>
      </w:hyperlink>
      <w:r>
        <w:rPr/>
        <w:t> </w:t>
      </w:r>
      <w:hyperlink r:id="rId82">
        <w:r>
          <w:rPr/>
          <w:t>objects/</w:t>
        </w:r>
      </w:hyperlink>
      <w:r>
        <w:rPr/>
        <w:t> [Accesado el 17 de marzo de</w:t>
      </w:r>
      <w:r>
        <w:rPr>
          <w:spacing w:val="-24"/>
        </w:rPr>
        <w:t> </w:t>
      </w:r>
      <w:r>
        <w:rPr/>
        <w:t>2014].</w:t>
      </w:r>
    </w:p>
    <w:p>
      <w:pPr>
        <w:spacing w:after="0" w:line="360" w:lineRule="auto"/>
        <w:jc w:val="both"/>
        <w:sectPr>
          <w:pgSz w:w="12240" w:h="15840"/>
          <w:pgMar w:header="0" w:footer="1031" w:top="1360" w:bottom="1220" w:left="1600" w:right="1580"/>
        </w:sectPr>
      </w:pPr>
    </w:p>
    <w:p>
      <w:pPr>
        <w:pStyle w:val="BodyText"/>
        <w:tabs>
          <w:tab w:pos="5197" w:val="left" w:leader="none"/>
          <w:tab w:pos="8610" w:val="left" w:leader="none"/>
        </w:tabs>
        <w:spacing w:line="360" w:lineRule="auto" w:before="55"/>
        <w:ind w:left="100" w:right="116"/>
        <w:jc w:val="both"/>
      </w:pPr>
      <w:r>
        <w:rPr/>
        <w:t>Lozano, F. (2012). “Réplica del Retablo de la pasión, muerte, resurrección y ascensión de Cristo, de Bernat Saulet (MEV 576). Escultura y nuevas tecnologías. Descripción del procedimiento técnico” en revista Dialnet Plus [En Línea], </w:t>
      </w:r>
      <w:hyperlink r:id="rId226">
        <w:r>
          <w:rPr/>
          <w:t>Nº. 5,</w:t>
        </w:r>
      </w:hyperlink>
      <w:r>
        <w:rPr/>
        <w:t> </w:t>
      </w:r>
      <w:hyperlink r:id="rId226">
        <w:r>
          <w:rPr/>
          <w:t>2011-2012</w:t>
        </w:r>
      </w:hyperlink>
      <w:r>
        <w:rPr/>
        <w:t>,</w:t>
      </w:r>
      <w:r>
        <w:rPr>
          <w:spacing w:val="-3"/>
        </w:rPr>
        <w:t> </w:t>
      </w:r>
      <w:r>
        <w:rPr/>
        <w:t>pág.</w:t>
      </w:r>
      <w:r>
        <w:rPr>
          <w:spacing w:val="-3"/>
        </w:rPr>
        <w:t> </w:t>
      </w:r>
      <w:r>
        <w:rPr/>
        <w:t>243-250,</w:t>
        <w:tab/>
        <w:t>disponible</w:t>
        <w:tab/>
      </w:r>
      <w:r>
        <w:rPr>
          <w:spacing w:val="-1"/>
        </w:rPr>
        <w:t>en: </w:t>
      </w:r>
      <w:hyperlink r:id="rId227">
        <w:r>
          <w:rPr/>
          <w:t>http://dialnet.unirioja.es/servlet/articulo?codigo=4773014</w:t>
        </w:r>
      </w:hyperlink>
      <w:r>
        <w:rPr/>
        <w:t> [Accesado el 15 de  marzo de</w:t>
      </w:r>
      <w:r>
        <w:rPr>
          <w:spacing w:val="-12"/>
        </w:rPr>
        <w:t> </w:t>
      </w:r>
      <w:r>
        <w:rPr/>
        <w:t>2015].</w:t>
      </w:r>
    </w:p>
    <w:p>
      <w:pPr>
        <w:pStyle w:val="BodyText"/>
      </w:pPr>
    </w:p>
    <w:p>
      <w:pPr>
        <w:pStyle w:val="BodyText"/>
        <w:spacing w:line="360" w:lineRule="auto" w:before="142"/>
        <w:ind w:left="100" w:right="119"/>
        <w:jc w:val="both"/>
      </w:pPr>
      <w:r>
        <w:rPr/>
        <w:t>Luo, Y., Leu, M.C. and Ji, Z. (1999), “Assessment of environmental performance of rapid prototyping and rapid tooling process”, in Bourell, D.L., Beaman, J. and Crawford, R.H. (Eds), Proceedings of the Solid Freeform Fabrication Symposium 1999, Austin, TX, pp. 783-91.</w:t>
      </w:r>
    </w:p>
    <w:p>
      <w:pPr>
        <w:pStyle w:val="BodyText"/>
      </w:pPr>
    </w:p>
    <w:p>
      <w:pPr>
        <w:pStyle w:val="BodyText"/>
        <w:spacing w:line="360" w:lineRule="auto" w:before="142"/>
        <w:ind w:left="100" w:right="119"/>
        <w:jc w:val="both"/>
      </w:pPr>
      <w:r>
        <w:rPr/>
        <w:t>Mack, Kevin. (2013). “Digital Sculpture-3D Prints”. [En línea]. Disponible en: </w:t>
      </w:r>
      <w:hyperlink r:id="rId93">
        <w:r>
          <w:rPr/>
          <w:t>http://www.kevinmackart.com/sculpture.html</w:t>
        </w:r>
      </w:hyperlink>
      <w:r>
        <w:rPr/>
        <w:t> [Accesado el día 25 de  junio  de 2013].</w:t>
      </w:r>
    </w:p>
    <w:p>
      <w:pPr>
        <w:pStyle w:val="BodyText"/>
      </w:pPr>
    </w:p>
    <w:p>
      <w:pPr>
        <w:pStyle w:val="BodyText"/>
        <w:spacing w:line="360" w:lineRule="auto" w:before="142"/>
        <w:ind w:left="100" w:right="133"/>
        <w:jc w:val="both"/>
      </w:pPr>
      <w:r>
        <w:rPr/>
        <w:t>Makharadza, Lasha. (2013). Escultura digital. [En línea]. Pueblo, disponible en: </w:t>
      </w:r>
      <w:hyperlink r:id="rId141">
        <w:r>
          <w:rPr/>
          <w:t>http://share.pdfonline.com/2dd940720a8a44098cd11ca4f82fc97a/Escultura%20dig</w:t>
        </w:r>
      </w:hyperlink>
      <w:r>
        <w:rPr/>
        <w:t> </w:t>
      </w:r>
      <w:hyperlink r:id="rId141">
        <w:r>
          <w:rPr/>
          <w:t>ital.%20Resumen.Lasha%20M..htm</w:t>
        </w:r>
      </w:hyperlink>
      <w:r>
        <w:rPr/>
        <w:t> [Accesado el día 25 de junio de 2013].</w:t>
      </w:r>
    </w:p>
    <w:p>
      <w:pPr>
        <w:pStyle w:val="BodyText"/>
      </w:pPr>
    </w:p>
    <w:p>
      <w:pPr>
        <w:pStyle w:val="BodyText"/>
        <w:spacing w:before="141"/>
        <w:ind w:left="100"/>
        <w:jc w:val="both"/>
      </w:pPr>
      <w:r>
        <w:rPr/>
        <w:t>Martín, J., (1995) Las claves de la escultura. México, Editorial Planeta.</w:t>
      </w:r>
    </w:p>
    <w:p>
      <w:pPr>
        <w:pStyle w:val="BodyText"/>
      </w:pPr>
    </w:p>
    <w:p>
      <w:pPr>
        <w:pStyle w:val="BodyText"/>
      </w:pPr>
    </w:p>
    <w:p>
      <w:pPr>
        <w:pStyle w:val="BodyText"/>
        <w:spacing w:line="360" w:lineRule="auto"/>
        <w:ind w:left="100" w:right="120"/>
        <w:jc w:val="both"/>
      </w:pPr>
      <w:r>
        <w:rPr/>
        <w:t>Martín, J. (2006) “Sistema combinado de corte y marcado mediante Láser”. Tesis de Maestría. Departamento de Ingeniería Mecánica, Escuela Técnica Superior de Ingeniería Industrial de Barcelona. Universidad Politécnica de Catalunya.</w:t>
      </w:r>
    </w:p>
    <w:p>
      <w:pPr>
        <w:pStyle w:val="BodyText"/>
      </w:pPr>
    </w:p>
    <w:p>
      <w:pPr>
        <w:pStyle w:val="BodyText"/>
        <w:spacing w:line="362" w:lineRule="auto" w:before="142"/>
        <w:ind w:left="100" w:right="120"/>
        <w:jc w:val="both"/>
      </w:pPr>
      <w:r>
        <w:rPr/>
        <w:t>Matía P., et al., (2006). Conceptos fundamentales del lenguaje escultórico. Madrid, Akal Bellas Artes.</w:t>
      </w:r>
    </w:p>
    <w:p>
      <w:pPr>
        <w:pStyle w:val="BodyText"/>
      </w:pPr>
    </w:p>
    <w:p>
      <w:pPr>
        <w:pStyle w:val="BodyText"/>
        <w:spacing w:line="357" w:lineRule="auto" w:before="140"/>
        <w:ind w:left="100" w:right="124"/>
        <w:jc w:val="both"/>
      </w:pPr>
      <w:r>
        <w:rPr/>
        <w:t>Matía, P. et al., (2009). Procedimientos y materiales en la obra escultórica. Madrid, Ediciones Akal Bellas Artes.</w:t>
      </w:r>
    </w:p>
    <w:p>
      <w:pPr>
        <w:spacing w:after="0" w:line="357" w:lineRule="auto"/>
        <w:jc w:val="both"/>
        <w:sectPr>
          <w:pgSz w:w="12240" w:h="15840"/>
          <w:pgMar w:header="0" w:footer="1031" w:top="1360" w:bottom="1220" w:left="1600" w:right="1580"/>
        </w:sectPr>
      </w:pPr>
    </w:p>
    <w:p>
      <w:pPr>
        <w:pStyle w:val="BodyText"/>
        <w:spacing w:before="9"/>
        <w:rPr>
          <w:sz w:val="22"/>
        </w:rPr>
      </w:pPr>
    </w:p>
    <w:p>
      <w:pPr>
        <w:pStyle w:val="BodyText"/>
        <w:spacing w:line="360" w:lineRule="auto" w:before="69"/>
        <w:ind w:left="100" w:right="98"/>
        <w:jc w:val="both"/>
      </w:pPr>
      <w:hyperlink r:id="rId228">
        <w:r>
          <w:rPr/>
          <w:t>Matus,</w:t>
        </w:r>
      </w:hyperlink>
      <w:r>
        <w:rPr/>
        <w:t> M. (2013). “The Sugar Lab 3D Prints Sweet Geometric Sculptures From Sugar”. En revista Inhabitat [En Línea] sección Arte, 17 de Mayo de 2013, California, disponible en: </w:t>
      </w:r>
      <w:hyperlink r:id="rId80">
        <w:r>
          <w:rPr/>
          <w:t>http://inhabitat.com/the-sugar-lab-uses-a-3d-printer-to-</w:t>
        </w:r>
      </w:hyperlink>
      <w:r>
        <w:rPr/>
        <w:t> </w:t>
      </w:r>
      <w:hyperlink r:id="rId80">
        <w:r>
          <w:rPr/>
          <w:t>create-sweet-edible-geometric-sculptures/</w:t>
        </w:r>
      </w:hyperlink>
      <w:r>
        <w:rPr/>
        <w:t>[Accesado el 16 de marzo de 2013].</w:t>
      </w:r>
    </w:p>
    <w:p>
      <w:pPr>
        <w:pStyle w:val="BodyText"/>
      </w:pPr>
    </w:p>
    <w:p>
      <w:pPr>
        <w:pStyle w:val="BodyText"/>
        <w:spacing w:line="360" w:lineRule="auto" w:before="142"/>
        <w:ind w:left="100" w:right="98"/>
        <w:jc w:val="both"/>
      </w:pPr>
      <w:hyperlink r:id="rId229">
        <w:r>
          <w:rPr/>
          <w:t>Matus,</w:t>
        </w:r>
      </w:hyperlink>
      <w:r>
        <w:rPr/>
        <w:t> Morgana. (2012). 3D-Printed 'Vegan' Bacon Mobius Strip Takes Fake Meat to Infinity and Beyond. [En línea]. 11 de mayo de 2012, In hábitat.com, Disponible en: </w:t>
      </w:r>
      <w:hyperlink r:id="rId230">
        <w:r>
          <w:rPr/>
          <w:t>http://inhabitat.com/3d-printed-vegan-bacon-mobius-strip-takes-fake-meat-to-</w:t>
        </w:r>
      </w:hyperlink>
      <w:r>
        <w:rPr/>
        <w:t> </w:t>
      </w:r>
      <w:hyperlink r:id="rId230">
        <w:r>
          <w:rPr/>
          <w:t>infinity-and-beyond/</w:t>
        </w:r>
      </w:hyperlink>
      <w:r>
        <w:rPr/>
        <w:t>html [Accesado el día 16 de marzo de 2004].</w:t>
      </w:r>
    </w:p>
    <w:p>
      <w:pPr>
        <w:pStyle w:val="BodyText"/>
      </w:pPr>
    </w:p>
    <w:p>
      <w:pPr>
        <w:pStyle w:val="BodyText"/>
        <w:spacing w:line="360" w:lineRule="auto" w:before="142"/>
        <w:ind w:left="100" w:right="102"/>
        <w:jc w:val="both"/>
      </w:pPr>
      <w:hyperlink r:id="rId228">
        <w:r>
          <w:rPr/>
          <w:t>Matus,</w:t>
        </w:r>
      </w:hyperlink>
      <w:r>
        <w:rPr/>
        <w:t> M. (2013). “D-torso Unveils Giant 3D Dinosaur Made from Laser-Cut Cardboard”. En revista Inhabitat [En Línea] sección Arte, 22 de Mayo de 2013, California, disponible en: </w:t>
      </w:r>
      <w:hyperlink r:id="rId231">
        <w:r>
          <w:rPr/>
          <w:t>http://inhabitat.com/d-torso-creates-a-giant-3d-t-rex-from-</w:t>
        </w:r>
      </w:hyperlink>
      <w:r>
        <w:rPr/>
        <w:t> laser-cut-cardboard/ [Accesado el 16 de marzo de 2014].</w:t>
      </w:r>
    </w:p>
    <w:p>
      <w:pPr>
        <w:pStyle w:val="BodyText"/>
      </w:pPr>
    </w:p>
    <w:p>
      <w:pPr>
        <w:pStyle w:val="BodyText"/>
        <w:spacing w:line="360" w:lineRule="auto" w:before="142"/>
        <w:ind w:left="100" w:right="105"/>
        <w:jc w:val="both"/>
      </w:pPr>
      <w:r>
        <w:rPr/>
        <w:t>Manzini, E. (1999). Sustainable Solutions from Products to Interactions. Paper presented at First International Symposium on Environmentally Conscious Design and Inverse Manufacturing. Tokyo.</w:t>
      </w:r>
    </w:p>
    <w:p>
      <w:pPr>
        <w:pStyle w:val="BodyText"/>
        <w:spacing w:line="360" w:lineRule="auto" w:before="205"/>
        <w:ind w:left="100" w:right="99"/>
        <w:jc w:val="both"/>
      </w:pPr>
      <w:r>
        <w:rPr/>
        <w:t>Moilanen, J., y Vadén , T., (2013). “3D printing community and emerging practices of peer production” en revista First Monday: Peer-reviewed Journal on the Internet. [En línea]. 5 de Agosto de 2013, Disponible en: </w:t>
      </w:r>
      <w:hyperlink r:id="rId232">
        <w:r>
          <w:rPr/>
          <w:t>http://firstmonday.org/ojs/index.php/fm/article/view/4271/3738</w:t>
        </w:r>
      </w:hyperlink>
      <w:r>
        <w:rPr/>
        <w:t> [Accesado el día 13 de mayo de 2015].</w:t>
      </w:r>
    </w:p>
    <w:p>
      <w:pPr>
        <w:pStyle w:val="BodyText"/>
        <w:spacing w:before="11"/>
        <w:rPr>
          <w:sz w:val="35"/>
        </w:rPr>
      </w:pPr>
    </w:p>
    <w:p>
      <w:pPr>
        <w:spacing w:line="357" w:lineRule="auto" w:before="0"/>
        <w:ind w:left="100" w:right="101" w:firstLine="0"/>
        <w:jc w:val="both"/>
        <w:rPr>
          <w:sz w:val="24"/>
        </w:rPr>
      </w:pPr>
      <w:r>
        <w:rPr>
          <w:sz w:val="24"/>
        </w:rPr>
        <w:t>Mognol, et al., “Rapid prototyping: energy and environment in the spotlight,” </w:t>
      </w:r>
      <w:r>
        <w:rPr>
          <w:i/>
          <w:sz w:val="24"/>
        </w:rPr>
        <w:t>Rapid </w:t>
      </w:r>
      <w:r>
        <w:rPr>
          <w:i/>
          <w:sz w:val="24"/>
        </w:rPr>
        <w:t>Prototyping Journal </w:t>
      </w:r>
      <w:r>
        <w:rPr>
          <w:sz w:val="24"/>
        </w:rPr>
        <w:t>12.1, pp. 26-34, 2006.</w:t>
      </w:r>
    </w:p>
    <w:p>
      <w:pPr>
        <w:pStyle w:val="BodyText"/>
      </w:pPr>
    </w:p>
    <w:p>
      <w:pPr>
        <w:pStyle w:val="BodyText"/>
        <w:spacing w:line="362" w:lineRule="auto" w:before="149"/>
        <w:ind w:left="100" w:right="100"/>
        <w:jc w:val="both"/>
      </w:pPr>
      <w:r>
        <w:rPr/>
        <w:t>Noorani, Rafiq., (2006) Rapid Prototiping. Principles and Applications. New Jersey, USA, Wiley John Wiley and Sons, Inc.</w:t>
      </w:r>
    </w:p>
    <w:p>
      <w:pPr>
        <w:spacing w:after="0" w:line="362" w:lineRule="auto"/>
        <w:jc w:val="both"/>
        <w:sectPr>
          <w:pgSz w:w="12240" w:h="15840"/>
          <w:pgMar w:header="0" w:footer="1031" w:top="1500" w:bottom="1220" w:left="1600" w:right="1600"/>
        </w:sectPr>
      </w:pPr>
    </w:p>
    <w:p>
      <w:pPr>
        <w:pStyle w:val="BodyText"/>
        <w:tabs>
          <w:tab w:pos="1435" w:val="left" w:leader="none"/>
          <w:tab w:pos="2024" w:val="left" w:leader="none"/>
        </w:tabs>
        <w:spacing w:line="360" w:lineRule="auto" w:before="55"/>
        <w:ind w:left="100" w:right="119"/>
      </w:pPr>
      <w:r>
        <w:rPr/>
        <w:t>Park, R. (2014). “Neri Oxman Further Pursues 3D Printing with Multi-Materials for her Latest Mythical Installation Gemini”. En revista Smart Art A following of Inter- discipline work dealing with the Arts and Technology [En Línea] 27 de marzo 2014, disponible</w:t>
        <w:tab/>
        <w:t>en,</w:t>
        <w:tab/>
      </w:r>
      <w:hyperlink r:id="rId84">
        <w:r>
          <w:rPr>
            <w:spacing w:val="-1"/>
          </w:rPr>
          <w:t>http://3dprintingindustry.com/2014/03/27/neri-oxman-pursues-3d-</w:t>
        </w:r>
      </w:hyperlink>
      <w:r>
        <w:rPr>
          <w:spacing w:val="-1"/>
        </w:rPr>
        <w:t> </w:t>
      </w:r>
      <w:hyperlink r:id="rId84">
        <w:r>
          <w:rPr/>
          <w:t>printing-multi-materials-latest-mythical-installation-</w:t>
        </w:r>
      </w:hyperlink>
      <w:r>
        <w:rPr/>
        <w:t> </w:t>
      </w:r>
      <w:hyperlink r:id="rId84">
        <w:r>
          <w:rPr/>
          <w:t>gemini/?utm_source=Facebook&amp;utm_medium=social&amp;utm_campaign=3DPI%2BF</w:t>
        </w:r>
      </w:hyperlink>
      <w:r>
        <w:rPr/>
        <w:t> </w:t>
      </w:r>
      <w:hyperlink r:id="rId84">
        <w:r>
          <w:rPr/>
          <w:t>acebook</w:t>
        </w:r>
      </w:hyperlink>
      <w:r>
        <w:rPr/>
        <w:t> [Accesado el  28 de marzo de</w:t>
      </w:r>
      <w:r>
        <w:rPr>
          <w:spacing w:val="-20"/>
        </w:rPr>
        <w:t> </w:t>
      </w:r>
      <w:r>
        <w:rPr/>
        <w:t>2014].</w:t>
      </w:r>
    </w:p>
    <w:p>
      <w:pPr>
        <w:pStyle w:val="BodyText"/>
      </w:pPr>
    </w:p>
    <w:p>
      <w:pPr>
        <w:pStyle w:val="BodyText"/>
        <w:spacing w:line="360" w:lineRule="auto" w:before="142"/>
        <w:ind w:left="100" w:right="123"/>
        <w:jc w:val="both"/>
      </w:pPr>
      <w:r>
        <w:rPr/>
        <w:t>Ray Mu (2013) “4 axis High Presicion Multi-heads 3D Wood working CNC Router Machine with Multi-Rotary axis” .[En Línea] 9 de marzo de 2012, disponible en: </w:t>
      </w:r>
      <w:hyperlink r:id="rId101">
        <w:r>
          <w:rPr/>
          <w:t>http://www.youtube.com/watch?v=gjrgwZLGb4M</w:t>
        </w:r>
      </w:hyperlink>
      <w:r>
        <w:rPr/>
        <w:t> [Accesado el 31 de marzo de 2014].</w:t>
      </w:r>
    </w:p>
    <w:p>
      <w:pPr>
        <w:pStyle w:val="BodyText"/>
      </w:pPr>
    </w:p>
    <w:p>
      <w:pPr>
        <w:pStyle w:val="BodyText"/>
        <w:spacing w:line="360" w:lineRule="auto" w:before="142"/>
        <w:ind w:left="100" w:right="119"/>
        <w:jc w:val="both"/>
      </w:pPr>
      <w:r>
        <w:rPr/>
        <w:t>Romero Díaz, M. T. (2007). Análisis de Ciclo de Vida (ACV). Herramienta de Gestión Ambiental. Escuela de Organización Industrial. [En línea]. 1de enero de 2007, Disponible en: https://</w:t>
      </w:r>
      <w:hyperlink r:id="rId233">
        <w:r>
          <w:rPr/>
          <w:t>www.eoi.es/es/savia/publicaciones/20149/analisis-de-</w:t>
        </w:r>
      </w:hyperlink>
      <w:r>
        <w:rPr/>
        <w:t> ciclo-de-vida-acv-herramienta-de-gestion-ambiental [Accesado el día 10 de enero de 2017].</w:t>
      </w:r>
    </w:p>
    <w:p>
      <w:pPr>
        <w:pStyle w:val="BodyText"/>
      </w:pPr>
    </w:p>
    <w:p>
      <w:pPr>
        <w:pStyle w:val="BodyText"/>
        <w:spacing w:line="276" w:lineRule="auto" w:before="142"/>
        <w:ind w:left="100" w:right="127"/>
        <w:jc w:val="both"/>
      </w:pPr>
      <w:r>
        <w:rPr/>
        <w:t>Rupérez, A. (2008). Ecodiseño. Necesidad social y oportunidad empresarial. Zaragoza. Ecología y Desarrollo.</w:t>
      </w:r>
    </w:p>
    <w:p>
      <w:pPr>
        <w:pStyle w:val="BodyText"/>
      </w:pPr>
    </w:p>
    <w:p>
      <w:pPr>
        <w:pStyle w:val="BodyText"/>
        <w:spacing w:before="6"/>
        <w:rPr>
          <w:sz w:val="29"/>
        </w:rPr>
      </w:pPr>
    </w:p>
    <w:p>
      <w:pPr>
        <w:pStyle w:val="BodyText"/>
        <w:spacing w:line="360" w:lineRule="auto"/>
        <w:ind w:left="100" w:right="120"/>
        <w:jc w:val="both"/>
      </w:pPr>
      <w:r>
        <w:rPr/>
        <w:t>Sander, K. (2013). “Cuerpos escaneados e impresos en RP” en VVORK, [En Línea] disponible en: </w:t>
      </w:r>
      <w:hyperlink r:id="rId143">
        <w:r>
          <w:rPr/>
          <w:t>http://www.vvork.com/index.php?s=karin+sander</w:t>
        </w:r>
      </w:hyperlink>
      <w:r>
        <w:rPr/>
        <w:t> [Accesado el día 11 de agosto de</w:t>
      </w:r>
      <w:r>
        <w:rPr>
          <w:spacing w:val="-14"/>
        </w:rPr>
        <w:t> </w:t>
      </w:r>
      <w:r>
        <w:rPr/>
        <w:t>2013].</w:t>
      </w:r>
    </w:p>
    <w:p>
      <w:pPr>
        <w:pStyle w:val="BodyText"/>
      </w:pPr>
    </w:p>
    <w:p>
      <w:pPr>
        <w:pStyle w:val="BodyText"/>
        <w:spacing w:line="360" w:lineRule="auto" w:before="142"/>
        <w:ind w:left="100" w:right="111"/>
        <w:jc w:val="both"/>
      </w:pPr>
      <w:r>
        <w:rPr/>
        <w:t>ScanTech (2009). </w:t>
      </w:r>
      <w:r>
        <w:rPr>
          <w:spacing w:val="-4"/>
        </w:rPr>
        <w:t>“3D </w:t>
      </w:r>
      <w:r>
        <w:rPr/>
        <w:t>scan and cutting on a 5 axis CNC machine”. </w:t>
      </w:r>
      <w:r>
        <w:rPr>
          <w:spacing w:val="-3"/>
        </w:rPr>
        <w:t>En </w:t>
      </w:r>
      <w:r>
        <w:rPr>
          <w:spacing w:val="-7"/>
        </w:rPr>
        <w:t>Youtube.  </w:t>
      </w:r>
      <w:r>
        <w:rPr/>
        <w:t>[En Línea] 1 de septiembre de 2009, disponible en, </w:t>
      </w:r>
      <w:hyperlink r:id="rId152">
        <w:r>
          <w:rPr/>
          <w:t>http://www.youtube.com/watch?v=1p-nTYKPo_I</w:t>
        </w:r>
      </w:hyperlink>
      <w:r>
        <w:rPr/>
        <w:t>[Accesado el 29 de marzo de 2014].</w:t>
      </w:r>
    </w:p>
    <w:p>
      <w:pPr>
        <w:spacing w:after="0" w:line="360" w:lineRule="auto"/>
        <w:jc w:val="both"/>
        <w:sectPr>
          <w:pgSz w:w="12240" w:h="15840"/>
          <w:pgMar w:header="0" w:footer="1031" w:top="1360" w:bottom="1220" w:left="1600" w:right="1580"/>
        </w:sectPr>
      </w:pPr>
    </w:p>
    <w:p>
      <w:pPr>
        <w:pStyle w:val="BodyText"/>
        <w:spacing w:line="362" w:lineRule="auto" w:before="55"/>
        <w:ind w:left="100" w:right="116"/>
        <w:jc w:val="both"/>
      </w:pPr>
      <w:hyperlink r:id="rId71">
        <w:r>
          <w:rPr/>
          <w:t>Schwartz</w:t>
        </w:r>
      </w:hyperlink>
      <w:r>
        <w:rPr/>
        <w:t>, M. (2010). “Frozen motion sculpture model”. En revista Smart Art A following of Inter-discipline work dealing with the Arts and Technology [En Línea]</w:t>
      </w:r>
    </w:p>
    <w:p>
      <w:pPr>
        <w:pStyle w:val="BodyText"/>
        <w:tabs>
          <w:tab w:pos="1416" w:val="left" w:leader="none"/>
          <w:tab w:pos="2732" w:val="left" w:leader="none"/>
          <w:tab w:pos="4824" w:val="left" w:leader="none"/>
          <w:tab w:pos="6472" w:val="left" w:leader="none"/>
          <w:tab w:pos="8607" w:val="left" w:leader="none"/>
        </w:tabs>
        <w:spacing w:line="360" w:lineRule="auto"/>
        <w:ind w:left="100" w:right="119"/>
      </w:pPr>
      <w:r>
        <w:rPr/>
        <w:t>14</w:t>
        <w:tab/>
        <w:t>de</w:t>
        <w:tab/>
        <w:t>diciembre</w:t>
        <w:tab/>
        <w:t>2010,</w:t>
        <w:tab/>
        <w:t>disponible</w:t>
        <w:tab/>
      </w:r>
      <w:r>
        <w:rPr>
          <w:spacing w:val="-1"/>
        </w:rPr>
        <w:t>en, </w:t>
      </w:r>
      <w:hyperlink r:id="rId73">
        <w:r>
          <w:rPr/>
          <w:t>http://www.smartsculpture.com/2010/12/frozen-motion-sculpture-model.html</w:t>
        </w:r>
      </w:hyperlink>
      <w:r>
        <w:rPr/>
        <w:t> [Accesado el 8 de noviembre de</w:t>
      </w:r>
      <w:r>
        <w:rPr>
          <w:spacing w:val="-13"/>
        </w:rPr>
        <w:t> </w:t>
      </w:r>
      <w:r>
        <w:rPr/>
        <w:t>2013].</w:t>
      </w:r>
    </w:p>
    <w:p>
      <w:pPr>
        <w:pStyle w:val="BodyText"/>
      </w:pPr>
    </w:p>
    <w:p>
      <w:pPr>
        <w:pStyle w:val="BodyText"/>
        <w:spacing w:line="360" w:lineRule="auto" w:before="142"/>
        <w:ind w:left="100" w:right="122"/>
        <w:jc w:val="both"/>
      </w:pPr>
      <w:r>
        <w:rPr/>
        <w:t>Schwartz, M. (2011). “Sculptural Motion Gallery Installation”. En revista </w:t>
      </w:r>
      <w:r>
        <w:rPr>
          <w:spacing w:val="-3"/>
        </w:rPr>
        <w:t>Smart </w:t>
      </w:r>
      <w:r>
        <w:rPr/>
        <w:t>Art   A following of Inter-discipline work dealing with the Arts and Technology [En Línea] 18 de abril 2011, disponible en, </w:t>
      </w:r>
      <w:hyperlink r:id="rId68">
        <w:r>
          <w:rPr/>
          <w:t>http://www.smartsculpture.com/2011/04/sculptural-</w:t>
        </w:r>
      </w:hyperlink>
      <w:r>
        <w:rPr/>
        <w:t> </w:t>
      </w:r>
      <w:hyperlink r:id="rId68">
        <w:r>
          <w:rPr/>
          <w:t>motion-gallery-installation.html?view=classic</w:t>
        </w:r>
      </w:hyperlink>
      <w:r>
        <w:rPr/>
        <w:t> [Accesado el  28 de marzo de</w:t>
      </w:r>
      <w:r>
        <w:rPr>
          <w:spacing w:val="-44"/>
        </w:rPr>
        <w:t> </w:t>
      </w:r>
      <w:r>
        <w:rPr/>
        <w:t>2014].</w:t>
      </w:r>
    </w:p>
    <w:p>
      <w:pPr>
        <w:pStyle w:val="BodyText"/>
      </w:pPr>
    </w:p>
    <w:p>
      <w:pPr>
        <w:pStyle w:val="BodyText"/>
        <w:spacing w:line="357" w:lineRule="auto" w:before="142"/>
        <w:ind w:left="100" w:right="125"/>
        <w:jc w:val="both"/>
      </w:pPr>
      <w:r>
        <w:rPr/>
        <w:t>Stephens, B., Azimi, P., El Orch Z., Ramos, T. (2013). Ultrafine particle emissions from desktop 3D printers. Atmospheric Enviroment 79 (2013) 334-339.</w:t>
      </w:r>
    </w:p>
    <w:p>
      <w:pPr>
        <w:pStyle w:val="BodyText"/>
      </w:pPr>
    </w:p>
    <w:p>
      <w:pPr>
        <w:pStyle w:val="BodyText"/>
        <w:spacing w:line="360" w:lineRule="auto" w:before="145"/>
        <w:ind w:left="100" w:right="123"/>
        <w:jc w:val="both"/>
      </w:pPr>
      <w:r>
        <w:rPr/>
        <w:t>Stölzel, M., Breitner, S., Cyrys, J., Pitz, M., Wölke, G., Kreyling, W., Heinrich, J.,Wichmann, H.-E., Peters, A., 2007.Daily mortality and particulate matter indifferent size classes in Erfurt, Germany. Journal of Exposure Science &amp;Environmental Epidemiology 17, 458e467.</w:t>
      </w:r>
    </w:p>
    <w:p>
      <w:pPr>
        <w:pStyle w:val="BodyText"/>
      </w:pPr>
    </w:p>
    <w:p>
      <w:pPr>
        <w:pStyle w:val="BodyText"/>
        <w:spacing w:line="360" w:lineRule="auto" w:before="142"/>
        <w:ind w:left="100" w:right="126"/>
        <w:jc w:val="both"/>
      </w:pPr>
      <w:r>
        <w:rPr/>
        <w:t>Suwanmanee, U., Leejarkpai, T., Rudeekit, Y., Mungcharoen, T., (2010). Life Cycle Energy Consumption and Greenhouse Gas Emissions of Polylactic acid (PLA) and Polystyrene (PS) Trays.Kasetsart J. (Nat. Sci.) 44 : 703 - 716 (2010).</w:t>
      </w:r>
    </w:p>
    <w:p>
      <w:pPr>
        <w:pStyle w:val="BodyText"/>
      </w:pPr>
    </w:p>
    <w:p>
      <w:pPr>
        <w:pStyle w:val="BodyText"/>
        <w:spacing w:line="360" w:lineRule="auto" w:before="142"/>
        <w:ind w:left="100" w:right="119"/>
        <w:jc w:val="both"/>
      </w:pPr>
      <w:r>
        <w:rPr/>
        <w:t>Tello, E.J., (2008) Aplicación del rapid prototyping en la Evaluación de proyectos en la Licenciatura de Diseño Industrial impartida en la Facultad de Arquitectura y Diseño. Tesis de Maestría en Diseño. Toluca, Universidad Autónoma del Estado de</w:t>
      </w:r>
      <w:r>
        <w:rPr>
          <w:spacing w:val="-10"/>
        </w:rPr>
        <w:t> </w:t>
      </w:r>
      <w:r>
        <w:rPr/>
        <w:t>México.</w:t>
      </w:r>
    </w:p>
    <w:p>
      <w:pPr>
        <w:pStyle w:val="BodyText"/>
      </w:pPr>
    </w:p>
    <w:p>
      <w:pPr>
        <w:pStyle w:val="BodyText"/>
        <w:spacing w:line="362" w:lineRule="auto" w:before="142"/>
        <w:ind w:left="100" w:right="120"/>
        <w:jc w:val="both"/>
      </w:pPr>
      <w:r>
        <w:rPr/>
        <w:t>The Royal Melbourne Institute of Technology (1997). Introduction to EcoReDesign. Improving the environmental performance of manufactured products.</w:t>
      </w:r>
    </w:p>
    <w:p>
      <w:pPr>
        <w:spacing w:after="0" w:line="362" w:lineRule="auto"/>
        <w:jc w:val="both"/>
        <w:sectPr>
          <w:pgSz w:w="12240" w:h="15840"/>
          <w:pgMar w:header="0" w:footer="1031" w:top="1360" w:bottom="1220" w:left="1600" w:right="1580"/>
        </w:sectPr>
      </w:pPr>
    </w:p>
    <w:p>
      <w:pPr>
        <w:spacing w:line="278" w:lineRule="auto" w:before="51"/>
        <w:ind w:left="100" w:right="121" w:firstLine="0"/>
        <w:jc w:val="both"/>
        <w:rPr>
          <w:sz w:val="24"/>
        </w:rPr>
      </w:pPr>
      <w:r>
        <w:rPr>
          <w:sz w:val="24"/>
        </w:rPr>
        <w:t>Tomayess, I. and P. Isaias, (2015). </w:t>
      </w:r>
      <w:r>
        <w:rPr>
          <w:i/>
          <w:sz w:val="24"/>
        </w:rPr>
        <w:t>Sustainable Design: HCI, Usability and </w:t>
      </w:r>
      <w:r>
        <w:rPr>
          <w:i/>
          <w:sz w:val="24"/>
        </w:rPr>
        <w:t>Environmental Concerns. </w:t>
      </w:r>
      <w:r>
        <w:rPr>
          <w:sz w:val="24"/>
        </w:rPr>
        <w:t>London Springer-Verlag.</w:t>
      </w:r>
    </w:p>
    <w:p>
      <w:pPr>
        <w:pStyle w:val="BodyText"/>
      </w:pPr>
    </w:p>
    <w:p>
      <w:pPr>
        <w:pStyle w:val="BodyText"/>
      </w:pPr>
    </w:p>
    <w:p>
      <w:pPr>
        <w:pStyle w:val="BodyText"/>
        <w:spacing w:line="360" w:lineRule="auto" w:before="169"/>
        <w:ind w:left="100" w:right="119"/>
        <w:jc w:val="both"/>
      </w:pPr>
      <w:r>
        <w:rPr/>
        <w:t>Tortosa, R., (2012). “CNC: La tecnificación del proceso” en blog [En Línea] 1 de noviembre de 2012, Proyecto Lleona, disponible en: </w:t>
      </w:r>
      <w:hyperlink r:id="rId234">
        <w:r>
          <w:rPr/>
          <w:t>http://proyectolleona.blogspot.mx/2012_11_01_archive.html</w:t>
        </w:r>
      </w:hyperlink>
      <w:r>
        <w:rPr/>
        <w:t> [Accesado el 23 de junio de 2013].</w:t>
      </w:r>
    </w:p>
    <w:p>
      <w:pPr>
        <w:pStyle w:val="BodyText"/>
      </w:pPr>
    </w:p>
    <w:p>
      <w:pPr>
        <w:pStyle w:val="BodyText"/>
        <w:spacing w:line="357" w:lineRule="auto" w:before="142"/>
        <w:ind w:left="100" w:right="122"/>
        <w:jc w:val="both"/>
      </w:pPr>
      <w:r>
        <w:rPr/>
        <w:t>Tortosa, R., (2013). Impresoras 3D, tecnología RepRap. España, Facultad de Bellas Artes, Universidad Complutense de Madrid.</w:t>
      </w:r>
    </w:p>
    <w:p>
      <w:pPr>
        <w:pStyle w:val="BodyText"/>
      </w:pPr>
    </w:p>
    <w:p>
      <w:pPr>
        <w:pStyle w:val="BodyText"/>
        <w:tabs>
          <w:tab w:pos="2862" w:val="left" w:leader="none"/>
        </w:tabs>
        <w:spacing w:line="360" w:lineRule="auto" w:before="144"/>
        <w:ind w:left="100" w:right="130"/>
      </w:pPr>
      <w:r>
        <w:rPr/>
        <w:t>Tortosa, Rubén. (2013). “Impresión 3D: el comienzo de una era sostenible” en proyecto</w:t>
      </w:r>
      <w:r>
        <w:rPr>
          <w:spacing w:val="24"/>
        </w:rPr>
        <w:t> </w:t>
      </w:r>
      <w:r>
        <w:rPr/>
        <w:t>lleona.com.es,</w:t>
        <w:tab/>
        <w:t>[En Línea] 9 de enero de 2013, España,   </w:t>
      </w:r>
      <w:r>
        <w:rPr>
          <w:spacing w:val="10"/>
        </w:rPr>
        <w:t> </w:t>
      </w:r>
      <w:r>
        <w:rPr/>
        <w:t>disponible</w:t>
      </w:r>
      <w:r>
        <w:rPr>
          <w:spacing w:val="26"/>
        </w:rPr>
        <w:t> </w:t>
      </w:r>
      <w:r>
        <w:rPr/>
        <w:t>en:</w:t>
      </w:r>
      <w:r>
        <w:rPr>
          <w:w w:val="100"/>
        </w:rPr>
        <w:t> </w:t>
      </w:r>
      <w:hyperlink r:id="rId235">
        <w:r>
          <w:rPr/>
          <w:t>http://proyectolleona.blogspot.mx/search?updated-min=2012-12-31T15:00:00-</w:t>
        </w:r>
      </w:hyperlink>
      <w:r>
        <w:rPr/>
        <w:t> 08:00&amp;updated-max=2013-06-22T15:31:00%2B02:00&amp;max-results=3&amp;start=3&amp;by- date=false [Accesado el 26 de junio de</w:t>
      </w:r>
      <w:r>
        <w:rPr>
          <w:spacing w:val="-25"/>
        </w:rPr>
        <w:t> </w:t>
      </w:r>
      <w:r>
        <w:rPr/>
        <w:t>2013].</w:t>
      </w:r>
    </w:p>
    <w:p>
      <w:pPr>
        <w:pStyle w:val="BodyText"/>
      </w:pPr>
    </w:p>
    <w:p>
      <w:pPr>
        <w:pStyle w:val="BodyText"/>
        <w:spacing w:line="360" w:lineRule="auto" w:before="142"/>
        <w:ind w:left="100" w:right="118"/>
        <w:jc w:val="both"/>
      </w:pPr>
      <w:r>
        <w:rPr/>
        <w:t>Underwood, Mick. (2013). “Carolina bronzes sculpture” en USA. [En línea]. Londres, disponible en: </w:t>
      </w:r>
      <w:hyperlink r:id="rId139">
        <w:r>
          <w:rPr/>
          <w:t>http://carolinabronze.com/enlargement/</w:t>
        </w:r>
      </w:hyperlink>
      <w:r>
        <w:rPr/>
        <w:t> [Accesado el día 25 de junio de</w:t>
      </w:r>
      <w:r>
        <w:rPr>
          <w:spacing w:val="-15"/>
        </w:rPr>
        <w:t> </w:t>
      </w:r>
      <w:r>
        <w:rPr/>
        <w:t>2013].</w:t>
      </w:r>
    </w:p>
    <w:p>
      <w:pPr>
        <w:pStyle w:val="BodyText"/>
      </w:pPr>
    </w:p>
    <w:p>
      <w:pPr>
        <w:pStyle w:val="BodyText"/>
        <w:spacing w:line="360" w:lineRule="auto" w:before="142"/>
        <w:ind w:left="100" w:right="114"/>
        <w:jc w:val="both"/>
      </w:pPr>
      <w:r>
        <w:rPr/>
        <w:t>Van der Kley, Michiel (2013). “</w:t>
      </w:r>
      <w:hyperlink r:id="rId236">
        <w:r>
          <w:rPr>
            <w:color w:val="333333"/>
          </w:rPr>
          <w:t>Project Egg de Michiel van der Kley</w:t>
        </w:r>
      </w:hyperlink>
      <w:r>
        <w:rPr>
          <w:color w:val="333333"/>
        </w:rPr>
        <w:t>” en revista rhino3d.com </w:t>
      </w:r>
      <w:r>
        <w:rPr/>
        <w:t>[En Línea], disponible en: </w:t>
      </w:r>
      <w:hyperlink r:id="rId89">
        <w:r>
          <w:rPr/>
          <w:t>http://blog.es.rhino3d.com/</w:t>
        </w:r>
      </w:hyperlink>
      <w:r>
        <w:rPr/>
        <w:t> [Consultado el 6 de noviembre de 2013].</w:t>
      </w:r>
    </w:p>
    <w:p>
      <w:pPr>
        <w:pStyle w:val="BodyText"/>
      </w:pPr>
    </w:p>
    <w:p>
      <w:pPr>
        <w:pStyle w:val="BodyText"/>
        <w:spacing w:line="360" w:lineRule="auto" w:before="142"/>
        <w:ind w:left="100" w:right="118"/>
        <w:jc w:val="both"/>
      </w:pPr>
      <w:r>
        <w:rPr/>
        <w:t>Van-Gent, E. (2013). “Un-tethered Elona Van Gent´s studio practice”. [En línea]. Disponible en: </w:t>
      </w:r>
      <w:hyperlink r:id="rId76">
        <w:r>
          <w:rPr/>
          <w:t>http://un-tethered.net/eevege/</w:t>
        </w:r>
      </w:hyperlink>
      <w:r>
        <w:rPr/>
        <w:t> [Accesado el 8 de noviembre de 2013].</w:t>
      </w:r>
    </w:p>
    <w:p>
      <w:pPr>
        <w:pStyle w:val="BodyText"/>
      </w:pPr>
    </w:p>
    <w:p>
      <w:pPr>
        <w:pStyle w:val="BodyText"/>
        <w:spacing w:line="362" w:lineRule="auto" w:before="142"/>
        <w:ind w:left="100" w:right="119"/>
        <w:jc w:val="both"/>
      </w:pPr>
      <w:r>
        <w:rPr/>
        <w:t>Victoria, R. (2008). Translating Sustainable Design: Exploring Sustainable Design integration  in  Mexican  SMEs.  Tesis  de  doctorado.  England,  Faculty  of  Social</w:t>
      </w:r>
    </w:p>
    <w:p>
      <w:pPr>
        <w:spacing w:after="0" w:line="362" w:lineRule="auto"/>
        <w:jc w:val="both"/>
        <w:sectPr>
          <w:pgSz w:w="12240" w:h="15840"/>
          <w:pgMar w:header="0" w:footer="1031" w:top="1360" w:bottom="1220" w:left="1600" w:right="1580"/>
        </w:sectPr>
      </w:pPr>
    </w:p>
    <w:p>
      <w:pPr>
        <w:pStyle w:val="BodyText"/>
        <w:spacing w:line="362" w:lineRule="auto" w:before="55"/>
        <w:ind w:left="100" w:right="123"/>
        <w:jc w:val="both"/>
      </w:pPr>
      <w:r>
        <w:rPr/>
        <w:t>Science and Humanities, Department of Design and Technology, Loughborough University.</w:t>
      </w:r>
    </w:p>
    <w:p>
      <w:pPr>
        <w:pStyle w:val="BodyText"/>
      </w:pPr>
    </w:p>
    <w:p>
      <w:pPr>
        <w:pStyle w:val="BodyText"/>
        <w:spacing w:line="360" w:lineRule="auto" w:before="139"/>
        <w:ind w:left="100" w:right="124"/>
        <w:jc w:val="both"/>
      </w:pPr>
      <w:r>
        <w:rPr/>
        <w:t>Vink, E.</w:t>
      </w:r>
      <w:r>
        <w:rPr>
          <w:color w:val="000062"/>
        </w:rPr>
        <w:t>, </w:t>
      </w:r>
      <w:r>
        <w:rPr/>
        <w:t>Rabago, K., Glassner, D., Gruber, P. (2002). Applications of life cycle assessment to Nature Works TM polylactide (PLA) production. Polymer Degradation and Stability 80 (2003) 403–419.</w:t>
      </w:r>
    </w:p>
    <w:p>
      <w:pPr>
        <w:pStyle w:val="BodyText"/>
      </w:pPr>
    </w:p>
    <w:p>
      <w:pPr>
        <w:pStyle w:val="BodyText"/>
        <w:spacing w:line="360" w:lineRule="auto" w:before="142"/>
        <w:ind w:left="100" w:right="116"/>
        <w:jc w:val="both"/>
      </w:pPr>
      <w:r>
        <w:rPr/>
        <w:t>Video Cadop (2011). “Sculptural Motion: A look at performative movements as sculpture”. En Youtube. [En Línea] 17 de abril de 2011, disponible en, </w:t>
      </w:r>
      <w:hyperlink r:id="rId237">
        <w:r>
          <w:rPr/>
          <w:t>http://www.youtube.com/watch?v=blQ6kmNNHVY[</w:t>
        </w:r>
      </w:hyperlink>
      <w:r>
        <w:rPr/>
        <w:t>Accesado el 28 de marzo de 2014].</w:t>
      </w:r>
    </w:p>
    <w:p>
      <w:pPr>
        <w:pStyle w:val="BodyText"/>
      </w:pPr>
    </w:p>
    <w:p>
      <w:pPr>
        <w:pStyle w:val="BodyText"/>
        <w:spacing w:line="360" w:lineRule="auto" w:before="142"/>
        <w:ind w:left="100" w:right="121"/>
        <w:jc w:val="both"/>
      </w:pPr>
      <w:r>
        <w:rPr/>
        <w:t>Weinhoffer, E. (2012). “3D printing FAQ” en Maker Media Inc. [En línea]. Disponible en: </w:t>
      </w:r>
      <w:hyperlink r:id="rId238">
        <w:r>
          <w:rPr/>
          <w:t>http://makezine.com/magazine/make-ultimate-guide-to-3d-</w:t>
        </w:r>
      </w:hyperlink>
      <w:r>
        <w:rPr/>
        <w:t> </w:t>
      </w:r>
      <w:hyperlink r:id="rId238">
        <w:r>
          <w:rPr/>
          <w:t>printing/3d-printing-faqs/</w:t>
        </w:r>
      </w:hyperlink>
      <w:r>
        <w:rPr/>
        <w:t> [Accesado el 16 de abril de</w:t>
      </w:r>
      <w:r>
        <w:rPr>
          <w:spacing w:val="-35"/>
        </w:rPr>
        <w:t> </w:t>
      </w:r>
      <w:r>
        <w:rPr/>
        <w:t>2015].</w:t>
      </w:r>
    </w:p>
    <w:p>
      <w:pPr>
        <w:pStyle w:val="BodyText"/>
      </w:pPr>
    </w:p>
    <w:p>
      <w:pPr>
        <w:pStyle w:val="BodyText"/>
        <w:spacing w:line="360" w:lineRule="auto" w:before="142"/>
        <w:ind w:left="100" w:right="119"/>
        <w:jc w:val="both"/>
      </w:pPr>
      <w:r>
        <w:rPr/>
        <w:t>Wijk, A.V., (2015) 3D printing with biomaterials, Towards a sustainable and circular economy. ISBN 978-1-61499-486-2 (online).Amsterdam, Published by IOS Press under the imprint Delft University Press.</w:t>
      </w:r>
    </w:p>
    <w:p>
      <w:pPr>
        <w:spacing w:after="0" w:line="360" w:lineRule="auto"/>
        <w:jc w:val="both"/>
        <w:sectPr>
          <w:pgSz w:w="12240" w:h="15840"/>
          <w:pgMar w:header="0" w:footer="1031" w:top="1360" w:bottom="1220" w:left="1600" w:right="1580"/>
        </w:sectPr>
      </w:pPr>
    </w:p>
    <w:p>
      <w:pPr>
        <w:pStyle w:val="Heading2"/>
        <w:numPr>
          <w:ilvl w:val="1"/>
          <w:numId w:val="52"/>
        </w:numPr>
        <w:tabs>
          <w:tab w:pos="4214" w:val="left" w:leader="none"/>
        </w:tabs>
        <w:spacing w:line="240" w:lineRule="auto" w:before="49" w:after="0"/>
        <w:ind w:left="4214" w:right="0" w:hanging="432"/>
        <w:jc w:val="left"/>
      </w:pPr>
      <w:bookmarkStart w:name="8. Glosario" w:id="323"/>
      <w:bookmarkEnd w:id="323"/>
      <w:r>
        <w:rPr/>
      </w:r>
      <w:bookmarkStart w:name="_bookmark207" w:id="324"/>
      <w:bookmarkEnd w:id="324"/>
      <w:r>
        <w:rPr/>
      </w:r>
      <w:bookmarkStart w:name="_bookmark207" w:id="325"/>
      <w:bookmarkEnd w:id="325"/>
      <w:r>
        <w:rPr/>
        <w:t>G</w:t>
      </w:r>
      <w:r>
        <w:rPr/>
        <w:t>losario</w:t>
      </w:r>
    </w:p>
    <w:p>
      <w:pPr>
        <w:pStyle w:val="BodyText"/>
        <w:spacing w:before="11"/>
        <w:rPr>
          <w:sz w:val="23"/>
        </w:rPr>
      </w:pPr>
    </w:p>
    <w:p>
      <w:pPr>
        <w:pStyle w:val="BodyText"/>
        <w:ind w:left="100" w:right="123"/>
        <w:jc w:val="both"/>
      </w:pPr>
      <w:r>
        <w:rPr>
          <w:b/>
        </w:rPr>
        <w:t>Ácido poliláctico. </w:t>
      </w:r>
      <w:r>
        <w:rPr/>
        <w:t>(PLA) Es ácido poliláctico, generalmente producido a partir de azúcar (remolacha azucarera, cañas de azúcar, maíz). Los polímeros de PLA son totalmente composteables en las instalaciones existentes. Al final del ciclo de vida de un producto basado en PLA, éste puede descomponerse en sus partes más simples de manera que no quede ninguna señal del producto original.</w:t>
      </w:r>
    </w:p>
    <w:p>
      <w:pPr>
        <w:pStyle w:val="BodyText"/>
      </w:pPr>
    </w:p>
    <w:p>
      <w:pPr>
        <w:pStyle w:val="BodyText"/>
        <w:spacing w:before="7"/>
        <w:rPr>
          <w:sz w:val="23"/>
        </w:rPr>
      </w:pPr>
    </w:p>
    <w:p>
      <w:pPr>
        <w:pStyle w:val="BodyText"/>
        <w:ind w:left="100" w:right="114"/>
        <w:jc w:val="both"/>
      </w:pPr>
      <w:r>
        <w:rPr>
          <w:b/>
        </w:rPr>
        <w:t>Análisis de Ciclo de Vida.  </w:t>
      </w:r>
      <w:r>
        <w:rPr>
          <w:i/>
        </w:rPr>
        <w:t>Lif</w:t>
      </w:r>
      <w:r>
        <w:rPr>
          <w:i/>
          <w:color w:val="0E0D0D"/>
        </w:rPr>
        <w:t>e Cyc</w:t>
      </w:r>
      <w:r>
        <w:rPr>
          <w:i/>
        </w:rPr>
        <w:t>l</w:t>
      </w:r>
      <w:r>
        <w:rPr>
          <w:i/>
          <w:color w:val="302F2E"/>
        </w:rPr>
        <w:t>e </w:t>
      </w:r>
      <w:r>
        <w:rPr>
          <w:i/>
          <w:color w:val="0E0D0D"/>
        </w:rPr>
        <w:t>Assess</w:t>
      </w:r>
      <w:r>
        <w:rPr>
          <w:i/>
        </w:rPr>
        <w:t>m</w:t>
      </w:r>
      <w:r>
        <w:rPr>
          <w:i/>
          <w:color w:val="0E0D0D"/>
        </w:rPr>
        <w:t>e</w:t>
      </w:r>
      <w:r>
        <w:rPr>
          <w:i/>
        </w:rPr>
        <w:t>nt  </w:t>
      </w:r>
      <w:r>
        <w:rPr>
          <w:color w:val="0E0D0D"/>
        </w:rPr>
        <w:t>(ACV o </w:t>
      </w:r>
      <w:r>
        <w:rPr/>
        <w:t>L</w:t>
      </w:r>
      <w:r>
        <w:rPr>
          <w:color w:val="0E0D0D"/>
        </w:rPr>
        <w:t>CA</w:t>
      </w:r>
      <w:r>
        <w:rPr/>
        <w:t>, por </w:t>
      </w:r>
      <w:r>
        <w:rPr>
          <w:color w:val="0E0D0D"/>
        </w:rPr>
        <w:t>s</w:t>
      </w:r>
      <w:r>
        <w:rPr/>
        <w:t>u</w:t>
      </w:r>
      <w:r>
        <w:rPr>
          <w:color w:val="0E0D0D"/>
        </w:rPr>
        <w:t>s </w:t>
      </w:r>
      <w:r>
        <w:rPr/>
        <w:t>sigla</w:t>
      </w:r>
      <w:r>
        <w:rPr>
          <w:color w:val="0E0D0D"/>
        </w:rPr>
        <w:t>s  e</w:t>
      </w:r>
      <w:r>
        <w:rPr/>
        <w:t>n inglés). También se conoce como análisis del ciclo de vida, inventario del ciclo de vida, análisis de la cuna a la tumba o costo de energía polvo-polvo. La evaluación del impacto medioambiental de un producto o servicio dado a lo largo de su vida útil. El objetivo de LCA es comparar el desempeño ambiental de los productos y servicios y seleccionar el que menos daño provoca. El concepto también se puede utilizar para obtener el mejor rendimiento medioambiental de un solo</w:t>
      </w:r>
      <w:r>
        <w:rPr>
          <w:spacing w:val="-12"/>
        </w:rPr>
        <w:t> </w:t>
      </w:r>
      <w:r>
        <w:rPr/>
        <w:t>producto.</w:t>
      </w:r>
    </w:p>
    <w:p>
      <w:pPr>
        <w:pStyle w:val="BodyText"/>
        <w:spacing w:before="7"/>
        <w:rPr>
          <w:sz w:val="23"/>
        </w:rPr>
      </w:pPr>
    </w:p>
    <w:p>
      <w:pPr>
        <w:spacing w:line="242" w:lineRule="auto" w:before="0"/>
        <w:ind w:left="100" w:right="122" w:firstLine="0"/>
        <w:jc w:val="both"/>
        <w:rPr>
          <w:sz w:val="24"/>
        </w:rPr>
      </w:pPr>
      <w:r>
        <w:rPr>
          <w:b/>
          <w:sz w:val="24"/>
        </w:rPr>
        <w:t>Análisis del inventario del ciclo de vida. (ICV). </w:t>
      </w:r>
      <w:r>
        <w:rPr>
          <w:sz w:val="24"/>
        </w:rPr>
        <w:t>Fase del análisis del ciclo de vida que implica la recopilación y la cuantificación de entradas y salidas para un sistema del producto a través de su ciclo de</w:t>
      </w:r>
      <w:r>
        <w:rPr>
          <w:spacing w:val="-29"/>
          <w:sz w:val="24"/>
        </w:rPr>
        <w:t> </w:t>
      </w:r>
      <w:r>
        <w:rPr>
          <w:sz w:val="24"/>
        </w:rPr>
        <w:t>vida.</w:t>
      </w:r>
    </w:p>
    <w:p>
      <w:pPr>
        <w:pStyle w:val="BodyText"/>
        <w:spacing w:before="4"/>
        <w:rPr>
          <w:sz w:val="23"/>
        </w:rPr>
      </w:pPr>
    </w:p>
    <w:p>
      <w:pPr>
        <w:pStyle w:val="BodyText"/>
        <w:spacing w:line="242" w:lineRule="auto" w:before="1"/>
        <w:ind w:left="100" w:right="118"/>
        <w:jc w:val="both"/>
      </w:pPr>
      <w:r>
        <w:rPr>
          <w:b/>
        </w:rPr>
        <w:t>Biodegradable. </w:t>
      </w:r>
      <w:r>
        <w:rPr>
          <w:color w:val="212121"/>
        </w:rPr>
        <w:t>Que puede descomponerse en elementos químicos naturales por la acción de agentes biológicos, como el sol, el agua, las bacterias, las plantas o los animales.</w:t>
      </w:r>
    </w:p>
    <w:p>
      <w:pPr>
        <w:pStyle w:val="BodyText"/>
        <w:spacing w:before="4"/>
        <w:rPr>
          <w:sz w:val="23"/>
        </w:rPr>
      </w:pPr>
    </w:p>
    <w:p>
      <w:pPr>
        <w:pStyle w:val="BodyText"/>
        <w:spacing w:line="242" w:lineRule="auto" w:before="1"/>
        <w:ind w:left="100" w:right="130"/>
        <w:jc w:val="both"/>
      </w:pPr>
      <w:r>
        <w:rPr>
          <w:b/>
        </w:rPr>
        <w:t>Bioplástico. </w:t>
      </w:r>
      <w:r>
        <w:rPr/>
        <w:t>Es un tipo de plásticos derivados de productos vegetales, tales como el aceite de soja, el maíz o la fécula de patata, a diferencia de los plásticos convencionales, derivados del petróleo.</w:t>
      </w:r>
    </w:p>
    <w:p>
      <w:pPr>
        <w:pStyle w:val="BodyText"/>
        <w:spacing w:before="4"/>
        <w:rPr>
          <w:sz w:val="23"/>
        </w:rPr>
      </w:pPr>
    </w:p>
    <w:p>
      <w:pPr>
        <w:pStyle w:val="BodyText"/>
        <w:spacing w:line="242" w:lineRule="auto"/>
        <w:ind w:left="100" w:right="126"/>
        <w:jc w:val="both"/>
      </w:pPr>
      <w:r>
        <w:rPr>
          <w:b/>
        </w:rPr>
        <w:t>Ciclo de vida. </w:t>
      </w:r>
      <w:r>
        <w:rPr/>
        <w:t>Etapas consecutivas e interrelacionadas de un sistema del producto, desde la adquisición de materia prima o de su generación a partir de recursos naturales hasta la disposición final.</w:t>
      </w:r>
    </w:p>
    <w:p>
      <w:pPr>
        <w:pStyle w:val="BodyText"/>
        <w:spacing w:before="5"/>
        <w:rPr>
          <w:sz w:val="23"/>
        </w:rPr>
      </w:pPr>
    </w:p>
    <w:p>
      <w:pPr>
        <w:pStyle w:val="BodyText"/>
        <w:ind w:left="100" w:right="118"/>
        <w:jc w:val="both"/>
      </w:pPr>
      <w:r>
        <w:rPr>
          <w:b/>
        </w:rPr>
        <w:t>Control numérico computerizado. </w:t>
      </w:r>
      <w:r>
        <w:rPr/>
        <w:t>Control por ordenador de los procesos de mecanización. Los procesos de mecanizado operados por ordenador que se basan en la eliminación de material de las piezas son conocidos como procesos  de control numérico computerizado (CNC) e incluyen operaciones de fresado, enrutado y torneado. Según la máquina el sistema puede ser de 2, 3, 4, 5, 6 ó 7 ejes.</w:t>
      </w:r>
    </w:p>
    <w:p>
      <w:pPr>
        <w:pStyle w:val="BodyText"/>
        <w:spacing w:before="7"/>
        <w:rPr>
          <w:sz w:val="23"/>
        </w:rPr>
      </w:pPr>
    </w:p>
    <w:p>
      <w:pPr>
        <w:pStyle w:val="BodyText"/>
        <w:spacing w:line="242" w:lineRule="auto" w:before="1"/>
        <w:ind w:left="100" w:right="122"/>
        <w:jc w:val="both"/>
      </w:pPr>
      <w:r>
        <w:rPr>
          <w:b/>
        </w:rPr>
        <w:t>Composteable. </w:t>
      </w:r>
      <w:r>
        <w:rPr/>
        <w:t>Señalado como aquel material que puede biodegradarse por acción microbiológica en un corto período de tiempo y sin dejar residuos visibles ni tóxicos.</w:t>
      </w:r>
    </w:p>
    <w:p>
      <w:pPr>
        <w:spacing w:after="0" w:line="242" w:lineRule="auto"/>
        <w:jc w:val="both"/>
        <w:sectPr>
          <w:pgSz w:w="12240" w:h="15840"/>
          <w:pgMar w:header="0" w:footer="1031" w:top="1360" w:bottom="1220" w:left="1600" w:right="1580"/>
        </w:sectPr>
      </w:pPr>
    </w:p>
    <w:p>
      <w:pPr>
        <w:pStyle w:val="BodyText"/>
        <w:spacing w:before="47"/>
        <w:ind w:left="100" w:right="101"/>
        <w:jc w:val="both"/>
      </w:pPr>
      <w:r>
        <w:rPr>
          <w:b/>
        </w:rPr>
        <w:t>Corte de hilo caliente. </w:t>
      </w:r>
      <w:r>
        <w:rPr/>
        <w:t>Proceso para cortar espumas con temperatura de fusión relativamente baja, comúnmente poliestireno extruido, poliestireno expandido y polipropileno expandido, mediante un hilo tensado de cromoníquel o de acero inoxidable calentado a unos 200°C.</w:t>
      </w:r>
    </w:p>
    <w:p>
      <w:pPr>
        <w:pStyle w:val="BodyText"/>
        <w:spacing w:before="8"/>
        <w:rPr>
          <w:sz w:val="23"/>
        </w:rPr>
      </w:pPr>
    </w:p>
    <w:p>
      <w:pPr>
        <w:pStyle w:val="BodyText"/>
        <w:spacing w:line="242" w:lineRule="auto"/>
        <w:ind w:left="100" w:right="102"/>
        <w:jc w:val="both"/>
      </w:pPr>
      <w:r>
        <w:rPr>
          <w:b/>
        </w:rPr>
        <w:t>Corte láser. </w:t>
      </w:r>
      <w:r>
        <w:rPr/>
        <w:t>Sistema CNC de prototipado y fabricación que emplea un haz de láser para cortar una amplia variedad de materiales laminados, de entre 0,2 y 40 mm de grosor, a base de fundirlos, quemarlos o</w:t>
      </w:r>
      <w:r>
        <w:rPr>
          <w:spacing w:val="-30"/>
        </w:rPr>
        <w:t> </w:t>
      </w:r>
      <w:r>
        <w:rPr/>
        <w:t>vaporizarlos.</w:t>
      </w:r>
    </w:p>
    <w:p>
      <w:pPr>
        <w:pStyle w:val="BodyText"/>
        <w:spacing w:before="4"/>
        <w:rPr>
          <w:sz w:val="23"/>
        </w:rPr>
      </w:pPr>
    </w:p>
    <w:p>
      <w:pPr>
        <w:pStyle w:val="BodyText"/>
        <w:spacing w:before="1"/>
        <w:ind w:left="100" w:right="100"/>
        <w:jc w:val="both"/>
      </w:pPr>
      <w:r>
        <w:rPr>
          <w:b/>
        </w:rPr>
        <w:t>Corte plasma. </w:t>
      </w:r>
      <w:r>
        <w:rPr/>
        <w:t>Sistema para cortar láminas o planchas de metal –normalmente de acero o aluminio- empleando un gas inerte proyectado sobre la pieza a través de una boquilla enfriada con agua. Parte del gas se convierte en plasma a muy alta temperatura cuando entra en contacto con un arco eléctrico creado entre un electrodo cargado negativamente situado en la boquilla y la superficie de la pieza, cargada positivamente.</w:t>
      </w:r>
    </w:p>
    <w:p>
      <w:pPr>
        <w:pStyle w:val="BodyText"/>
        <w:spacing w:before="7"/>
        <w:rPr>
          <w:sz w:val="23"/>
        </w:rPr>
      </w:pPr>
    </w:p>
    <w:p>
      <w:pPr>
        <w:pStyle w:val="BodyText"/>
        <w:ind w:left="100" w:right="100"/>
        <w:jc w:val="both"/>
      </w:pPr>
      <w:r>
        <w:rPr>
          <w:b/>
        </w:rPr>
        <w:t>Corte por chorro de agua. </w:t>
      </w:r>
      <w:r>
        <w:rPr/>
        <w:t>Proceso CNC empleado para prototipar y fabricar piezas de materiales de lámina gruesa, usualmente de acero dulce, acero inoxidable, vidrio y piedra, empleando un fino chorro de agua fría a alta presión mezclada con un polvo abrasivo de silicato que corta el material.</w:t>
      </w:r>
    </w:p>
    <w:p>
      <w:pPr>
        <w:pStyle w:val="BodyText"/>
        <w:spacing w:before="7"/>
        <w:rPr>
          <w:sz w:val="23"/>
        </w:rPr>
      </w:pPr>
    </w:p>
    <w:p>
      <w:pPr>
        <w:pStyle w:val="BodyText"/>
        <w:spacing w:before="1"/>
        <w:ind w:left="100" w:right="103"/>
        <w:jc w:val="both"/>
      </w:pPr>
      <w:r>
        <w:rPr>
          <w:b/>
        </w:rPr>
        <w:t>Ciclo de vida. </w:t>
      </w:r>
      <w:r>
        <w:rPr/>
        <w:t>Es el conjunto de etapas por las que atraviesa un producto o servicio de inicio a fin. Se referirá particularmente a los productos. Consiste en una serie de fases por las que atraviesa un producto: diseño, extracción, y adquisición de recursos y materiales, producción, transporte y distribución, uso y manutención, recuperación, re-utilización, reciclaje y desecho.</w:t>
      </w:r>
    </w:p>
    <w:p>
      <w:pPr>
        <w:pStyle w:val="BodyText"/>
        <w:spacing w:before="8"/>
        <w:rPr>
          <w:sz w:val="23"/>
        </w:rPr>
      </w:pPr>
    </w:p>
    <w:p>
      <w:pPr>
        <w:pStyle w:val="BodyText"/>
        <w:ind w:left="100" w:right="105"/>
        <w:jc w:val="both"/>
      </w:pPr>
      <w:r>
        <w:rPr>
          <w:b/>
        </w:rPr>
        <w:t>Deposición de metal fundido</w:t>
      </w:r>
      <w:r>
        <w:rPr/>
        <w:t>. Sistema de RP aditivo empleado para fabricar piezas de metal densas a base de interponer polvo de metal a través de una boquilla en el recorrido de un haz láser que funde el metal y lo deposita en la plataforma de construcción.</w:t>
      </w:r>
    </w:p>
    <w:p>
      <w:pPr>
        <w:pStyle w:val="BodyText"/>
      </w:pPr>
    </w:p>
    <w:p>
      <w:pPr>
        <w:pStyle w:val="BodyText"/>
        <w:spacing w:before="7"/>
        <w:rPr>
          <w:sz w:val="23"/>
        </w:rPr>
      </w:pPr>
    </w:p>
    <w:p>
      <w:pPr>
        <w:pStyle w:val="BodyText"/>
        <w:ind w:left="100" w:right="102"/>
        <w:jc w:val="both"/>
      </w:pPr>
      <w:r>
        <w:rPr>
          <w:b/>
        </w:rPr>
        <w:t>Diseño asistido por ordenador</w:t>
      </w:r>
      <w:r>
        <w:rPr/>
        <w:t>. (Computer aided design, CAD) Uso de los ordenadores para crear diseños. El término se emplea generalmente en referencia a la creación de modelos virtuales tridimensionales para ayudar en el diseño de productos, componentes de ingeniería y edificios. También se refiere al uso del ordenador para diseñar gráficos y animaciones en 2D.</w:t>
      </w:r>
    </w:p>
    <w:p>
      <w:pPr>
        <w:pStyle w:val="BodyText"/>
        <w:spacing w:before="7"/>
        <w:rPr>
          <w:sz w:val="23"/>
        </w:rPr>
      </w:pPr>
    </w:p>
    <w:p>
      <w:pPr>
        <w:pStyle w:val="BodyText"/>
        <w:spacing w:line="242" w:lineRule="auto"/>
        <w:ind w:left="100" w:right="101"/>
        <w:jc w:val="both"/>
      </w:pPr>
      <w:r>
        <w:rPr>
          <w:b/>
        </w:rPr>
        <w:t>Eco-diseño</w:t>
      </w:r>
      <w:r>
        <w:rPr/>
        <w:t>. </w:t>
      </w:r>
      <w:r>
        <w:rPr>
          <w:color w:val="1A1A18"/>
        </w:rPr>
        <w:t>Diseño </w:t>
      </w:r>
      <w:r>
        <w:rPr/>
        <w:t>R</w:t>
      </w:r>
      <w:r>
        <w:rPr>
          <w:color w:val="393939"/>
        </w:rPr>
        <w:t>e</w:t>
      </w:r>
      <w:r>
        <w:rPr>
          <w:color w:val="1A1A18"/>
        </w:rPr>
        <w:t>sp</w:t>
      </w:r>
      <w:r>
        <w:rPr>
          <w:color w:val="393939"/>
        </w:rPr>
        <w:t>e</w:t>
      </w:r>
      <w:r>
        <w:rPr>
          <w:color w:val="1A1A18"/>
        </w:rPr>
        <w:t>t</w:t>
      </w:r>
      <w:r>
        <w:rPr/>
        <w:t>u</w:t>
      </w:r>
      <w:r>
        <w:rPr>
          <w:color w:val="1A1A18"/>
        </w:rPr>
        <w:t>oso co</w:t>
      </w:r>
      <w:r>
        <w:rPr/>
        <w:t>n </w:t>
      </w:r>
      <w:r>
        <w:rPr>
          <w:color w:val="1A1A18"/>
        </w:rPr>
        <w:t>el Medio Am</w:t>
      </w:r>
      <w:r>
        <w:rPr/>
        <w:t>b</w:t>
      </w:r>
      <w:r>
        <w:rPr>
          <w:color w:val="1A1A18"/>
        </w:rPr>
        <w:t>ient</w:t>
      </w:r>
      <w:r>
        <w:rPr>
          <w:color w:val="393939"/>
        </w:rPr>
        <w:t>e </w:t>
      </w:r>
      <w:r>
        <w:rPr>
          <w:color w:val="1A1A18"/>
        </w:rPr>
        <w:t>o Diseño pa</w:t>
      </w:r>
      <w:r>
        <w:rPr/>
        <w:t>r</w:t>
      </w:r>
      <w:r>
        <w:rPr>
          <w:color w:val="1A1A18"/>
        </w:rPr>
        <w:t>a e</w:t>
      </w:r>
      <w:r>
        <w:rPr/>
        <w:t>l </w:t>
      </w:r>
      <w:r>
        <w:rPr>
          <w:color w:val="1A1A18"/>
        </w:rPr>
        <w:t>Med</w:t>
      </w:r>
      <w:r>
        <w:rPr/>
        <w:t>i</w:t>
      </w:r>
      <w:r>
        <w:rPr>
          <w:color w:val="1A1A18"/>
        </w:rPr>
        <w:t>o Am</w:t>
      </w:r>
      <w:r>
        <w:rPr/>
        <w:t>b</w:t>
      </w:r>
      <w:r>
        <w:rPr>
          <w:color w:val="1A1A18"/>
        </w:rPr>
        <w:t>ie</w:t>
      </w:r>
      <w:r>
        <w:rPr/>
        <w:t>nt</w:t>
      </w:r>
      <w:r>
        <w:rPr>
          <w:color w:val="1A1A18"/>
        </w:rPr>
        <w:t>e </w:t>
      </w:r>
      <w:r>
        <w:rPr>
          <w:color w:val="393939"/>
        </w:rPr>
        <w:t>(</w:t>
      </w:r>
      <w:r>
        <w:rPr>
          <w:color w:val="1A1A18"/>
        </w:rPr>
        <w:t>DfE</w:t>
      </w:r>
      <w:r>
        <w:rPr>
          <w:color w:val="393939"/>
        </w:rPr>
        <w:t>)</w:t>
      </w:r>
      <w:r>
        <w:rPr>
          <w:i/>
          <w:color w:val="1A1A18"/>
        </w:rPr>
        <w:t>. </w:t>
      </w:r>
      <w:r>
        <w:rPr>
          <w:color w:val="1A1A18"/>
        </w:rPr>
        <w:t>Es </w:t>
      </w:r>
      <w:r>
        <w:rPr/>
        <w:t>un proc</w:t>
      </w:r>
      <w:r>
        <w:rPr>
          <w:color w:val="1A1A18"/>
        </w:rPr>
        <w:t>eso </w:t>
      </w:r>
      <w:r>
        <w:rPr/>
        <w:t>d</w:t>
      </w:r>
      <w:r>
        <w:rPr>
          <w:color w:val="1A1A18"/>
        </w:rPr>
        <w:t>e </w:t>
      </w:r>
      <w:r>
        <w:rPr/>
        <w:t>di</w:t>
      </w:r>
      <w:r>
        <w:rPr>
          <w:color w:val="1A1A18"/>
        </w:rPr>
        <w:t>s</w:t>
      </w:r>
      <w:r>
        <w:rPr/>
        <w:t>eño qu</w:t>
      </w:r>
      <w:r>
        <w:rPr>
          <w:color w:val="1A1A18"/>
        </w:rPr>
        <w:t>e eva</w:t>
      </w:r>
      <w:r>
        <w:rPr/>
        <w:t>lúa </w:t>
      </w:r>
      <w:r>
        <w:rPr>
          <w:color w:val="1A1A18"/>
        </w:rPr>
        <w:t>y </w:t>
      </w:r>
      <w:r>
        <w:rPr/>
        <w:t>pretend</w:t>
      </w:r>
      <w:r>
        <w:rPr>
          <w:color w:val="1A1A18"/>
        </w:rPr>
        <w:t>e </w:t>
      </w:r>
      <w:r>
        <w:rPr/>
        <w:t>reducir l</w:t>
      </w:r>
      <w:r>
        <w:rPr>
          <w:color w:val="1A1A18"/>
        </w:rPr>
        <w:t>os </w:t>
      </w:r>
      <w:r>
        <w:rPr/>
        <w:t>impa</w:t>
      </w:r>
      <w:r>
        <w:rPr>
          <w:color w:val="1A1A18"/>
        </w:rPr>
        <w:t>c</w:t>
      </w:r>
      <w:r>
        <w:rPr/>
        <w:t>to</w:t>
      </w:r>
      <w:r>
        <w:rPr>
          <w:color w:val="1A1A18"/>
        </w:rPr>
        <w:t>s a</w:t>
      </w:r>
      <w:r>
        <w:rPr/>
        <w:t>mbi</w:t>
      </w:r>
      <w:r>
        <w:rPr>
          <w:color w:val="1A1A18"/>
        </w:rPr>
        <w:t>e</w:t>
      </w:r>
      <w:r>
        <w:rPr/>
        <w:t>ntale</w:t>
      </w:r>
      <w:r>
        <w:rPr>
          <w:color w:val="1A1A18"/>
        </w:rPr>
        <w:t>s </w:t>
      </w:r>
      <w:r>
        <w:rPr/>
        <w:t>a</w:t>
      </w:r>
      <w:r>
        <w:rPr>
          <w:color w:val="1A1A18"/>
        </w:rPr>
        <w:t>s</w:t>
      </w:r>
      <w:r>
        <w:rPr/>
        <w:t>o</w:t>
      </w:r>
      <w:r>
        <w:rPr>
          <w:color w:val="1A1A18"/>
        </w:rPr>
        <w:t>c</w:t>
      </w:r>
      <w:r>
        <w:rPr/>
        <w:t>i</w:t>
      </w:r>
      <w:r>
        <w:rPr>
          <w:color w:val="1A1A18"/>
        </w:rPr>
        <w:t>a</w:t>
      </w:r>
      <w:r>
        <w:rPr/>
        <w:t>d</w:t>
      </w:r>
      <w:r>
        <w:rPr>
          <w:color w:val="1A1A18"/>
        </w:rPr>
        <w:t>o</w:t>
      </w:r>
      <w:r>
        <w:rPr/>
        <w:t>s </w:t>
      </w:r>
      <w:r>
        <w:rPr>
          <w:color w:val="1A1A18"/>
        </w:rPr>
        <w:t>c</w:t>
      </w:r>
      <w:r>
        <w:rPr/>
        <w:t>on un pr</w:t>
      </w:r>
      <w:r>
        <w:rPr>
          <w:color w:val="1A1A18"/>
        </w:rPr>
        <w:t>o</w:t>
      </w:r>
      <w:r>
        <w:rPr/>
        <w:t>ducto a lo lar</w:t>
      </w:r>
      <w:r>
        <w:rPr>
          <w:color w:val="1A1A18"/>
        </w:rPr>
        <w:t>go </w:t>
      </w:r>
      <w:r>
        <w:rPr/>
        <w:t>de </w:t>
      </w:r>
      <w:r>
        <w:rPr>
          <w:color w:val="1A1A18"/>
        </w:rPr>
        <w:t>s</w:t>
      </w:r>
      <w:r>
        <w:rPr/>
        <w:t>u </w:t>
      </w:r>
      <w:r>
        <w:rPr>
          <w:color w:val="1A1A18"/>
        </w:rPr>
        <w:t>c</w:t>
      </w:r>
      <w:r>
        <w:rPr/>
        <w:t>i</w:t>
      </w:r>
      <w:r>
        <w:rPr>
          <w:color w:val="393939"/>
        </w:rPr>
        <w:t>c</w:t>
      </w:r>
      <w:r>
        <w:rPr/>
        <w:t>l</w:t>
      </w:r>
      <w:r>
        <w:rPr>
          <w:color w:val="1A1A18"/>
        </w:rPr>
        <w:t>o </w:t>
      </w:r>
      <w:r>
        <w:rPr/>
        <w:t>de vid</w:t>
      </w:r>
      <w:r>
        <w:rPr>
          <w:color w:val="1A1A18"/>
        </w:rPr>
        <w:t>a.</w:t>
      </w:r>
    </w:p>
    <w:p>
      <w:pPr>
        <w:pStyle w:val="BodyText"/>
        <w:spacing w:before="5"/>
        <w:rPr>
          <w:sz w:val="23"/>
        </w:rPr>
      </w:pPr>
    </w:p>
    <w:p>
      <w:pPr>
        <w:pStyle w:val="BodyText"/>
        <w:spacing w:line="242" w:lineRule="auto"/>
        <w:ind w:left="100" w:right="106"/>
        <w:jc w:val="both"/>
      </w:pPr>
      <w:r>
        <w:rPr>
          <w:b/>
        </w:rPr>
        <w:t>Eco-eficiencia</w:t>
      </w:r>
      <w:r>
        <w:rPr/>
        <w:t>. El objetivo es aprovechar al máximo los recursos, haciendo más con menos, uso de menos energía, menos materiales y recursos, menos perturbación del ecosistema.</w:t>
      </w:r>
    </w:p>
    <w:p>
      <w:pPr>
        <w:spacing w:after="0" w:line="242" w:lineRule="auto"/>
        <w:jc w:val="both"/>
        <w:sectPr>
          <w:pgSz w:w="12240" w:h="15840"/>
          <w:pgMar w:header="0" w:footer="1031" w:top="1360" w:bottom="1220" w:left="1600" w:right="1600"/>
        </w:sectPr>
      </w:pPr>
    </w:p>
    <w:p>
      <w:pPr>
        <w:pStyle w:val="BodyText"/>
        <w:spacing w:line="242" w:lineRule="auto" w:before="47"/>
        <w:ind w:left="100" w:right="127"/>
        <w:jc w:val="both"/>
      </w:pPr>
      <w:r>
        <w:rPr>
          <w:b/>
        </w:rPr>
        <w:t>Eco-indicador</w:t>
      </w:r>
      <w:r>
        <w:rPr/>
        <w:t>. Son valores que cuantifican el impacto ambiental. Se usan para comparar diferentes estrategias de diseño desde el punto de vista del impacto ambiental.</w:t>
      </w:r>
    </w:p>
    <w:p>
      <w:pPr>
        <w:pStyle w:val="BodyText"/>
        <w:spacing w:before="5"/>
        <w:rPr>
          <w:sz w:val="23"/>
        </w:rPr>
      </w:pPr>
    </w:p>
    <w:p>
      <w:pPr>
        <w:pStyle w:val="BodyText"/>
        <w:spacing w:line="242" w:lineRule="auto"/>
        <w:ind w:left="100" w:right="122"/>
        <w:jc w:val="both"/>
      </w:pPr>
      <w:r>
        <w:rPr>
          <w:b/>
        </w:rPr>
        <w:t>Evaluación del impacto del ciclo de vida. (EICV). </w:t>
      </w:r>
      <w:r>
        <w:rPr/>
        <w:t>Fase del análisis del ciclo de vida dirigida a conocer y evaluar la magnitud y cuán significativos son los impactos ambientales potenciales de un sistema del producto a través de todo el ciclo de vida del producto.</w:t>
      </w:r>
    </w:p>
    <w:p>
      <w:pPr>
        <w:pStyle w:val="BodyText"/>
        <w:spacing w:before="4"/>
        <w:rPr>
          <w:sz w:val="23"/>
        </w:rPr>
      </w:pPr>
    </w:p>
    <w:p>
      <w:pPr>
        <w:pStyle w:val="BodyText"/>
        <w:spacing w:line="242" w:lineRule="auto" w:before="1"/>
        <w:ind w:left="100" w:right="119"/>
        <w:jc w:val="both"/>
      </w:pPr>
      <w:r>
        <w:rPr>
          <w:b/>
        </w:rPr>
        <w:t>Fabricación Aditiva</w:t>
      </w:r>
      <w:r>
        <w:rPr/>
        <w:t>. (FA). Elaboración de componentes empleando procesos aditivos de prototipado rápido. También se le llama fabricación aditiva en capas, fabricación de formas sólidas libres o impresión 3D.</w:t>
      </w:r>
    </w:p>
    <w:p>
      <w:pPr>
        <w:pStyle w:val="BodyText"/>
        <w:spacing w:before="5"/>
        <w:rPr>
          <w:sz w:val="23"/>
        </w:rPr>
      </w:pPr>
    </w:p>
    <w:p>
      <w:pPr>
        <w:pStyle w:val="BodyText"/>
        <w:spacing w:line="242" w:lineRule="auto"/>
        <w:ind w:left="100" w:right="120"/>
        <w:jc w:val="both"/>
      </w:pPr>
      <w:r>
        <w:rPr>
          <w:b/>
        </w:rPr>
        <w:t>Fibra de Vidrio</w:t>
      </w:r>
      <w:r>
        <w:rPr/>
        <w:t>. (FV) Proceso de fabricación en cual  se utiliza el  filamento de fibra de vidrio al que se le aplica resina poliéster, para favorecer las propiedades mecánicas de ambos materiales.</w:t>
      </w:r>
    </w:p>
    <w:p>
      <w:pPr>
        <w:pStyle w:val="BodyText"/>
        <w:spacing w:before="4"/>
        <w:rPr>
          <w:sz w:val="23"/>
        </w:rPr>
      </w:pPr>
    </w:p>
    <w:p>
      <w:pPr>
        <w:pStyle w:val="BodyText"/>
        <w:spacing w:before="1"/>
        <w:ind w:left="100" w:right="125"/>
        <w:jc w:val="both"/>
      </w:pPr>
      <w:r>
        <w:rPr>
          <w:b/>
        </w:rPr>
        <w:t>Impresión 3D</w:t>
      </w:r>
      <w:r>
        <w:rPr/>
        <w:t>. Aunque el término se usa comúnmente para referirse a todos los sistemas de prototipado rápido y fabricación asistida, la impresión 3D es el nombre de un proceso específico en el cual los prototipos se cran con capas de yeso fino, almidón de maíz o polvo polimérico, ligados con el adhesivo líquido depositado en el polvo desde un cabezal de impresión de chorro de tinta. También los hay de polvos cerámicos y de metal.</w:t>
      </w:r>
    </w:p>
    <w:p>
      <w:pPr>
        <w:pStyle w:val="BodyText"/>
        <w:spacing w:before="7"/>
        <w:rPr>
          <w:sz w:val="23"/>
        </w:rPr>
      </w:pPr>
    </w:p>
    <w:p>
      <w:pPr>
        <w:pStyle w:val="BodyText"/>
        <w:ind w:left="100" w:right="118"/>
        <w:jc w:val="both"/>
      </w:pPr>
      <w:r>
        <w:rPr>
          <w:b/>
        </w:rPr>
        <w:t>Ingeniería inversa</w:t>
      </w:r>
      <w:r>
        <w:rPr/>
        <w:t>. Proceso de averiguar los principios tecnológicos de un dispositivo u objeto mediante el análisis de su estructura y funcionamiento, para duplicarlo o mejorarlo. Para digitalizar un modelo físico de un producto –con el fin de ayudar a la reconstrucción del objeto real como modelo virtual en un programa de modelado CAD- se emplean escáneres láser.</w:t>
      </w:r>
    </w:p>
    <w:p>
      <w:pPr>
        <w:pStyle w:val="BodyText"/>
        <w:spacing w:before="7"/>
        <w:rPr>
          <w:sz w:val="23"/>
        </w:rPr>
      </w:pPr>
    </w:p>
    <w:p>
      <w:pPr>
        <w:pStyle w:val="BodyText"/>
        <w:ind w:left="100" w:right="117"/>
        <w:jc w:val="both"/>
      </w:pPr>
      <w:r>
        <w:rPr>
          <w:b/>
        </w:rPr>
        <w:t>ISO. </w:t>
      </w:r>
      <w:r>
        <w:rPr/>
        <w:t>(</w:t>
      </w:r>
      <w:r>
        <w:rPr>
          <w:i/>
        </w:rPr>
        <w:t>International Organization for Standardization</w:t>
      </w:r>
      <w:r>
        <w:rPr/>
        <w:t>) Organización Internacional de Normalización. Dentro de las centenas de normas elaboradas por la ISO, para el área ambiental son la serie ISO-9000, de gestión de la calidad de productos y servicios, y la serie ISO-14000, de sistemas de gestión ambiental.</w:t>
      </w:r>
    </w:p>
    <w:p>
      <w:pPr>
        <w:pStyle w:val="BodyText"/>
      </w:pPr>
    </w:p>
    <w:p>
      <w:pPr>
        <w:pStyle w:val="BodyText"/>
        <w:spacing w:before="7"/>
        <w:rPr>
          <w:sz w:val="23"/>
        </w:rPr>
      </w:pPr>
    </w:p>
    <w:p>
      <w:pPr>
        <w:pStyle w:val="BodyText"/>
        <w:spacing w:before="1"/>
        <w:ind w:left="100" w:right="123"/>
        <w:jc w:val="both"/>
      </w:pPr>
      <w:r>
        <w:rPr>
          <w:b/>
        </w:rPr>
        <w:t>Malla poligonal</w:t>
      </w:r>
      <w:r>
        <w:rPr/>
        <w:t>. En los programas de modelado de malla poligonal, y en los modelos sólidos de programas CAD exportados como archivos STL, la malla poligonal está compuesta de polígonos triangulares o cuadrangulares (quads) conectados entre sí.</w:t>
      </w:r>
    </w:p>
    <w:p>
      <w:pPr>
        <w:pStyle w:val="BodyText"/>
        <w:spacing w:before="7"/>
        <w:rPr>
          <w:sz w:val="23"/>
        </w:rPr>
      </w:pPr>
    </w:p>
    <w:p>
      <w:pPr>
        <w:pStyle w:val="BodyText"/>
        <w:spacing w:line="242" w:lineRule="auto"/>
        <w:ind w:left="100" w:right="119"/>
        <w:jc w:val="both"/>
      </w:pPr>
      <w:r>
        <w:rPr>
          <w:b/>
        </w:rPr>
        <w:t>Matriz MET</w:t>
      </w:r>
      <w:r>
        <w:rPr/>
        <w:t>. (</w:t>
      </w:r>
      <w:r>
        <w:rPr>
          <w:i/>
        </w:rPr>
        <w:t>Materials, Energy and Toxic Emissions</w:t>
      </w:r>
      <w:r>
        <w:rPr/>
        <w:t>) Diagrama para el análisis  del impacto ambiental derivado del uso de materiales, energía y de emisiones tóxicas durante la producción, transporte, uso y desecho de productos y</w:t>
      </w:r>
      <w:r>
        <w:rPr>
          <w:spacing w:val="-41"/>
        </w:rPr>
        <w:t> </w:t>
      </w:r>
      <w:r>
        <w:rPr/>
        <w:t>servicios.</w:t>
      </w:r>
    </w:p>
    <w:p>
      <w:pPr>
        <w:pStyle w:val="BodyText"/>
        <w:spacing w:before="4"/>
        <w:rPr>
          <w:sz w:val="23"/>
        </w:rPr>
      </w:pPr>
    </w:p>
    <w:p>
      <w:pPr>
        <w:pStyle w:val="BodyText"/>
        <w:spacing w:line="242" w:lineRule="auto"/>
        <w:ind w:left="100" w:right="119"/>
        <w:jc w:val="both"/>
      </w:pPr>
      <w:r>
        <w:rPr>
          <w:b/>
        </w:rPr>
        <w:t>Mecanizado por descarga eléctrica</w:t>
      </w:r>
      <w:r>
        <w:rPr/>
        <w:t>. (EDM) Sistema muy preciso de prototipado y  fabricación,  similar  al  corte  con  hilo  caliente,  empleado  para  realizar</w:t>
      </w:r>
      <w:r>
        <w:rPr>
          <w:spacing w:val="6"/>
        </w:rPr>
        <w:t> </w:t>
      </w:r>
      <w:r>
        <w:rPr/>
        <w:t>cortes</w:t>
      </w:r>
    </w:p>
    <w:p>
      <w:pPr>
        <w:spacing w:after="0" w:line="242" w:lineRule="auto"/>
        <w:jc w:val="both"/>
        <w:sectPr>
          <w:pgSz w:w="12240" w:h="15840"/>
          <w:pgMar w:header="0" w:footer="1031" w:top="1360" w:bottom="1220" w:left="1600" w:right="1580"/>
        </w:sectPr>
      </w:pPr>
    </w:p>
    <w:p>
      <w:pPr>
        <w:pStyle w:val="BodyText"/>
        <w:spacing w:before="51"/>
        <w:ind w:left="100" w:right="117"/>
        <w:jc w:val="both"/>
      </w:pPr>
      <w:r>
        <w:rPr/>
        <w:t>profundos o de forma intricada empleando rápidas descargas eléctricas (chispas) creadas entre un hilo de cobre de alto voltaje con carga negativa y la pieza metálica a mecanizar, con carga positiva.</w:t>
      </w:r>
    </w:p>
    <w:p>
      <w:pPr>
        <w:pStyle w:val="BodyText"/>
        <w:spacing w:before="7"/>
        <w:rPr>
          <w:sz w:val="23"/>
        </w:rPr>
      </w:pPr>
    </w:p>
    <w:p>
      <w:pPr>
        <w:pStyle w:val="BodyText"/>
        <w:spacing w:line="242" w:lineRule="auto"/>
        <w:ind w:left="100" w:right="118"/>
        <w:jc w:val="both"/>
      </w:pPr>
      <w:r>
        <w:rPr>
          <w:b/>
        </w:rPr>
        <w:t>Método Df (X). </w:t>
      </w:r>
      <w:r>
        <w:rPr>
          <w:i/>
          <w:color w:val="393939"/>
        </w:rPr>
        <w:t>(</w:t>
      </w:r>
      <w:r>
        <w:rPr>
          <w:i/>
          <w:color w:val="1A1A18"/>
        </w:rPr>
        <w:t>Des</w:t>
      </w:r>
      <w:r>
        <w:rPr>
          <w:i/>
        </w:rPr>
        <w:t>i</w:t>
      </w:r>
      <w:r>
        <w:rPr>
          <w:i/>
          <w:color w:val="1A1A18"/>
        </w:rPr>
        <w:t>g</w:t>
      </w:r>
      <w:r>
        <w:rPr>
          <w:i/>
        </w:rPr>
        <w:t>n </w:t>
      </w:r>
      <w:r>
        <w:rPr>
          <w:i/>
          <w:color w:val="1A1A18"/>
        </w:rPr>
        <w:t>for </w:t>
      </w:r>
      <w:r>
        <w:rPr>
          <w:color w:val="1A1A18"/>
        </w:rPr>
        <w:t>x</w:t>
      </w:r>
      <w:r>
        <w:rPr>
          <w:color w:val="393939"/>
        </w:rPr>
        <w:t>) </w:t>
      </w:r>
      <w:r>
        <w:rPr/>
        <w:t>D</w:t>
      </w:r>
      <w:r>
        <w:rPr>
          <w:color w:val="1A1A18"/>
        </w:rPr>
        <w:t>ise</w:t>
      </w:r>
      <w:r>
        <w:rPr/>
        <w:t>ñ</w:t>
      </w:r>
      <w:r>
        <w:rPr>
          <w:color w:val="1A1A18"/>
        </w:rPr>
        <w:t>o </w:t>
      </w:r>
      <w:r>
        <w:rPr/>
        <w:t>p</w:t>
      </w:r>
      <w:r>
        <w:rPr>
          <w:color w:val="1A1A18"/>
        </w:rPr>
        <w:t>ar</w:t>
      </w:r>
      <w:r>
        <w:rPr/>
        <w:t>a </w:t>
      </w:r>
      <w:r>
        <w:rPr>
          <w:color w:val="1A1A18"/>
        </w:rPr>
        <w:t>x</w:t>
      </w:r>
      <w:r>
        <w:rPr/>
        <w:t>. </w:t>
      </w:r>
      <w:r>
        <w:rPr>
          <w:color w:val="1A1A18"/>
        </w:rPr>
        <w:t>Gr</w:t>
      </w:r>
      <w:r>
        <w:rPr/>
        <w:t>up</w:t>
      </w:r>
      <w:r>
        <w:rPr>
          <w:color w:val="1A1A18"/>
        </w:rPr>
        <w:t>o </w:t>
      </w:r>
      <w:r>
        <w:rPr/>
        <w:t>d</w:t>
      </w:r>
      <w:r>
        <w:rPr>
          <w:color w:val="1A1A18"/>
        </w:rPr>
        <w:t>e </w:t>
      </w:r>
      <w:r>
        <w:rPr/>
        <w:t>m</w:t>
      </w:r>
      <w:r>
        <w:rPr>
          <w:color w:val="1A1A18"/>
        </w:rPr>
        <w:t>e</w:t>
      </w:r>
      <w:r>
        <w:rPr/>
        <w:t>t</w:t>
      </w:r>
      <w:r>
        <w:rPr>
          <w:color w:val="1A1A18"/>
        </w:rPr>
        <w:t>o</w:t>
      </w:r>
      <w:r>
        <w:rPr/>
        <w:t>d</w:t>
      </w:r>
      <w:r>
        <w:rPr>
          <w:color w:val="1A1A18"/>
        </w:rPr>
        <w:t>ologías en </w:t>
      </w:r>
      <w:r>
        <w:rPr/>
        <w:t>q</w:t>
      </w:r>
      <w:r>
        <w:rPr>
          <w:color w:val="1A1A18"/>
        </w:rPr>
        <w:t>ue </w:t>
      </w:r>
      <w:r>
        <w:rPr>
          <w:color w:val="393939"/>
        </w:rPr>
        <w:t>x </w:t>
      </w:r>
      <w:r>
        <w:rPr/>
        <w:t>repre</w:t>
      </w:r>
      <w:r>
        <w:rPr>
          <w:color w:val="1A1A18"/>
        </w:rPr>
        <w:t>se</w:t>
      </w:r>
      <w:r>
        <w:rPr/>
        <w:t>nt</w:t>
      </w:r>
      <w:r>
        <w:rPr>
          <w:color w:val="1A1A18"/>
        </w:rPr>
        <w:t>a </w:t>
      </w:r>
      <w:r>
        <w:rPr/>
        <w:t>un</w:t>
      </w:r>
      <w:r>
        <w:rPr>
          <w:color w:val="1A1A18"/>
        </w:rPr>
        <w:t>a </w:t>
      </w:r>
      <w:r>
        <w:rPr/>
        <w:t>car</w:t>
      </w:r>
      <w:r>
        <w:rPr>
          <w:color w:val="1A1A18"/>
        </w:rPr>
        <w:t>a</w:t>
      </w:r>
      <w:r>
        <w:rPr/>
        <w:t>ct</w:t>
      </w:r>
      <w:r>
        <w:rPr>
          <w:color w:val="1A1A18"/>
        </w:rPr>
        <w:t>e</w:t>
      </w:r>
      <w:r>
        <w:rPr/>
        <w:t>r</w:t>
      </w:r>
      <w:r>
        <w:rPr>
          <w:color w:val="1A1A18"/>
        </w:rPr>
        <w:t>íst</w:t>
      </w:r>
      <w:r>
        <w:rPr/>
        <w:t>i</w:t>
      </w:r>
      <w:r>
        <w:rPr>
          <w:color w:val="1A1A18"/>
        </w:rPr>
        <w:t>ca </w:t>
      </w:r>
      <w:r>
        <w:rPr/>
        <w:t>p</w:t>
      </w:r>
      <w:r>
        <w:rPr>
          <w:color w:val="1A1A18"/>
        </w:rPr>
        <w:t>a</w:t>
      </w:r>
      <w:r>
        <w:rPr/>
        <w:t>rticul</w:t>
      </w:r>
      <w:r>
        <w:rPr>
          <w:color w:val="1A1A18"/>
        </w:rPr>
        <w:t>ar, ya sea </w:t>
      </w:r>
      <w:r>
        <w:rPr/>
        <w:t>t</w:t>
      </w:r>
      <w:r>
        <w:rPr>
          <w:color w:val="1A1A18"/>
        </w:rPr>
        <w:t>é</w:t>
      </w:r>
      <w:r>
        <w:rPr/>
        <w:t>cni</w:t>
      </w:r>
      <w:r>
        <w:rPr>
          <w:color w:val="1A1A18"/>
        </w:rPr>
        <w:t>ca, eco</w:t>
      </w:r>
      <w:r>
        <w:rPr/>
        <w:t>n</w:t>
      </w:r>
      <w:r>
        <w:rPr>
          <w:color w:val="1A1A18"/>
        </w:rPr>
        <w:t>ó</w:t>
      </w:r>
      <w:r>
        <w:rPr/>
        <w:t>mica </w:t>
      </w:r>
      <w:r>
        <w:rPr>
          <w:color w:val="1A1A18"/>
        </w:rPr>
        <w:t>o </w:t>
      </w:r>
      <w:r>
        <w:rPr/>
        <w:t>medi</w:t>
      </w:r>
      <w:r>
        <w:rPr>
          <w:color w:val="1A1A18"/>
        </w:rPr>
        <w:t>oa</w:t>
      </w:r>
      <w:r>
        <w:rPr/>
        <w:t>mb</w:t>
      </w:r>
      <w:r>
        <w:rPr>
          <w:color w:val="1A1A18"/>
        </w:rPr>
        <w:t>ie</w:t>
      </w:r>
      <w:r>
        <w:rPr/>
        <w:t>ntal.</w:t>
      </w:r>
    </w:p>
    <w:p>
      <w:pPr>
        <w:pStyle w:val="BodyText"/>
        <w:spacing w:before="4"/>
        <w:rPr>
          <w:sz w:val="23"/>
        </w:rPr>
      </w:pPr>
    </w:p>
    <w:p>
      <w:pPr>
        <w:pStyle w:val="BodyText"/>
        <w:spacing w:before="1"/>
        <w:ind w:left="100" w:right="119"/>
        <w:jc w:val="both"/>
      </w:pPr>
      <w:r>
        <w:rPr>
          <w:b/>
        </w:rPr>
        <w:t>Modelado por deposición fundente</w:t>
      </w:r>
      <w:r>
        <w:rPr/>
        <w:t>. (MDF) Sistema de RP, relativamente lento pero limpio, en el que se calienta un delgado filamento de polímero termoplástico por encima de su punto de fusión y se suministra a través de una pequeña boquilla que deposita el plástico semilíquido capa por capa en los lugares apropiados de la plataforma de construcción para crear la pieza.</w:t>
      </w:r>
    </w:p>
    <w:p>
      <w:pPr>
        <w:pStyle w:val="BodyText"/>
        <w:spacing w:before="7"/>
        <w:rPr>
          <w:sz w:val="23"/>
        </w:rPr>
      </w:pPr>
    </w:p>
    <w:p>
      <w:pPr>
        <w:pStyle w:val="BodyText"/>
        <w:spacing w:line="242" w:lineRule="auto" w:before="1"/>
        <w:ind w:left="100" w:right="128"/>
        <w:jc w:val="both"/>
      </w:pPr>
      <w:r>
        <w:rPr>
          <w:b/>
        </w:rPr>
        <w:t>Modelo sólido. </w:t>
      </w:r>
      <w:r>
        <w:rPr/>
        <w:t>Unión de varias superficies CAD para crear un modelo con grosor y volumen, también conocido como polisuperficie cerrada o modelo impermeable. Los modelos procesados con sistemas de PR aditivo deben ser sólidos.</w:t>
      </w:r>
    </w:p>
    <w:p>
      <w:pPr>
        <w:pStyle w:val="BodyText"/>
        <w:spacing w:before="5"/>
        <w:rPr>
          <w:sz w:val="23"/>
        </w:rPr>
      </w:pPr>
    </w:p>
    <w:p>
      <w:pPr>
        <w:pStyle w:val="BodyText"/>
        <w:spacing w:line="242" w:lineRule="auto"/>
        <w:ind w:left="100" w:right="124"/>
        <w:jc w:val="both"/>
      </w:pPr>
      <w:r>
        <w:rPr>
          <w:b/>
        </w:rPr>
        <w:t>Partículas ultrafinas. (UFP) </w:t>
      </w:r>
      <w:r>
        <w:rPr/>
        <w:t>Las partículas están calificadas por su diámetro. Las partículas ultrafinas son las mismas que las nanopartículas entre 1 y 100 nanómetros en tamaño.</w:t>
      </w:r>
    </w:p>
    <w:p>
      <w:pPr>
        <w:pStyle w:val="BodyText"/>
        <w:spacing w:before="4"/>
        <w:rPr>
          <w:sz w:val="23"/>
        </w:rPr>
      </w:pPr>
    </w:p>
    <w:p>
      <w:pPr>
        <w:pStyle w:val="BodyText"/>
        <w:spacing w:line="242" w:lineRule="auto" w:before="1"/>
        <w:ind w:left="100" w:right="125"/>
        <w:jc w:val="both"/>
      </w:pPr>
      <w:r>
        <w:rPr>
          <w:b/>
        </w:rPr>
        <w:t>Polígono. </w:t>
      </w:r>
      <w:r>
        <w:rPr/>
        <w:t>Superficie de tres o cuatro lados que, agrupadas, componen un elemento llamado malla poligonal.</w:t>
      </w:r>
    </w:p>
    <w:p>
      <w:pPr>
        <w:pStyle w:val="BodyText"/>
        <w:spacing w:before="4"/>
        <w:rPr>
          <w:sz w:val="23"/>
        </w:rPr>
      </w:pPr>
    </w:p>
    <w:p>
      <w:pPr>
        <w:pStyle w:val="BodyText"/>
        <w:spacing w:line="242" w:lineRule="auto" w:before="1"/>
        <w:ind w:left="100" w:right="126"/>
        <w:jc w:val="both"/>
      </w:pPr>
      <w:r>
        <w:rPr>
          <w:b/>
        </w:rPr>
        <w:t>Polímero. </w:t>
      </w:r>
      <w:r>
        <w:rPr/>
        <w:t>Compuesto natural o sintético también conocido como resina y más comúnmente como plástico. Los polímeros se producen por polimerización o se extraen de las plantas.</w:t>
      </w:r>
    </w:p>
    <w:p>
      <w:pPr>
        <w:pStyle w:val="BodyText"/>
        <w:spacing w:before="4"/>
        <w:rPr>
          <w:sz w:val="23"/>
        </w:rPr>
      </w:pPr>
    </w:p>
    <w:p>
      <w:pPr>
        <w:pStyle w:val="BodyText"/>
        <w:spacing w:line="242" w:lineRule="auto" w:before="1"/>
        <w:ind w:left="100" w:right="128"/>
        <w:jc w:val="both"/>
      </w:pPr>
      <w:r>
        <w:rPr>
          <w:b/>
        </w:rPr>
        <w:t>Post-procesado. </w:t>
      </w:r>
      <w:r>
        <w:rPr/>
        <w:t>Procesos de acabado que se realiza tras la fabricación de una pieza, a menudo para mejorar al acabado de superficie.</w:t>
      </w:r>
    </w:p>
    <w:p>
      <w:pPr>
        <w:pStyle w:val="BodyText"/>
        <w:spacing w:before="5"/>
        <w:rPr>
          <w:sz w:val="23"/>
        </w:rPr>
      </w:pPr>
    </w:p>
    <w:p>
      <w:pPr>
        <w:pStyle w:val="BodyText"/>
        <w:ind w:left="100" w:right="119"/>
        <w:jc w:val="both"/>
      </w:pPr>
      <w:r>
        <w:rPr>
          <w:b/>
        </w:rPr>
        <w:t>Prototipado rápido</w:t>
      </w:r>
      <w:r>
        <w:rPr/>
        <w:t>. </w:t>
      </w:r>
      <w:r>
        <w:rPr>
          <w:i/>
        </w:rPr>
        <w:t>Rapid Prototiping </w:t>
      </w:r>
      <w:r>
        <w:rPr>
          <w:color w:val="0E0D0D"/>
        </w:rPr>
        <w:t>(PR o </w:t>
      </w:r>
      <w:r>
        <w:rPr/>
        <w:t>RP, por </w:t>
      </w:r>
      <w:r>
        <w:rPr>
          <w:color w:val="0E0D0D"/>
        </w:rPr>
        <w:t>s</w:t>
      </w:r>
      <w:r>
        <w:rPr/>
        <w:t>u</w:t>
      </w:r>
      <w:r>
        <w:rPr>
          <w:color w:val="0E0D0D"/>
        </w:rPr>
        <w:t>s </w:t>
      </w:r>
      <w:r>
        <w:rPr/>
        <w:t>sigla</w:t>
      </w:r>
      <w:r>
        <w:rPr>
          <w:color w:val="0E0D0D"/>
        </w:rPr>
        <w:t>s e</w:t>
      </w:r>
      <w:r>
        <w:rPr/>
        <w:t>n inglés). Conjunto de procesos empleados para fabricar modelos y prototipos de productos a partir de datos procedentes de modelos CAD, El término PR se usa  comúnmente para referirse al uso de datos CAD 3D para crear prototipos 3D, pero también puede aludir procesos automatizados que emplean datos CAD 2D para elaborar prototipos con materiales laminados. Los procesos de PR pueden ser sustractivos, en los que el diseño se esculpe en una lámina o bloque de material, o aditivos, en los que el diseño se construye capa por</w:t>
      </w:r>
      <w:r>
        <w:rPr>
          <w:spacing w:val="-28"/>
        </w:rPr>
        <w:t> </w:t>
      </w:r>
      <w:r>
        <w:rPr/>
        <w:t>capa.</w:t>
      </w:r>
    </w:p>
    <w:p>
      <w:pPr>
        <w:pStyle w:val="BodyText"/>
        <w:spacing w:before="7"/>
        <w:rPr>
          <w:sz w:val="23"/>
        </w:rPr>
      </w:pPr>
    </w:p>
    <w:p>
      <w:pPr>
        <w:pStyle w:val="BodyText"/>
        <w:spacing w:line="242" w:lineRule="auto"/>
        <w:ind w:left="100" w:right="121"/>
        <w:jc w:val="both"/>
      </w:pPr>
      <w:r>
        <w:rPr>
          <w:b/>
        </w:rPr>
        <w:t>Renderizado</w:t>
      </w:r>
      <w:r>
        <w:rPr/>
        <w:t>. Proceso de creación de una imagen de un modelo CAD generalmente por ordenador. Los renderizados suelen incluir representaciones realistas de colores, materiales y acabados de superficie de los productos, y también pueden incluir escenas de fondo realistas.</w:t>
      </w:r>
    </w:p>
    <w:p>
      <w:pPr>
        <w:spacing w:after="0" w:line="242" w:lineRule="auto"/>
        <w:jc w:val="both"/>
        <w:sectPr>
          <w:pgSz w:w="12240" w:h="15840"/>
          <w:pgMar w:header="0" w:footer="1031" w:top="1360" w:bottom="1220" w:left="1600" w:right="1580"/>
        </w:sectPr>
      </w:pPr>
    </w:p>
    <w:p>
      <w:pPr>
        <w:spacing w:line="242" w:lineRule="auto" w:before="47"/>
        <w:ind w:left="100" w:right="123" w:firstLine="0"/>
        <w:jc w:val="both"/>
        <w:rPr>
          <w:sz w:val="24"/>
        </w:rPr>
      </w:pPr>
      <w:r>
        <w:rPr>
          <w:b/>
          <w:sz w:val="24"/>
        </w:rPr>
        <w:t>Superficie abierta. </w:t>
      </w:r>
      <w:r>
        <w:rPr>
          <w:sz w:val="24"/>
        </w:rPr>
        <w:t>Superficie CAD individual que no tiene grosor ni encierra un volumen.</w:t>
      </w:r>
    </w:p>
    <w:p>
      <w:pPr>
        <w:pStyle w:val="BodyText"/>
        <w:spacing w:before="5"/>
        <w:rPr>
          <w:sz w:val="23"/>
        </w:rPr>
      </w:pPr>
    </w:p>
    <w:p>
      <w:pPr>
        <w:pStyle w:val="BodyText"/>
        <w:spacing w:line="242" w:lineRule="auto"/>
        <w:ind w:left="100" w:right="124"/>
        <w:jc w:val="both"/>
      </w:pPr>
      <w:r>
        <w:rPr>
          <w:b/>
        </w:rPr>
        <w:t>Superficie cerrada</w:t>
      </w:r>
      <w:r>
        <w:rPr/>
        <w:t>. Superficie CAD unitaria que encierra un volumen por completo, dándole grosor y conviertiéndolo en un modelo sólido. En los programas de modelado NURBS la forma de las superficies cerradas puede ser manipulada empleando puntos de control situados en la superficie.</w:t>
      </w:r>
    </w:p>
    <w:p>
      <w:pPr>
        <w:pStyle w:val="BodyText"/>
        <w:spacing w:before="4"/>
        <w:rPr>
          <w:sz w:val="23"/>
        </w:rPr>
      </w:pPr>
    </w:p>
    <w:p>
      <w:pPr>
        <w:pStyle w:val="BodyText"/>
        <w:spacing w:before="1"/>
        <w:ind w:left="100" w:right="117"/>
        <w:jc w:val="both"/>
      </w:pPr>
      <w:r>
        <w:rPr>
          <w:b/>
        </w:rPr>
        <w:t>Sustentabilidad</w:t>
      </w:r>
      <w:r>
        <w:rPr/>
        <w:t>. Los principios y conceptos básicos son equilibrar una economía en crecimiento, la protección del medio ambiente y la responsabilidad social. El uso común del término en el contexto del ecologismo moderno comenzó con la publicación de la Comisión Mundial sobre el Medio Ambiente y el Desarrollo del informe de nuestro futuro común, en 1987. También conocido como reporte Brundtland, este documento caracterizó el desarrollo sostenible como "desarrollo que satisface las necesidades del presente </w:t>
      </w:r>
      <w:r>
        <w:rPr>
          <w:spacing w:val="2"/>
        </w:rPr>
        <w:t>sin </w:t>
      </w:r>
      <w:r>
        <w:rPr/>
        <w:t>comprometer la capacidad de las futuras generaciones para satisfacer sus propias necesidades". Este concepto de sostenibilidad engloba las ideas y los valores que animan a las organizaciones públicas y privadas a convertirse en mejores actores del medio ambiente </w:t>
      </w:r>
      <w:r>
        <w:rPr>
          <w:spacing w:val="-3"/>
        </w:rPr>
        <w:t>ya </w:t>
      </w:r>
      <w:r>
        <w:rPr/>
        <w:t>promover el crecimiento económico positivo y los objetivos sociales. Los principios de sostenibilidad pueden estimular la innovación tecnológica, avance de competitividad y mejorar nuestra calidad de</w:t>
      </w:r>
      <w:r>
        <w:rPr>
          <w:spacing w:val="44"/>
        </w:rPr>
        <w:t> </w:t>
      </w:r>
      <w:r>
        <w:rPr/>
        <w:t>vida.</w:t>
      </w:r>
    </w:p>
    <w:p>
      <w:pPr>
        <w:pStyle w:val="BodyText"/>
        <w:spacing w:before="7"/>
        <w:rPr>
          <w:sz w:val="23"/>
        </w:rPr>
      </w:pPr>
    </w:p>
    <w:p>
      <w:pPr>
        <w:pStyle w:val="BodyText"/>
        <w:ind w:left="100" w:right="125"/>
        <w:jc w:val="both"/>
      </w:pPr>
      <w:r>
        <w:rPr>
          <w:b/>
        </w:rPr>
        <w:t>Termoplástico</w:t>
      </w:r>
      <w:r>
        <w:rPr/>
        <w:t>. También llamado plástico termoablandable, es un polímero que se vuelve doblable o moldeable por encima de una temperatura específica y que vuelve al estado sólido al enfriarse. El termoplástico puede ser remodelado, a diferencia del plástico termoestable, que se cura mediante calor, por reacción química o por irradiación y no pude</w:t>
      </w:r>
      <w:r>
        <w:rPr>
          <w:spacing w:val="-27"/>
        </w:rPr>
        <w:t> </w:t>
      </w:r>
      <w:r>
        <w:rPr/>
        <w:t>remodelarse.</w:t>
      </w:r>
    </w:p>
    <w:p>
      <w:pPr>
        <w:spacing w:after="0"/>
        <w:jc w:val="both"/>
        <w:sectPr>
          <w:pgSz w:w="12240" w:h="15840"/>
          <w:pgMar w:header="0" w:footer="1031" w:top="1360" w:bottom="1220" w:left="1600" w:right="1580"/>
        </w:sectPr>
      </w:pPr>
    </w:p>
    <w:p>
      <w:pPr>
        <w:pStyle w:val="Heading2"/>
        <w:numPr>
          <w:ilvl w:val="1"/>
          <w:numId w:val="52"/>
        </w:numPr>
        <w:tabs>
          <w:tab w:pos="4270" w:val="left" w:leader="none"/>
        </w:tabs>
        <w:spacing w:line="240" w:lineRule="auto" w:before="49" w:after="8"/>
        <w:ind w:left="4270" w:right="0" w:hanging="432"/>
        <w:jc w:val="left"/>
      </w:pPr>
      <w:bookmarkStart w:name="9. Anexos" w:id="326"/>
      <w:bookmarkEnd w:id="326"/>
      <w:r>
        <w:rPr/>
      </w:r>
      <w:bookmarkStart w:name="_bookmark208" w:id="327"/>
      <w:bookmarkEnd w:id="327"/>
      <w:r>
        <w:rPr/>
      </w:r>
      <w:bookmarkStart w:name="_bookmark208" w:id="328"/>
      <w:bookmarkEnd w:id="328"/>
      <w:r>
        <w:rPr/>
        <w:t>A</w:t>
      </w:r>
      <w:r>
        <w:rPr/>
        <w:t>nexos</w:t>
      </w:r>
    </w:p>
    <w:p>
      <w:pPr>
        <w:pStyle w:val="BodyText"/>
        <w:ind w:left="101"/>
        <w:rPr>
          <w:sz w:val="20"/>
        </w:rPr>
      </w:pPr>
      <w:r>
        <w:rPr>
          <w:sz w:val="20"/>
        </w:rPr>
        <w:drawing>
          <wp:inline distT="0" distB="0" distL="0" distR="0">
            <wp:extent cx="5592518" cy="7905940"/>
            <wp:effectExtent l="0" t="0" r="0" b="0"/>
            <wp:docPr id="267" name="image138.jpeg" descr=""/>
            <wp:cNvGraphicFramePr>
              <a:graphicFrameLocks noChangeAspect="1"/>
            </wp:cNvGraphicFramePr>
            <a:graphic>
              <a:graphicData uri="http://schemas.openxmlformats.org/drawingml/2006/picture">
                <pic:pic>
                  <pic:nvPicPr>
                    <pic:cNvPr id="268" name="image138.jpeg"/>
                    <pic:cNvPicPr/>
                  </pic:nvPicPr>
                  <pic:blipFill>
                    <a:blip r:embed="rId239" cstate="print"/>
                    <a:stretch>
                      <a:fillRect/>
                    </a:stretch>
                  </pic:blipFill>
                  <pic:spPr>
                    <a:xfrm>
                      <a:off x="0" y="0"/>
                      <a:ext cx="5592518" cy="7905940"/>
                    </a:xfrm>
                    <a:prstGeom prst="rect">
                      <a:avLst/>
                    </a:prstGeom>
                  </pic:spPr>
                </pic:pic>
              </a:graphicData>
            </a:graphic>
          </wp:inline>
        </w:drawing>
      </w:r>
      <w:r>
        <w:rPr>
          <w:sz w:val="20"/>
        </w:rPr>
      </w:r>
    </w:p>
    <w:p>
      <w:pPr>
        <w:spacing w:after="0"/>
        <w:rPr>
          <w:sz w:val="20"/>
        </w:rPr>
        <w:sectPr>
          <w:pgSz w:w="12240" w:h="15840"/>
          <w:pgMar w:header="0" w:footer="1031" w:top="1360" w:bottom="1220" w:left="1600" w:right="1600"/>
        </w:sectPr>
      </w:pPr>
    </w:p>
    <w:p>
      <w:pPr>
        <w:pStyle w:val="BodyText"/>
        <w:spacing w:line="362" w:lineRule="auto" w:before="55"/>
        <w:ind w:left="4137" w:right="235" w:hanging="3694"/>
      </w:pPr>
      <w:r>
        <w:rPr/>
        <w:t>DESCRIPCIÓN DE LAS CATEGORÍAS DE IMPACTO E INDICADORES DE FLUJO</w:t>
      </w:r>
    </w:p>
    <w:p>
      <w:pPr>
        <w:pStyle w:val="BodyText"/>
        <w:spacing w:before="4"/>
        <w:rPr>
          <w:sz w:val="35"/>
        </w:rPr>
      </w:pPr>
    </w:p>
    <w:p>
      <w:pPr>
        <w:pStyle w:val="Heading3"/>
        <w:spacing w:before="1"/>
      </w:pPr>
      <w:r>
        <w:rPr/>
        <w:t>Agotamiento de recursos abióticos.</w:t>
      </w:r>
    </w:p>
    <w:p>
      <w:pPr>
        <w:pStyle w:val="BodyText"/>
        <w:spacing w:before="4"/>
        <w:ind w:left="100" w:right="121"/>
        <w:jc w:val="both"/>
      </w:pPr>
      <w:r>
        <w:rPr/>
        <w:t>El agotamiento de recursos abióticos se refiere al consumo de recursos no renovables del planeta (como los combustibles fósiles o los minerales) en relación con las reservas conocidas a nivel mundial de cada uno de ellos. La unidad de medida o indicador de impacto utilizada será el kg de antimonio (Sb) equivalente.</w:t>
      </w:r>
    </w:p>
    <w:p>
      <w:pPr>
        <w:pStyle w:val="BodyText"/>
        <w:spacing w:before="7"/>
        <w:rPr>
          <w:sz w:val="23"/>
        </w:rPr>
      </w:pPr>
    </w:p>
    <w:p>
      <w:pPr>
        <w:pStyle w:val="Heading3"/>
      </w:pPr>
      <w:r>
        <w:rPr/>
        <w:t>Potencial de Calentamiento global.</w:t>
      </w:r>
    </w:p>
    <w:p>
      <w:pPr>
        <w:pStyle w:val="BodyText"/>
        <w:spacing w:before="4"/>
        <w:ind w:left="100" w:right="116"/>
        <w:jc w:val="both"/>
      </w:pPr>
      <w:r>
        <w:rPr/>
        <w:t>El potencial de calentamiento global se refiere a la contribución potencial del sistema estudiado en el incremento de la temperatura media del planeta. Este efecto se produce como consecuencia del aumento de la concentración de gases poliatómicos (dióxido de carbono, metano, vapor de agua, óxido nitroso, etc.), que absorben buena parte de la radiación infrarroja que emite la superficie terrestre. De esta manera, el balance energético entre esta radiación y la emitida por el sol queda desequilibrado, con las consecuentes repercusiones sobre el</w:t>
      </w:r>
      <w:r>
        <w:rPr>
          <w:spacing w:val="-41"/>
        </w:rPr>
        <w:t> </w:t>
      </w:r>
      <w:r>
        <w:rPr/>
        <w:t>clima.</w:t>
      </w:r>
    </w:p>
    <w:p>
      <w:pPr>
        <w:pStyle w:val="BodyText"/>
        <w:spacing w:before="4"/>
      </w:pPr>
    </w:p>
    <w:p>
      <w:pPr>
        <w:pStyle w:val="BodyText"/>
        <w:spacing w:line="276" w:lineRule="exact"/>
        <w:ind w:left="100" w:right="118"/>
        <w:jc w:val="both"/>
        <w:rPr>
          <w:sz w:val="20"/>
        </w:rPr>
      </w:pPr>
      <w:r>
        <w:rPr/>
        <w:t>El indicador de impacto de esta categoría es el kg de dióxido de carbono (CO</w:t>
      </w:r>
      <w:r>
        <w:rPr>
          <w:position w:val="-2"/>
          <w:sz w:val="13"/>
        </w:rPr>
        <w:t>2</w:t>
      </w:r>
      <w:r>
        <w:rPr/>
        <w:t>) equivalente</w:t>
      </w:r>
      <w:r>
        <w:rPr>
          <w:sz w:val="20"/>
        </w:rPr>
        <w:t>.</w:t>
      </w:r>
    </w:p>
    <w:p>
      <w:pPr>
        <w:pStyle w:val="BodyText"/>
        <w:spacing w:before="3"/>
        <w:rPr>
          <w:sz w:val="23"/>
        </w:rPr>
      </w:pPr>
    </w:p>
    <w:p>
      <w:pPr>
        <w:pStyle w:val="Heading3"/>
      </w:pPr>
      <w:r>
        <w:rPr/>
        <w:t>Potencial de destrucción de la capa de ozono.</w:t>
      </w:r>
    </w:p>
    <w:p>
      <w:pPr>
        <w:pStyle w:val="BodyText"/>
        <w:spacing w:before="4"/>
        <w:ind w:left="100" w:right="116"/>
        <w:jc w:val="both"/>
      </w:pPr>
      <w:r>
        <w:rPr/>
        <w:t>El potencial de destrucción de la capa de ozono determinará la contribución potencial del sistema considerado a la disminución de la capa de ozono. Este efecto se produce, principalmente, por la presencia de compuestos halogenados en las capas altas de la atmósfera (estratosfera). Las sustancias que en mayor medida contribuyen a este efecto son los gases clorofluorocarbonados (CFC), los cuales contienen átomos de cloro y flúor, y los halones, utilizados como retardantes de llama. Ambos presentan una elevada estabilidad a la atmósfera, con lo que pueden llegar a la estratosfera y experimentar una fotólisis, liberando  de esta manera átomos de cloro, que intervienen en procesos catalíticos de destrucción del</w:t>
      </w:r>
      <w:r>
        <w:rPr>
          <w:spacing w:val="-12"/>
        </w:rPr>
        <w:t> </w:t>
      </w:r>
      <w:r>
        <w:rPr/>
        <w:t>ozono.</w:t>
      </w:r>
    </w:p>
    <w:p>
      <w:pPr>
        <w:pStyle w:val="BodyText"/>
      </w:pPr>
    </w:p>
    <w:p>
      <w:pPr>
        <w:pStyle w:val="BodyText"/>
        <w:ind w:left="100"/>
        <w:jc w:val="both"/>
        <w:rPr>
          <w:sz w:val="20"/>
        </w:rPr>
      </w:pPr>
      <w:r>
        <w:rPr/>
        <w:t>El indicador de impacto de esta categoría es el kg de CFC11 equivalente</w:t>
      </w:r>
      <w:r>
        <w:rPr>
          <w:sz w:val="20"/>
        </w:rPr>
        <w:t>.</w:t>
      </w:r>
    </w:p>
    <w:p>
      <w:pPr>
        <w:pStyle w:val="BodyText"/>
        <w:spacing w:before="7"/>
        <w:rPr>
          <w:sz w:val="23"/>
        </w:rPr>
      </w:pPr>
    </w:p>
    <w:p>
      <w:pPr>
        <w:pStyle w:val="Heading3"/>
      </w:pPr>
      <w:r>
        <w:rPr/>
        <w:t>Potencial de acidificación.</w:t>
      </w:r>
    </w:p>
    <w:p>
      <w:pPr>
        <w:pStyle w:val="BodyText"/>
        <w:spacing w:before="4"/>
        <w:ind w:left="100" w:right="118"/>
        <w:jc w:val="both"/>
      </w:pPr>
      <w:r>
        <w:rPr/>
        <w:t>El potencial de acidificación cuantifica la contribución potencial del sistema en la disminución del pH del medio (suelo o agua), como consecuencia de la emisión de sustancias ácidas (principalmente: compuestos del azufre, compuestos del nitrógeno, ácido clorhídrico, etc.). Esta acidificación conlleva graves consecuencias en el funcionamiento de los ecosistemas, como la pérdida de nutrientes del suelo o la movilización de sustancias</w:t>
      </w:r>
      <w:r>
        <w:rPr>
          <w:spacing w:val="-33"/>
        </w:rPr>
        <w:t> </w:t>
      </w:r>
      <w:r>
        <w:rPr/>
        <w:t>tóxicas.</w:t>
      </w:r>
    </w:p>
    <w:p>
      <w:pPr>
        <w:pStyle w:val="BodyText"/>
        <w:spacing w:before="11"/>
        <w:rPr>
          <w:sz w:val="23"/>
        </w:rPr>
      </w:pPr>
    </w:p>
    <w:p>
      <w:pPr>
        <w:pStyle w:val="BodyText"/>
        <w:spacing w:line="277" w:lineRule="exact"/>
        <w:ind w:left="100"/>
        <w:jc w:val="both"/>
        <w:rPr>
          <w:sz w:val="20"/>
        </w:rPr>
      </w:pPr>
      <w:r>
        <w:rPr/>
        <w:t>El indicador de impacto de esta categoría es el kg de SO</w:t>
      </w:r>
      <w:r>
        <w:rPr>
          <w:position w:val="-2"/>
          <w:sz w:val="13"/>
        </w:rPr>
        <w:t>2 </w:t>
      </w:r>
      <w:r>
        <w:rPr/>
        <w:t>equivalente</w:t>
      </w:r>
      <w:r>
        <w:rPr>
          <w:sz w:val="20"/>
        </w:rPr>
        <w:t>.</w:t>
      </w:r>
    </w:p>
    <w:p>
      <w:pPr>
        <w:pStyle w:val="Heading3"/>
        <w:spacing w:line="271" w:lineRule="exact"/>
      </w:pPr>
      <w:r>
        <w:rPr/>
        <w:t>Potencial de eutrofización.</w:t>
      </w:r>
    </w:p>
    <w:p>
      <w:pPr>
        <w:spacing w:after="0" w:line="271" w:lineRule="exact"/>
        <w:sectPr>
          <w:pgSz w:w="12240" w:h="15840"/>
          <w:pgMar w:header="0" w:footer="1031" w:top="1360" w:bottom="1220" w:left="1600" w:right="1580"/>
        </w:sectPr>
      </w:pPr>
    </w:p>
    <w:p>
      <w:pPr>
        <w:pStyle w:val="BodyText"/>
        <w:spacing w:before="51"/>
        <w:ind w:left="100" w:right="116"/>
        <w:jc w:val="both"/>
      </w:pPr>
      <w:r>
        <w:rPr/>
        <w:t>El potencial de eutrofización determina la contribución del sistema estudiado el crecimiento excesivo de materia orgánica en un medio. Este fenómeno se produce por una concentración excesiva de nutrientes en el medio acuático (lagos, ríos, etc.) que favorece el crecimiento rápido de algas. Estas forman una barrera que evita que la luz llegue a los organismos que habitan en las zonas </w:t>
      </w:r>
      <w:r>
        <w:rPr>
          <w:spacing w:val="-2"/>
        </w:rPr>
        <w:t>más </w:t>
      </w:r>
      <w:r>
        <w:rPr/>
        <w:t>profundas </w:t>
      </w:r>
      <w:r>
        <w:rPr>
          <w:spacing w:val="-3"/>
        </w:rPr>
        <w:t>y, </w:t>
      </w:r>
      <w:r>
        <w:rPr/>
        <w:t>por otra parte, su actividad metabólica agota los nutrientes del medio. Además, la descomposición de los tejidos vegetales de las algas muertas provoca rápidamente la disminución del oxígeno disponible. Esto favorece el desarrollo de procesos anóxicos que generan compuestos tóxicos para muchos organismos (como, por ejemplo, el ácido sulfhídrico, H</w:t>
      </w:r>
      <w:r>
        <w:rPr>
          <w:position w:val="-2"/>
          <w:sz w:val="13"/>
        </w:rPr>
        <w:t>2</w:t>
      </w:r>
      <w:r>
        <w:rPr/>
        <w:t>S). En el medio terrestre, la  acumulación excesiva de nutrientes favorece el desarrollo de especies  oportunistas en detrimento de las</w:t>
      </w:r>
      <w:r>
        <w:rPr>
          <w:spacing w:val="-24"/>
        </w:rPr>
        <w:t> </w:t>
      </w:r>
      <w:r>
        <w:rPr/>
        <w:t>preexistentes.</w:t>
      </w:r>
    </w:p>
    <w:p>
      <w:pPr>
        <w:pStyle w:val="BodyText"/>
      </w:pPr>
    </w:p>
    <w:p>
      <w:pPr>
        <w:pStyle w:val="BodyText"/>
        <w:ind w:left="100"/>
        <w:jc w:val="both"/>
        <w:rPr>
          <w:sz w:val="20"/>
        </w:rPr>
      </w:pPr>
      <w:r>
        <w:rPr/>
        <w:pict>
          <v:shape style="position:absolute;margin-left:391.730011pt;margin-top:.907753pt;width:3.7pt;height:6.6pt;mso-position-horizontal-relative:page;mso-position-vertical-relative:paragraph;z-index:-284440" type="#_x0000_t202" filled="false" stroked="false">
            <v:textbox inset="0,0,0,0">
              <w:txbxContent>
                <w:p>
                  <w:pPr>
                    <w:spacing w:line="132" w:lineRule="exact" w:before="0"/>
                    <w:ind w:left="0" w:right="0" w:firstLine="0"/>
                    <w:jc w:val="left"/>
                    <w:rPr>
                      <w:sz w:val="13"/>
                    </w:rPr>
                  </w:pPr>
                  <w:r>
                    <w:rPr>
                      <w:w w:val="101"/>
                      <w:sz w:val="13"/>
                    </w:rPr>
                    <w:t>3</w:t>
                  </w:r>
                </w:p>
              </w:txbxContent>
            </v:textbox>
            <w10:wrap type="none"/>
          </v:shape>
        </w:pict>
      </w:r>
      <w:r>
        <w:rPr/>
        <w:t>El indicador de impacto de esta categoría es el kg de PO</w:t>
      </w:r>
      <w:r>
        <w:rPr>
          <w:position w:val="-2"/>
          <w:sz w:val="13"/>
        </w:rPr>
        <w:t>4  </w:t>
      </w:r>
      <w:r>
        <w:rPr/>
        <w:t>equivalente</w:t>
      </w:r>
      <w:r>
        <w:rPr>
          <w:sz w:val="20"/>
        </w:rPr>
        <w:t>.</w:t>
      </w:r>
    </w:p>
    <w:p>
      <w:pPr>
        <w:pStyle w:val="BodyText"/>
        <w:rPr>
          <w:sz w:val="23"/>
        </w:rPr>
      </w:pPr>
    </w:p>
    <w:p>
      <w:pPr>
        <w:pStyle w:val="Heading3"/>
      </w:pPr>
      <w:r>
        <w:rPr/>
        <w:t>Toxicidad humana.</w:t>
      </w:r>
    </w:p>
    <w:p>
      <w:pPr>
        <w:pStyle w:val="BodyText"/>
        <w:spacing w:before="4"/>
        <w:ind w:left="100" w:right="121"/>
        <w:jc w:val="both"/>
      </w:pPr>
      <w:r>
        <w:rPr/>
        <w:t>La toxicidad humana viene dada por ciertas sustancias como partículas o materiales radiactivos que pueden generar graves enfermedades en la salud humana como pueden ser problemas respiratorios, alteraciones en la piel, diferentes tipos de cáncer, entre otros. Dentro de la toxicidad humana se puede distinguir entre las sustancias que tienen efectos crónicos, donde su efecto se manifiesta a largo plazo y, las que tienen efectos agudos, donde el efecto es directo.</w:t>
      </w:r>
    </w:p>
    <w:p>
      <w:pPr>
        <w:pStyle w:val="BodyText"/>
      </w:pPr>
    </w:p>
    <w:p>
      <w:pPr>
        <w:pStyle w:val="BodyText"/>
        <w:ind w:left="100" w:right="130"/>
        <w:jc w:val="both"/>
      </w:pPr>
      <w:r>
        <w:rPr/>
        <w:t>El indicador de impacto de esta categoría son Kg equivalentes de 1,4 Diclorobenceno.</w:t>
      </w:r>
    </w:p>
    <w:p>
      <w:pPr>
        <w:pStyle w:val="BodyText"/>
        <w:spacing w:before="8"/>
        <w:rPr>
          <w:sz w:val="23"/>
        </w:rPr>
      </w:pPr>
    </w:p>
    <w:p>
      <w:pPr>
        <w:pStyle w:val="Heading3"/>
      </w:pPr>
      <w:r>
        <w:rPr/>
        <w:t>Ecotoxicidad terrestre.</w:t>
      </w:r>
    </w:p>
    <w:p>
      <w:pPr>
        <w:pStyle w:val="BodyText"/>
        <w:spacing w:before="4"/>
        <w:ind w:left="100" w:right="122"/>
        <w:jc w:val="both"/>
      </w:pPr>
      <w:r>
        <w:rPr/>
        <w:t>La toxicidad terrestre viene dada por la absorción del suelo de ciertas sustancias como metales pesados, residuos, compuestos orgánicos e inorgánicos. Los principales efectos son la disminución de la calidad del suelo y la afectación paisajística.</w:t>
      </w:r>
    </w:p>
    <w:p>
      <w:pPr>
        <w:pStyle w:val="BodyText"/>
      </w:pPr>
    </w:p>
    <w:p>
      <w:pPr>
        <w:pStyle w:val="BodyText"/>
        <w:ind w:left="100" w:right="130"/>
        <w:jc w:val="both"/>
      </w:pPr>
      <w:r>
        <w:rPr/>
        <w:t>El indicador de impacto de esta categoría son Kg equivalentes de 1,4 Diclorobenceno.</w:t>
      </w:r>
    </w:p>
    <w:p>
      <w:pPr>
        <w:pStyle w:val="BodyText"/>
        <w:spacing w:before="7"/>
        <w:rPr>
          <w:sz w:val="23"/>
        </w:rPr>
      </w:pPr>
    </w:p>
    <w:p>
      <w:pPr>
        <w:pStyle w:val="Heading3"/>
      </w:pPr>
      <w:r>
        <w:rPr/>
        <w:t>Ecotoxicidad Acuática de los ríos.</w:t>
      </w:r>
    </w:p>
    <w:p>
      <w:pPr>
        <w:pStyle w:val="BodyText"/>
        <w:spacing w:before="4"/>
        <w:ind w:left="100" w:right="130"/>
        <w:jc w:val="both"/>
      </w:pPr>
      <w:r>
        <w:rPr/>
        <w:t>Disminución de la calidad del agua de los ríos comportando una alteración de los ecosistemas presentes en ellos, que viene dada por sustancias como pesticidas, metales pesados, etc.</w:t>
      </w:r>
    </w:p>
    <w:p>
      <w:pPr>
        <w:pStyle w:val="BodyText"/>
      </w:pPr>
    </w:p>
    <w:p>
      <w:pPr>
        <w:pStyle w:val="BodyText"/>
        <w:ind w:left="100" w:right="125"/>
        <w:jc w:val="both"/>
      </w:pPr>
      <w:r>
        <w:rPr/>
        <w:t>El indicador de impacto de esta categoría son Kg equivalentes de 1,4 Diclorobenceno.</w:t>
      </w:r>
    </w:p>
    <w:p>
      <w:pPr>
        <w:pStyle w:val="BodyText"/>
      </w:pPr>
    </w:p>
    <w:p>
      <w:pPr>
        <w:pStyle w:val="BodyText"/>
      </w:pPr>
    </w:p>
    <w:p>
      <w:pPr>
        <w:pStyle w:val="BodyText"/>
        <w:spacing w:before="7"/>
        <w:rPr>
          <w:sz w:val="23"/>
        </w:rPr>
      </w:pPr>
    </w:p>
    <w:p>
      <w:pPr>
        <w:pStyle w:val="Heading3"/>
      </w:pPr>
      <w:r>
        <w:rPr/>
        <w:t>Ecotoxicidad acuática del medio marino.</w:t>
      </w:r>
    </w:p>
    <w:p>
      <w:pPr>
        <w:spacing w:after="0"/>
        <w:sectPr>
          <w:pgSz w:w="12240" w:h="15840"/>
          <w:pgMar w:header="0" w:footer="1031" w:top="1360" w:bottom="1220" w:left="1600" w:right="1580"/>
        </w:sectPr>
      </w:pPr>
    </w:p>
    <w:p>
      <w:pPr>
        <w:pStyle w:val="BodyText"/>
        <w:spacing w:before="51"/>
        <w:ind w:left="100" w:right="105"/>
        <w:jc w:val="both"/>
      </w:pPr>
      <w:r>
        <w:rPr/>
        <w:t>Disminución de la calidad del agua del medio marino comportando una alteración de los ecosistemas presentes en ellos que viene dada por sustancias como pesticidas, metales pesados, etc.</w:t>
      </w:r>
    </w:p>
    <w:p>
      <w:pPr>
        <w:pStyle w:val="BodyText"/>
      </w:pPr>
    </w:p>
    <w:p>
      <w:pPr>
        <w:pStyle w:val="BodyText"/>
        <w:ind w:left="100" w:right="110"/>
        <w:jc w:val="both"/>
      </w:pPr>
      <w:r>
        <w:rPr/>
        <w:t>El indicador de impacto de esta categoría son Kg equivalentes de 1,4 Diclorobenceno.</w:t>
      </w:r>
    </w:p>
    <w:p>
      <w:pPr>
        <w:pStyle w:val="BodyText"/>
        <w:spacing w:before="7"/>
        <w:rPr>
          <w:sz w:val="23"/>
        </w:rPr>
      </w:pPr>
    </w:p>
    <w:p>
      <w:pPr>
        <w:pStyle w:val="Heading3"/>
      </w:pPr>
      <w:r>
        <w:rPr/>
        <w:t>Potencial de oxidación fotoquímica.</w:t>
      </w:r>
    </w:p>
    <w:p>
      <w:pPr>
        <w:pStyle w:val="BodyText"/>
        <w:spacing w:before="4"/>
        <w:ind w:left="100" w:right="102"/>
        <w:jc w:val="both"/>
      </w:pPr>
      <w:r>
        <w:rPr/>
        <w:t>El potencial de oxidación fotoquímica indica la capacidad potencial de una sustancia orgánica para producir ozono. Se han publicado valores para un amplio abanico de sustancias orgánicas volátiles. Para el eteno, se ha fijado un valor    de</w:t>
      </w:r>
    </w:p>
    <w:p>
      <w:pPr>
        <w:pStyle w:val="BodyText"/>
        <w:ind w:left="100" w:right="104"/>
        <w:jc w:val="both"/>
      </w:pPr>
      <w:r>
        <w:rPr/>
        <w:t>1. Los valores para la mayor parte de sustancias son menores. La oxidación fotoquímica es uno de los procesos contribuyentes a la lluvia ácida ya la creación del smog.</w:t>
      </w:r>
    </w:p>
    <w:p>
      <w:pPr>
        <w:pStyle w:val="BodyText"/>
        <w:spacing w:before="11"/>
        <w:rPr>
          <w:sz w:val="23"/>
        </w:rPr>
      </w:pPr>
    </w:p>
    <w:p>
      <w:pPr>
        <w:pStyle w:val="BodyText"/>
        <w:ind w:left="100"/>
        <w:jc w:val="both"/>
      </w:pPr>
      <w:r>
        <w:rPr/>
        <w:t>El indicador de impacto de esta categoría son Kg equivalentes de eteno (C</w:t>
      </w:r>
      <w:r>
        <w:rPr>
          <w:position w:val="-2"/>
          <w:sz w:val="13"/>
        </w:rPr>
        <w:t>2</w:t>
      </w:r>
      <w:r>
        <w:rPr/>
        <w:t>H</w:t>
      </w:r>
      <w:r>
        <w:rPr>
          <w:position w:val="-2"/>
          <w:sz w:val="13"/>
        </w:rPr>
        <w:t>4</w:t>
      </w:r>
      <w:r>
        <w:rPr/>
        <w:t>).</w:t>
      </w:r>
    </w:p>
    <w:p>
      <w:pPr>
        <w:spacing w:after="0"/>
        <w:jc w:val="both"/>
        <w:sectPr>
          <w:pgSz w:w="12240" w:h="15840"/>
          <w:pgMar w:header="0" w:footer="1031" w:top="1360" w:bottom="1220" w:left="1600" w:right="1600"/>
        </w:sectPr>
      </w:pPr>
    </w:p>
    <w:p>
      <w:pPr>
        <w:pStyle w:val="BodyText"/>
        <w:ind w:left="101"/>
        <w:rPr>
          <w:sz w:val="20"/>
        </w:rPr>
      </w:pPr>
      <w:r>
        <w:rPr>
          <w:sz w:val="20"/>
        </w:rPr>
        <w:drawing>
          <wp:inline distT="0" distB="0" distL="0" distR="0">
            <wp:extent cx="5529275" cy="7155275"/>
            <wp:effectExtent l="0" t="0" r="0" b="0"/>
            <wp:docPr id="269" name="image139.jpeg" descr=""/>
            <wp:cNvGraphicFramePr>
              <a:graphicFrameLocks noChangeAspect="1"/>
            </wp:cNvGraphicFramePr>
            <a:graphic>
              <a:graphicData uri="http://schemas.openxmlformats.org/drawingml/2006/picture">
                <pic:pic>
                  <pic:nvPicPr>
                    <pic:cNvPr id="270" name="image139.jpeg"/>
                    <pic:cNvPicPr/>
                  </pic:nvPicPr>
                  <pic:blipFill>
                    <a:blip r:embed="rId240" cstate="print"/>
                    <a:stretch>
                      <a:fillRect/>
                    </a:stretch>
                  </pic:blipFill>
                  <pic:spPr>
                    <a:xfrm>
                      <a:off x="0" y="0"/>
                      <a:ext cx="5529275" cy="7155275"/>
                    </a:xfrm>
                    <a:prstGeom prst="rect">
                      <a:avLst/>
                    </a:prstGeom>
                  </pic:spPr>
                </pic:pic>
              </a:graphicData>
            </a:graphic>
          </wp:inline>
        </w:drawing>
      </w:r>
      <w:r>
        <w:rPr>
          <w:sz w:val="20"/>
        </w:rPr>
      </w:r>
    </w:p>
    <w:p>
      <w:pPr>
        <w:spacing w:after="0"/>
        <w:rPr>
          <w:sz w:val="20"/>
        </w:rPr>
        <w:sectPr>
          <w:pgSz w:w="12240" w:h="15840"/>
          <w:pgMar w:header="0" w:footer="1031" w:top="1420" w:bottom="1160" w:left="1600" w:right="1600"/>
        </w:sectPr>
      </w:pPr>
    </w:p>
    <w:p>
      <w:pPr>
        <w:pStyle w:val="BodyText"/>
        <w:ind w:left="101"/>
        <w:rPr>
          <w:sz w:val="20"/>
        </w:rPr>
      </w:pPr>
      <w:r>
        <w:rPr>
          <w:sz w:val="20"/>
        </w:rPr>
        <w:drawing>
          <wp:inline distT="0" distB="0" distL="0" distR="0">
            <wp:extent cx="5529275" cy="7155275"/>
            <wp:effectExtent l="0" t="0" r="0" b="0"/>
            <wp:docPr id="271" name="image140.jpeg" descr=""/>
            <wp:cNvGraphicFramePr>
              <a:graphicFrameLocks noChangeAspect="1"/>
            </wp:cNvGraphicFramePr>
            <a:graphic>
              <a:graphicData uri="http://schemas.openxmlformats.org/drawingml/2006/picture">
                <pic:pic>
                  <pic:nvPicPr>
                    <pic:cNvPr id="272" name="image140.jpeg"/>
                    <pic:cNvPicPr/>
                  </pic:nvPicPr>
                  <pic:blipFill>
                    <a:blip r:embed="rId241" cstate="print"/>
                    <a:stretch>
                      <a:fillRect/>
                    </a:stretch>
                  </pic:blipFill>
                  <pic:spPr>
                    <a:xfrm>
                      <a:off x="0" y="0"/>
                      <a:ext cx="5529275" cy="7155275"/>
                    </a:xfrm>
                    <a:prstGeom prst="rect">
                      <a:avLst/>
                    </a:prstGeom>
                  </pic:spPr>
                </pic:pic>
              </a:graphicData>
            </a:graphic>
          </wp:inline>
        </w:drawing>
      </w:r>
      <w:r>
        <w:rPr>
          <w:sz w:val="20"/>
        </w:rPr>
      </w:r>
    </w:p>
    <w:p>
      <w:pPr>
        <w:spacing w:after="0"/>
        <w:rPr>
          <w:sz w:val="20"/>
        </w:rPr>
        <w:sectPr>
          <w:pgSz w:w="12240" w:h="15840"/>
          <w:pgMar w:header="0" w:footer="1031" w:top="1420" w:bottom="1160" w:left="1600" w:right="1600"/>
        </w:sectPr>
      </w:pPr>
    </w:p>
    <w:p>
      <w:pPr>
        <w:spacing w:before="51"/>
        <w:ind w:left="1013" w:right="1029" w:firstLine="0"/>
        <w:jc w:val="center"/>
        <w:rPr>
          <w:sz w:val="18"/>
        </w:rPr>
      </w:pPr>
      <w:bookmarkStart w:name="Índice de Figuras" w:id="329"/>
      <w:bookmarkEnd w:id="329"/>
      <w:r>
        <w:rPr/>
      </w:r>
      <w:bookmarkStart w:name="_bookmark209" w:id="330"/>
      <w:bookmarkEnd w:id="330"/>
      <w:r>
        <w:rPr/>
      </w:r>
      <w:r>
        <w:rPr>
          <w:sz w:val="18"/>
        </w:rPr>
        <w:t>Índice de Figuras</w:t>
      </w:r>
    </w:p>
    <w:p>
      <w:pPr>
        <w:tabs>
          <w:tab w:pos="8931" w:val="right" w:leader="dot"/>
        </w:tabs>
        <w:spacing w:before="521"/>
        <w:ind w:left="100" w:right="0" w:firstLine="0"/>
        <w:jc w:val="both"/>
        <w:rPr>
          <w:sz w:val="18"/>
        </w:rPr>
      </w:pPr>
      <w:r>
        <w:rPr>
          <w:sz w:val="18"/>
        </w:rPr>
        <w:t>Figura 1.1. Dibujo</w:t>
      </w:r>
      <w:r>
        <w:rPr>
          <w:spacing w:val="4"/>
          <w:sz w:val="18"/>
        </w:rPr>
        <w:t> </w:t>
      </w:r>
      <w:r>
        <w:rPr>
          <w:sz w:val="18"/>
        </w:rPr>
        <w:t>en</w:t>
      </w:r>
      <w:r>
        <w:rPr>
          <w:spacing w:val="-4"/>
          <w:sz w:val="18"/>
        </w:rPr>
        <w:t> </w:t>
      </w:r>
      <w:r>
        <w:rPr>
          <w:sz w:val="18"/>
        </w:rPr>
        <w:t>Rihnoceros</w:t>
        <w:tab/>
        <w:t>21</w:t>
      </w:r>
    </w:p>
    <w:p>
      <w:pPr>
        <w:tabs>
          <w:tab w:pos="8931" w:val="right" w:leader="dot"/>
        </w:tabs>
        <w:spacing w:line="362" w:lineRule="auto" w:before="101"/>
        <w:ind w:left="100" w:right="115" w:firstLine="0"/>
        <w:jc w:val="both"/>
        <w:rPr>
          <w:sz w:val="18"/>
        </w:rPr>
      </w:pPr>
      <w:r>
        <w:rPr>
          <w:sz w:val="18"/>
        </w:rPr>
        <w:t>Figura 1.2. Walter de María, The Lightning Field (Campo de relámpagos), 1974-1977, Quemado, Nuevo México.  (Fuente: Matía et al.,</w:t>
      </w:r>
      <w:r>
        <w:rPr>
          <w:spacing w:val="2"/>
          <w:sz w:val="18"/>
        </w:rPr>
        <w:t> </w:t>
      </w:r>
      <w:r>
        <w:rPr>
          <w:sz w:val="18"/>
        </w:rPr>
        <w:t>2006:</w:t>
      </w:r>
      <w:r>
        <w:rPr>
          <w:spacing w:val="2"/>
          <w:sz w:val="18"/>
        </w:rPr>
        <w:t> </w:t>
      </w:r>
      <w:r>
        <w:rPr>
          <w:sz w:val="18"/>
        </w:rPr>
        <w:t>187)</w:t>
        <w:tab/>
        <w:t>22</w:t>
      </w:r>
    </w:p>
    <w:p>
      <w:pPr>
        <w:tabs>
          <w:tab w:pos="8931" w:val="right" w:leader="dot"/>
        </w:tabs>
        <w:spacing w:line="362" w:lineRule="auto" w:before="0"/>
        <w:ind w:left="100" w:right="119" w:firstLine="0"/>
        <w:jc w:val="both"/>
        <w:rPr>
          <w:sz w:val="18"/>
        </w:rPr>
      </w:pPr>
      <w:r>
        <w:rPr>
          <w:sz w:val="18"/>
        </w:rPr>
        <w:t>Figura 1.3. Cornelia Parker, Cold Dark Matter, 1991. Escultura realizada con fragmentos resultantes de una explosión controlada de una cabaña junto a Banbury.  (Fuente: Matía et al.,</w:t>
      </w:r>
      <w:r>
        <w:rPr>
          <w:spacing w:val="-5"/>
          <w:sz w:val="18"/>
        </w:rPr>
        <w:t> </w:t>
      </w:r>
      <w:r>
        <w:rPr>
          <w:sz w:val="18"/>
        </w:rPr>
        <w:t>2006:</w:t>
      </w:r>
      <w:r>
        <w:rPr>
          <w:spacing w:val="2"/>
          <w:sz w:val="18"/>
        </w:rPr>
        <w:t> </w:t>
      </w:r>
      <w:r>
        <w:rPr>
          <w:sz w:val="18"/>
        </w:rPr>
        <w:t>10)</w:t>
        <w:tab/>
        <w:t>23</w:t>
      </w:r>
    </w:p>
    <w:p>
      <w:pPr>
        <w:tabs>
          <w:tab w:pos="8931" w:val="right" w:leader="dot"/>
        </w:tabs>
        <w:spacing w:before="2"/>
        <w:ind w:left="100" w:right="0" w:firstLine="0"/>
        <w:jc w:val="both"/>
        <w:rPr>
          <w:sz w:val="18"/>
        </w:rPr>
      </w:pPr>
      <w:r>
        <w:rPr>
          <w:sz w:val="18"/>
        </w:rPr>
        <w:t>Figura 1.4.Metodología</w:t>
      </w:r>
      <w:r>
        <w:rPr>
          <w:spacing w:val="-3"/>
          <w:sz w:val="18"/>
        </w:rPr>
        <w:t> </w:t>
      </w:r>
      <w:r>
        <w:rPr>
          <w:sz w:val="18"/>
        </w:rPr>
        <w:t>de proyecto</w:t>
        <w:tab/>
        <w:t>27</w:t>
      </w:r>
    </w:p>
    <w:p>
      <w:pPr>
        <w:tabs>
          <w:tab w:pos="8931" w:val="right" w:leader="dot"/>
        </w:tabs>
        <w:spacing w:line="367" w:lineRule="auto" w:before="97"/>
        <w:ind w:left="100" w:right="115" w:firstLine="0"/>
        <w:jc w:val="both"/>
        <w:rPr>
          <w:sz w:val="18"/>
        </w:rPr>
      </w:pPr>
      <w:r>
        <w:rPr>
          <w:sz w:val="18"/>
        </w:rPr>
        <w:t>Figura 2.1. Ejemplos de Splines y de superficie NURBS (</w:t>
      </w:r>
      <w:r>
        <w:rPr>
          <w:i/>
          <w:sz w:val="18"/>
        </w:rPr>
        <w:t>non-uniform rational basis spline</w:t>
      </w:r>
      <w:r>
        <w:rPr>
          <w:sz w:val="18"/>
        </w:rPr>
        <w:t>) controlada por puntos de control. (Fuente: Bryden, 2014:</w:t>
      </w:r>
      <w:r>
        <w:rPr>
          <w:spacing w:val="2"/>
          <w:sz w:val="18"/>
        </w:rPr>
        <w:t> </w:t>
      </w:r>
      <w:r>
        <w:rPr>
          <w:sz w:val="18"/>
        </w:rPr>
        <w:t>12).</w:t>
        <w:tab/>
        <w:t>33</w:t>
      </w:r>
    </w:p>
    <w:p>
      <w:pPr>
        <w:spacing w:line="357" w:lineRule="auto" w:before="0"/>
        <w:ind w:left="100" w:right="125" w:firstLine="0"/>
        <w:jc w:val="both"/>
        <w:rPr>
          <w:sz w:val="18"/>
        </w:rPr>
      </w:pPr>
      <w:r>
        <w:rPr>
          <w:sz w:val="18"/>
        </w:rPr>
        <w:t>Figura 2.2. Modelo de malla poligonal de unas gafas deportivas sin patillas, diseñadas para pegarse a las sienes del usuario del Concurso Internacional de Diseño Charmant 2006. (Fuente: Bryden, 2014: 12).          33</w:t>
      </w:r>
    </w:p>
    <w:p>
      <w:pPr>
        <w:tabs>
          <w:tab w:pos="8931" w:val="right" w:leader="dot"/>
        </w:tabs>
        <w:spacing w:before="6"/>
        <w:ind w:left="100" w:right="0" w:firstLine="0"/>
        <w:jc w:val="both"/>
        <w:rPr>
          <w:sz w:val="18"/>
        </w:rPr>
      </w:pPr>
      <w:r>
        <w:rPr>
          <w:sz w:val="18"/>
        </w:rPr>
        <w:t>Figura 2.3. Ejemplo de modelo de sólidos. (Fuente: Bryden,</w:t>
      </w:r>
      <w:r>
        <w:rPr>
          <w:spacing w:val="-2"/>
          <w:sz w:val="18"/>
        </w:rPr>
        <w:t> </w:t>
      </w:r>
      <w:r>
        <w:rPr>
          <w:sz w:val="18"/>
        </w:rPr>
        <w:t>2014:</w:t>
      </w:r>
      <w:r>
        <w:rPr>
          <w:spacing w:val="2"/>
          <w:sz w:val="18"/>
        </w:rPr>
        <w:t> </w:t>
      </w:r>
      <w:r>
        <w:rPr>
          <w:sz w:val="18"/>
        </w:rPr>
        <w:t>14).</w:t>
        <w:tab/>
        <w:t>34</w:t>
      </w:r>
    </w:p>
    <w:p>
      <w:pPr>
        <w:tabs>
          <w:tab w:pos="8931" w:val="right" w:leader="dot"/>
        </w:tabs>
        <w:spacing w:line="362" w:lineRule="auto" w:before="101"/>
        <w:ind w:left="100" w:right="122" w:firstLine="0"/>
        <w:jc w:val="both"/>
        <w:rPr>
          <w:sz w:val="18"/>
        </w:rPr>
      </w:pPr>
      <w:r>
        <w:rPr>
          <w:sz w:val="18"/>
        </w:rPr>
        <w:t>Figura 2.4. Renderizados de gran realismo de </w:t>
      </w:r>
      <w:r>
        <w:rPr>
          <w:spacing w:val="-3"/>
          <w:sz w:val="18"/>
        </w:rPr>
        <w:t>un </w:t>
      </w:r>
      <w:r>
        <w:rPr>
          <w:sz w:val="18"/>
        </w:rPr>
        <w:t>modelo CAD de una máquina de afeitar eléctrica. Cada renderizado emplea distintos ajustes del fondo y del objeto de la cámara. (Fuente: Bryden,</w:t>
      </w:r>
      <w:r>
        <w:rPr>
          <w:spacing w:val="-12"/>
          <w:sz w:val="18"/>
        </w:rPr>
        <w:t> </w:t>
      </w:r>
      <w:r>
        <w:rPr>
          <w:sz w:val="18"/>
        </w:rPr>
        <w:t>2014:</w:t>
      </w:r>
      <w:r>
        <w:rPr>
          <w:spacing w:val="1"/>
          <w:sz w:val="18"/>
        </w:rPr>
        <w:t> </w:t>
      </w:r>
      <w:r>
        <w:rPr>
          <w:sz w:val="18"/>
        </w:rPr>
        <w:t>41)</w:t>
        <w:tab/>
        <w:t>45</w:t>
      </w:r>
    </w:p>
    <w:p>
      <w:pPr>
        <w:tabs>
          <w:tab w:pos="8931" w:val="right" w:leader="dot"/>
        </w:tabs>
        <w:spacing w:line="360" w:lineRule="auto" w:before="2"/>
        <w:ind w:left="100" w:right="118" w:firstLine="0"/>
        <w:jc w:val="both"/>
        <w:rPr>
          <w:sz w:val="18"/>
        </w:rPr>
      </w:pPr>
      <w:r>
        <w:rPr>
          <w:sz w:val="18"/>
        </w:rPr>
        <w:t>Figura 2.5. Anthrosphere, diámetro 12", bronce acero inoxidable, 2008. (Fuente: </w:t>
      </w:r>
      <w:hyperlink r:id="rId20">
        <w:r>
          <w:rPr>
            <w:sz w:val="18"/>
          </w:rPr>
          <w:t>http://gallery.bridgesmathart.org/exhibitions/2012-bridges-conference/wduffy,</w:t>
        </w:r>
      </w:hyperlink>
      <w:r>
        <w:rPr>
          <w:sz w:val="18"/>
        </w:rPr>
        <w:t> consultado el 26 de junio de 2013).</w:t>
        <w:tab/>
        <w:t>45</w:t>
      </w:r>
    </w:p>
    <w:p>
      <w:pPr>
        <w:tabs>
          <w:tab w:pos="8931" w:val="right" w:leader="dot"/>
        </w:tabs>
        <w:spacing w:before="5"/>
        <w:ind w:left="100" w:right="0" w:firstLine="0"/>
        <w:jc w:val="both"/>
        <w:rPr>
          <w:sz w:val="18"/>
        </w:rPr>
      </w:pPr>
      <w:r>
        <w:rPr>
          <w:sz w:val="18"/>
        </w:rPr>
        <w:t>Figura 2.6. Proceso aditivo capa por capa. (Fuente: Noorani,</w:t>
      </w:r>
      <w:r>
        <w:rPr>
          <w:spacing w:val="1"/>
          <w:sz w:val="18"/>
        </w:rPr>
        <w:t> </w:t>
      </w:r>
      <w:r>
        <w:rPr>
          <w:sz w:val="18"/>
        </w:rPr>
        <w:t>2006:</w:t>
      </w:r>
      <w:r>
        <w:rPr>
          <w:spacing w:val="2"/>
          <w:sz w:val="18"/>
        </w:rPr>
        <w:t> </w:t>
      </w:r>
      <w:r>
        <w:rPr>
          <w:sz w:val="18"/>
        </w:rPr>
        <w:t>35)</w:t>
        <w:tab/>
        <w:t>49</w:t>
      </w:r>
    </w:p>
    <w:p>
      <w:pPr>
        <w:tabs>
          <w:tab w:pos="8931" w:val="right" w:leader="dot"/>
        </w:tabs>
        <w:spacing w:before="101"/>
        <w:ind w:left="100" w:right="0" w:firstLine="0"/>
        <w:jc w:val="both"/>
        <w:rPr>
          <w:sz w:val="18"/>
        </w:rPr>
      </w:pPr>
      <w:r>
        <w:rPr>
          <w:sz w:val="18"/>
        </w:rPr>
        <w:t>Figura 2.7. Evolución histórica de la tecnología. (Fuente: Noorani,</w:t>
      </w:r>
      <w:r>
        <w:rPr>
          <w:spacing w:val="-5"/>
          <w:sz w:val="18"/>
        </w:rPr>
        <w:t> </w:t>
      </w:r>
      <w:r>
        <w:rPr>
          <w:sz w:val="18"/>
        </w:rPr>
        <w:t>2006:</w:t>
      </w:r>
      <w:r>
        <w:rPr>
          <w:spacing w:val="-2"/>
          <w:sz w:val="18"/>
        </w:rPr>
        <w:t> </w:t>
      </w:r>
      <w:r>
        <w:rPr>
          <w:sz w:val="18"/>
        </w:rPr>
        <w:t>9).</w:t>
        <w:tab/>
        <w:t>51</w:t>
      </w:r>
    </w:p>
    <w:p>
      <w:pPr>
        <w:tabs>
          <w:tab w:pos="8931" w:val="right" w:leader="dot"/>
        </w:tabs>
        <w:spacing w:line="357" w:lineRule="auto" w:before="105"/>
        <w:ind w:left="100" w:right="117" w:firstLine="0"/>
        <w:jc w:val="both"/>
        <w:rPr>
          <w:sz w:val="18"/>
        </w:rPr>
      </w:pPr>
      <w:r>
        <w:rPr>
          <w:sz w:val="18"/>
        </w:rPr>
        <w:t>Figura 2.8. Proceso SLA, procesando una pieza. (Fuente: </w:t>
      </w:r>
      <w:hyperlink r:id="rId41">
        <w:r>
          <w:rPr>
            <w:sz w:val="18"/>
          </w:rPr>
          <w:t>http://www.custompartnet.com/,</w:t>
        </w:r>
      </w:hyperlink>
      <w:r>
        <w:rPr>
          <w:sz w:val="18"/>
        </w:rPr>
        <w:t> consultado el 10 </w:t>
      </w:r>
      <w:r>
        <w:rPr>
          <w:spacing w:val="-3"/>
          <w:sz w:val="18"/>
        </w:rPr>
        <w:t>de </w:t>
      </w:r>
      <w:r>
        <w:rPr>
          <w:sz w:val="18"/>
        </w:rPr>
        <w:t>junio</w:t>
      </w:r>
      <w:r>
        <w:rPr>
          <w:spacing w:val="1"/>
          <w:sz w:val="18"/>
        </w:rPr>
        <w:t> </w:t>
      </w:r>
      <w:r>
        <w:rPr>
          <w:sz w:val="18"/>
        </w:rPr>
        <w:t>de</w:t>
      </w:r>
      <w:r>
        <w:rPr>
          <w:spacing w:val="1"/>
          <w:sz w:val="18"/>
        </w:rPr>
        <w:t> </w:t>
      </w:r>
      <w:r>
        <w:rPr>
          <w:sz w:val="18"/>
        </w:rPr>
        <w:t>2015).</w:t>
        <w:tab/>
        <w:t>58</w:t>
      </w:r>
    </w:p>
    <w:p>
      <w:pPr>
        <w:tabs>
          <w:tab w:pos="8931" w:val="right" w:leader="dot"/>
        </w:tabs>
        <w:spacing w:line="362" w:lineRule="auto" w:before="6"/>
        <w:ind w:left="100" w:right="115" w:firstLine="0"/>
        <w:jc w:val="both"/>
        <w:rPr>
          <w:sz w:val="18"/>
        </w:rPr>
      </w:pPr>
      <w:r>
        <w:rPr>
          <w:sz w:val="18"/>
        </w:rPr>
        <w:t>Figura 2.9. Sistema de estereolitografía (Fuente: </w:t>
      </w:r>
      <w:hyperlink r:id="rId41">
        <w:r>
          <w:rPr>
            <w:sz w:val="18"/>
          </w:rPr>
          <w:t>http://www.custompartnet.com/,</w:t>
        </w:r>
      </w:hyperlink>
      <w:r>
        <w:rPr>
          <w:sz w:val="18"/>
        </w:rPr>
        <w:t> consultado el 10 de junio de 2015).</w:t>
        <w:tab/>
        <w:t>59</w:t>
      </w:r>
    </w:p>
    <w:p>
      <w:pPr>
        <w:spacing w:line="206" w:lineRule="exact" w:before="0"/>
        <w:ind w:left="100" w:right="0" w:firstLine="0"/>
        <w:jc w:val="both"/>
        <w:rPr>
          <w:sz w:val="18"/>
        </w:rPr>
      </w:pPr>
      <w:r>
        <w:rPr>
          <w:sz w:val="18"/>
        </w:rPr>
        <w:t>Figura 2.10.  Sistema SLS (Fuente: </w:t>
      </w:r>
      <w:hyperlink r:id="rId41">
        <w:r>
          <w:rPr>
            <w:sz w:val="18"/>
          </w:rPr>
          <w:t>http://www.custompartnet.com/,</w:t>
        </w:r>
      </w:hyperlink>
      <w:r>
        <w:rPr>
          <w:sz w:val="18"/>
        </w:rPr>
        <w:t> consultado el 10 de junio de 2015).       60</w:t>
      </w:r>
    </w:p>
    <w:p>
      <w:pPr>
        <w:spacing w:before="105"/>
        <w:ind w:left="100" w:right="0" w:firstLine="0"/>
        <w:jc w:val="both"/>
        <w:rPr>
          <w:sz w:val="18"/>
        </w:rPr>
      </w:pPr>
      <w:r>
        <w:rPr>
          <w:sz w:val="18"/>
        </w:rPr>
        <w:t>Figura 2.11. Sistema LOM (Fuente: </w:t>
      </w:r>
      <w:hyperlink r:id="rId41">
        <w:r>
          <w:rPr>
            <w:sz w:val="18"/>
          </w:rPr>
          <w:t>http://www.custompartnet.com/,</w:t>
        </w:r>
      </w:hyperlink>
      <w:r>
        <w:rPr>
          <w:sz w:val="18"/>
        </w:rPr>
        <w:t> consultado el 10 de junio de 2015).       61</w:t>
      </w:r>
    </w:p>
    <w:p>
      <w:pPr>
        <w:tabs>
          <w:tab w:pos="8931" w:val="right" w:leader="dot"/>
        </w:tabs>
        <w:spacing w:before="101"/>
        <w:ind w:left="100" w:right="0" w:firstLine="0"/>
        <w:jc w:val="both"/>
        <w:rPr>
          <w:sz w:val="18"/>
        </w:rPr>
      </w:pPr>
      <w:r>
        <w:rPr>
          <w:sz w:val="18"/>
        </w:rPr>
        <w:t>Figura 2.12. FDM (Fuente: </w:t>
      </w:r>
      <w:hyperlink r:id="rId41">
        <w:r>
          <w:rPr>
            <w:sz w:val="18"/>
          </w:rPr>
          <w:t>http://www.custompartnet.com/,</w:t>
        </w:r>
      </w:hyperlink>
      <w:r>
        <w:rPr>
          <w:sz w:val="18"/>
        </w:rPr>
        <w:t> consultado el 10 de junio</w:t>
      </w:r>
      <w:r>
        <w:rPr>
          <w:spacing w:val="-9"/>
          <w:sz w:val="18"/>
        </w:rPr>
        <w:t> </w:t>
      </w:r>
      <w:r>
        <w:rPr>
          <w:sz w:val="18"/>
        </w:rPr>
        <w:t>de</w:t>
      </w:r>
      <w:r>
        <w:rPr>
          <w:spacing w:val="-4"/>
          <w:sz w:val="18"/>
        </w:rPr>
        <w:t> </w:t>
      </w:r>
      <w:r>
        <w:rPr>
          <w:sz w:val="18"/>
        </w:rPr>
        <w:t>2015).</w:t>
        <w:tab/>
        <w:t>62</w:t>
      </w:r>
    </w:p>
    <w:p>
      <w:pPr>
        <w:tabs>
          <w:tab w:pos="8931" w:val="right" w:leader="dot"/>
        </w:tabs>
        <w:spacing w:before="105"/>
        <w:ind w:left="100" w:right="0" w:firstLine="0"/>
        <w:jc w:val="both"/>
        <w:rPr>
          <w:sz w:val="18"/>
        </w:rPr>
      </w:pPr>
      <w:r>
        <w:rPr>
          <w:sz w:val="18"/>
        </w:rPr>
        <w:t>Figura 2.13. Cabezales de FDM (Fuente: Noorani,</w:t>
      </w:r>
      <w:r>
        <w:rPr>
          <w:spacing w:val="3"/>
          <w:sz w:val="18"/>
        </w:rPr>
        <w:t> </w:t>
      </w:r>
      <w:r>
        <w:rPr>
          <w:sz w:val="18"/>
        </w:rPr>
        <w:t>2006,</w:t>
      </w:r>
      <w:r>
        <w:rPr>
          <w:spacing w:val="2"/>
          <w:sz w:val="18"/>
        </w:rPr>
        <w:t> </w:t>
      </w:r>
      <w:r>
        <w:rPr>
          <w:sz w:val="18"/>
        </w:rPr>
        <w:t>83).</w:t>
        <w:tab/>
        <w:t>62</w:t>
      </w:r>
    </w:p>
    <w:p>
      <w:pPr>
        <w:tabs>
          <w:tab w:pos="8931" w:val="right" w:leader="dot"/>
        </w:tabs>
        <w:spacing w:before="105"/>
        <w:ind w:left="100" w:right="0" w:firstLine="0"/>
        <w:jc w:val="both"/>
        <w:rPr>
          <w:sz w:val="18"/>
        </w:rPr>
      </w:pPr>
      <w:r>
        <w:rPr>
          <w:sz w:val="18"/>
        </w:rPr>
        <w:t>Figura 2.14. Tipos de materiales básicos con sus compuestos. (Fuente: Noorani,</w:t>
      </w:r>
      <w:r>
        <w:rPr>
          <w:spacing w:val="-12"/>
          <w:sz w:val="18"/>
        </w:rPr>
        <w:t> </w:t>
      </w:r>
      <w:r>
        <w:rPr>
          <w:sz w:val="18"/>
        </w:rPr>
        <w:t>2006:</w:t>
      </w:r>
      <w:r>
        <w:rPr>
          <w:spacing w:val="2"/>
          <w:sz w:val="18"/>
        </w:rPr>
        <w:t> </w:t>
      </w:r>
      <w:r>
        <w:rPr>
          <w:sz w:val="18"/>
        </w:rPr>
        <w:t>157)</w:t>
        <w:tab/>
        <w:t>65</w:t>
      </w:r>
    </w:p>
    <w:p>
      <w:pPr>
        <w:tabs>
          <w:tab w:pos="8931" w:val="right" w:leader="dot"/>
        </w:tabs>
        <w:spacing w:line="362" w:lineRule="auto" w:before="101"/>
        <w:ind w:left="100" w:right="116" w:firstLine="0"/>
        <w:jc w:val="both"/>
        <w:rPr>
          <w:sz w:val="18"/>
        </w:rPr>
      </w:pPr>
      <w:r>
        <w:rPr>
          <w:sz w:val="18"/>
        </w:rPr>
        <w:t>Figura 2.15. Flujo de procesamiento CNC. (Fuente: </w:t>
      </w:r>
      <w:hyperlink r:id="rId49">
        <w:r>
          <w:rPr>
            <w:sz w:val="18"/>
          </w:rPr>
          <w:t>http://diagramasde.com/controles-numericos-cnc,</w:t>
        </w:r>
      </w:hyperlink>
      <w:r>
        <w:rPr>
          <w:sz w:val="18"/>
        </w:rPr>
        <w:t> consultado el 11 de junio</w:t>
      </w:r>
      <w:r>
        <w:rPr>
          <w:spacing w:val="-7"/>
          <w:sz w:val="18"/>
        </w:rPr>
        <w:t> </w:t>
      </w:r>
      <w:r>
        <w:rPr>
          <w:sz w:val="18"/>
        </w:rPr>
        <w:t>de</w:t>
      </w:r>
      <w:r>
        <w:rPr>
          <w:spacing w:val="1"/>
          <w:sz w:val="18"/>
        </w:rPr>
        <w:t> </w:t>
      </w:r>
      <w:r>
        <w:rPr>
          <w:sz w:val="18"/>
        </w:rPr>
        <w:t>2015).</w:t>
        <w:tab/>
        <w:t>66</w:t>
      </w:r>
    </w:p>
    <w:p>
      <w:pPr>
        <w:tabs>
          <w:tab w:pos="8931" w:val="right" w:leader="dot"/>
        </w:tabs>
        <w:spacing w:line="360" w:lineRule="auto" w:before="2"/>
        <w:ind w:left="100" w:right="117" w:firstLine="0"/>
        <w:jc w:val="both"/>
        <w:rPr>
          <w:sz w:val="18"/>
        </w:rPr>
      </w:pPr>
      <w:r>
        <w:rPr>
          <w:sz w:val="18"/>
        </w:rPr>
        <w:t>Figura 2.16. Esquema del proceso de corte por agua. (Fuente: </w:t>
      </w:r>
      <w:hyperlink r:id="rId242">
        <w:r>
          <w:rPr>
            <w:sz w:val="18"/>
          </w:rPr>
          <w:t>http://www.interempresas.net/MetalMecanica/Articulos/12110-Tecnologias-de-corte-de-chapa.html</w:t>
        </w:r>
      </w:hyperlink>
      <w:r>
        <w:rPr>
          <w:sz w:val="18"/>
        </w:rPr>
        <w:t>   , consultado el 6 de mayo</w:t>
      </w:r>
      <w:r>
        <w:rPr>
          <w:spacing w:val="-8"/>
          <w:sz w:val="18"/>
        </w:rPr>
        <w:t> </w:t>
      </w:r>
      <w:r>
        <w:rPr>
          <w:sz w:val="18"/>
        </w:rPr>
        <w:t>de 2015).</w:t>
        <w:tab/>
        <w:t>68</w:t>
      </w:r>
    </w:p>
    <w:p>
      <w:pPr>
        <w:tabs>
          <w:tab w:pos="8931" w:val="right" w:leader="dot"/>
        </w:tabs>
        <w:spacing w:before="0"/>
        <w:ind w:left="100" w:right="0" w:firstLine="0"/>
        <w:jc w:val="both"/>
        <w:rPr>
          <w:sz w:val="18"/>
        </w:rPr>
      </w:pPr>
      <w:r>
        <w:rPr>
          <w:sz w:val="18"/>
        </w:rPr>
        <w:t>Figura 2.17. Proceso de corte. (Fuente: Martín,</w:t>
      </w:r>
      <w:r>
        <w:rPr>
          <w:spacing w:val="1"/>
          <w:sz w:val="18"/>
        </w:rPr>
        <w:t> </w:t>
      </w:r>
      <w:r>
        <w:rPr>
          <w:sz w:val="18"/>
        </w:rPr>
        <w:t>2006:</w:t>
      </w:r>
      <w:r>
        <w:rPr>
          <w:spacing w:val="2"/>
          <w:sz w:val="18"/>
        </w:rPr>
        <w:t> </w:t>
      </w:r>
      <w:r>
        <w:rPr>
          <w:sz w:val="18"/>
        </w:rPr>
        <w:t>118).</w:t>
        <w:tab/>
        <w:t>69</w:t>
      </w:r>
    </w:p>
    <w:p>
      <w:pPr>
        <w:tabs>
          <w:tab w:pos="8931" w:val="right" w:leader="dot"/>
        </w:tabs>
        <w:spacing w:before="105"/>
        <w:ind w:left="100" w:right="0" w:firstLine="0"/>
        <w:jc w:val="both"/>
        <w:rPr>
          <w:sz w:val="18"/>
        </w:rPr>
      </w:pPr>
      <w:r>
        <w:rPr>
          <w:sz w:val="18"/>
        </w:rPr>
        <w:t>Figura 2.18. Componentes de la máquina (Fuente: Martín,</w:t>
      </w:r>
      <w:r>
        <w:rPr>
          <w:spacing w:val="1"/>
          <w:sz w:val="18"/>
        </w:rPr>
        <w:t> </w:t>
      </w:r>
      <w:r>
        <w:rPr>
          <w:sz w:val="18"/>
        </w:rPr>
        <w:t>2006:</w:t>
      </w:r>
      <w:r>
        <w:rPr>
          <w:spacing w:val="2"/>
          <w:sz w:val="18"/>
        </w:rPr>
        <w:t> </w:t>
      </w:r>
      <w:r>
        <w:rPr>
          <w:sz w:val="18"/>
        </w:rPr>
        <w:t>23)</w:t>
        <w:tab/>
        <w:t>71</w:t>
      </w:r>
    </w:p>
    <w:p>
      <w:pPr>
        <w:tabs>
          <w:tab w:pos="8931" w:val="right" w:leader="dot"/>
        </w:tabs>
        <w:spacing w:line="360" w:lineRule="auto" w:before="105"/>
        <w:ind w:left="100" w:right="117" w:firstLine="0"/>
        <w:jc w:val="both"/>
        <w:rPr>
          <w:sz w:val="18"/>
        </w:rPr>
      </w:pPr>
      <w:r>
        <w:rPr>
          <w:sz w:val="18"/>
        </w:rPr>
        <w:t>Figura 2.19. Principio de funcionamiento del corte por plasma (proceso por fusión). (Fuente: </w:t>
      </w:r>
      <w:hyperlink r:id="rId242">
        <w:r>
          <w:rPr>
            <w:sz w:val="18"/>
          </w:rPr>
          <w:t>http://www.interempresas.net/MetalMecanica/Articulos/12110-Tecnologias-de-corte-de-chapa.html</w:t>
        </w:r>
      </w:hyperlink>
      <w:r>
        <w:rPr>
          <w:sz w:val="18"/>
        </w:rPr>
        <w:t>   , consultado el 6 de mayo</w:t>
      </w:r>
      <w:r>
        <w:rPr>
          <w:spacing w:val="-8"/>
          <w:sz w:val="18"/>
        </w:rPr>
        <w:t> </w:t>
      </w:r>
      <w:r>
        <w:rPr>
          <w:sz w:val="18"/>
        </w:rPr>
        <w:t>de 2015).</w:t>
        <w:tab/>
        <w:t>73</w:t>
      </w:r>
    </w:p>
    <w:p>
      <w:pPr>
        <w:tabs>
          <w:tab w:pos="8931" w:val="right" w:leader="dot"/>
        </w:tabs>
        <w:spacing w:before="0"/>
        <w:ind w:left="100" w:right="0" w:firstLine="0"/>
        <w:jc w:val="both"/>
        <w:rPr>
          <w:sz w:val="18"/>
        </w:rPr>
      </w:pPr>
      <w:r>
        <w:rPr>
          <w:sz w:val="18"/>
        </w:rPr>
        <w:t>Figura 2.20. Mecanismo de escaneo láser. (Fuente: Noorani,</w:t>
      </w:r>
      <w:r>
        <w:rPr>
          <w:spacing w:val="4"/>
          <w:sz w:val="18"/>
        </w:rPr>
        <w:t> </w:t>
      </w:r>
      <w:r>
        <w:rPr>
          <w:sz w:val="18"/>
        </w:rPr>
        <w:t>2006:</w:t>
      </w:r>
      <w:r>
        <w:rPr>
          <w:spacing w:val="2"/>
          <w:sz w:val="18"/>
        </w:rPr>
        <w:t> </w:t>
      </w:r>
      <w:r>
        <w:rPr>
          <w:sz w:val="18"/>
        </w:rPr>
        <w:t>205)</w:t>
        <w:tab/>
        <w:t>75</w:t>
      </w:r>
    </w:p>
    <w:p>
      <w:pPr>
        <w:spacing w:after="0"/>
        <w:jc w:val="both"/>
        <w:rPr>
          <w:sz w:val="18"/>
        </w:rPr>
        <w:sectPr>
          <w:pgSz w:w="12240" w:h="15840"/>
          <w:pgMar w:header="0" w:footer="1031" w:top="1360" w:bottom="1160" w:left="1600" w:right="1580"/>
        </w:sectPr>
      </w:pPr>
    </w:p>
    <w:p>
      <w:pPr>
        <w:tabs>
          <w:tab w:pos="8931" w:val="right" w:leader="dot"/>
        </w:tabs>
        <w:spacing w:line="362" w:lineRule="auto" w:before="51"/>
        <w:ind w:left="100" w:right="116" w:firstLine="0"/>
        <w:jc w:val="both"/>
        <w:rPr>
          <w:sz w:val="18"/>
        </w:rPr>
      </w:pPr>
      <w:r>
        <w:rPr>
          <w:sz w:val="18"/>
        </w:rPr>
        <w:t>Figura 2.21. Imagen del rango de al variar la superficie. a) Imagen Rango (sub-muestreada). b) Después </w:t>
      </w:r>
      <w:r>
        <w:rPr>
          <w:spacing w:val="-3"/>
          <w:sz w:val="18"/>
        </w:rPr>
        <w:t>de </w:t>
      </w:r>
      <w:r>
        <w:rPr>
          <w:sz w:val="18"/>
        </w:rPr>
        <w:t>crear triángulos. c) la prestación de sombra. d) superficie del campo de alta resolución. (Fuente: </w:t>
      </w:r>
      <w:hyperlink r:id="rId58">
        <w:r>
          <w:rPr>
            <w:sz w:val="18"/>
          </w:rPr>
          <w:t>http://www.siggraph.org/publications/newsletter/v33n4/,</w:t>
        </w:r>
      </w:hyperlink>
      <w:r>
        <w:rPr>
          <w:sz w:val="18"/>
        </w:rPr>
        <w:t> consultado el 15 de marzo</w:t>
      </w:r>
      <w:r>
        <w:rPr>
          <w:spacing w:val="-8"/>
          <w:sz w:val="18"/>
        </w:rPr>
        <w:t> </w:t>
      </w:r>
      <w:r>
        <w:rPr>
          <w:sz w:val="18"/>
        </w:rPr>
        <w:t>de</w:t>
      </w:r>
      <w:r>
        <w:rPr>
          <w:spacing w:val="-4"/>
          <w:sz w:val="18"/>
        </w:rPr>
        <w:t> </w:t>
      </w:r>
      <w:r>
        <w:rPr>
          <w:sz w:val="18"/>
        </w:rPr>
        <w:t>2015).</w:t>
        <w:tab/>
        <w:t>77</w:t>
      </w:r>
    </w:p>
    <w:p>
      <w:pPr>
        <w:tabs>
          <w:tab w:pos="8931" w:val="right" w:leader="dot"/>
        </w:tabs>
        <w:spacing w:line="205" w:lineRule="exact" w:before="0"/>
        <w:ind w:left="100" w:right="0" w:firstLine="0"/>
        <w:jc w:val="both"/>
        <w:rPr>
          <w:sz w:val="18"/>
        </w:rPr>
      </w:pPr>
      <w:r>
        <w:rPr>
          <w:sz w:val="18"/>
        </w:rPr>
        <w:t>Figura 2.22. ¿Qué impresoras (qué fabricante) ha utilizado? (Fuente: Moilanen y</w:t>
      </w:r>
      <w:r>
        <w:rPr>
          <w:spacing w:val="-2"/>
          <w:sz w:val="18"/>
        </w:rPr>
        <w:t> </w:t>
      </w:r>
      <w:r>
        <w:rPr>
          <w:sz w:val="18"/>
        </w:rPr>
        <w:t>Vadén,</w:t>
      </w:r>
      <w:r>
        <w:rPr>
          <w:spacing w:val="2"/>
          <w:sz w:val="18"/>
        </w:rPr>
        <w:t> </w:t>
      </w:r>
      <w:r>
        <w:rPr>
          <w:sz w:val="18"/>
        </w:rPr>
        <w:t>2012).</w:t>
        <w:tab/>
        <w:t>78</w:t>
      </w:r>
    </w:p>
    <w:p>
      <w:pPr>
        <w:tabs>
          <w:tab w:pos="8931" w:val="right" w:leader="dot"/>
        </w:tabs>
        <w:spacing w:line="362" w:lineRule="auto" w:before="105"/>
        <w:ind w:left="100" w:right="125" w:firstLine="0"/>
        <w:jc w:val="both"/>
        <w:rPr>
          <w:sz w:val="18"/>
        </w:rPr>
      </w:pPr>
      <w:r>
        <w:rPr>
          <w:sz w:val="18"/>
        </w:rPr>
        <w:t>Figura 2.23. ¿Qué tipo de material utiliza (ahora y en el pasado) en la impresión? (Fuente: Moilanen y Vadén, 2012).</w:t>
        <w:tab/>
        <w:t>79</w:t>
      </w:r>
    </w:p>
    <w:p>
      <w:pPr>
        <w:tabs>
          <w:tab w:pos="8931" w:val="right" w:leader="dot"/>
        </w:tabs>
        <w:spacing w:line="362" w:lineRule="auto" w:before="0"/>
        <w:ind w:left="100" w:right="110" w:firstLine="0"/>
        <w:jc w:val="both"/>
        <w:rPr>
          <w:sz w:val="18"/>
        </w:rPr>
      </w:pPr>
      <w:r>
        <w:rPr>
          <w:sz w:val="18"/>
        </w:rPr>
        <w:t>Figura 2.24. Impresión en metal (Fuente: </w:t>
      </w:r>
      <w:hyperlink r:id="rId243">
        <w:r>
          <w:rPr>
            <w:sz w:val="18"/>
          </w:rPr>
          <w:t>http://www.extremetech.com/extreme/143552-3d-printing-with-metal-</w:t>
        </w:r>
      </w:hyperlink>
      <w:r>
        <w:rPr>
          <w:sz w:val="18"/>
        </w:rPr>
        <w:t> the-final-frontier-of-additive-manufacturing, consultado el 17 de mayo</w:t>
      </w:r>
      <w:r>
        <w:rPr>
          <w:spacing w:val="-4"/>
          <w:sz w:val="18"/>
        </w:rPr>
        <w:t> </w:t>
      </w:r>
      <w:r>
        <w:rPr>
          <w:sz w:val="18"/>
        </w:rPr>
        <w:t>de 2015)</w:t>
        <w:tab/>
        <w:t>80</w:t>
      </w:r>
    </w:p>
    <w:p>
      <w:pPr>
        <w:tabs>
          <w:tab w:pos="8931" w:val="right" w:leader="dot"/>
        </w:tabs>
        <w:spacing w:line="362" w:lineRule="auto" w:before="0"/>
        <w:ind w:left="100" w:right="123" w:firstLine="0"/>
        <w:jc w:val="both"/>
        <w:rPr>
          <w:sz w:val="18"/>
        </w:rPr>
      </w:pPr>
      <w:r>
        <w:rPr>
          <w:sz w:val="18"/>
        </w:rPr>
        <w:t>Figura 2.25. Bloque de madera impresa en 3D, como material de construcción. La madera está hecha de residuos agrícolas reciclados. Creado por Anthony Giannini. (Fuente: Bryden,</w:t>
      </w:r>
      <w:r>
        <w:rPr>
          <w:spacing w:val="2"/>
          <w:sz w:val="18"/>
        </w:rPr>
        <w:t> </w:t>
      </w:r>
      <w:r>
        <w:rPr>
          <w:sz w:val="18"/>
        </w:rPr>
        <w:t>2014:</w:t>
      </w:r>
      <w:r>
        <w:rPr>
          <w:spacing w:val="1"/>
          <w:sz w:val="18"/>
        </w:rPr>
        <w:t> </w:t>
      </w:r>
      <w:r>
        <w:rPr>
          <w:sz w:val="18"/>
        </w:rPr>
        <w:t>131)</w:t>
        <w:tab/>
        <w:t>82</w:t>
      </w:r>
    </w:p>
    <w:p>
      <w:pPr>
        <w:tabs>
          <w:tab w:pos="8931" w:val="right" w:leader="dot"/>
        </w:tabs>
        <w:spacing w:before="2"/>
        <w:ind w:left="100" w:right="0" w:firstLine="0"/>
        <w:jc w:val="both"/>
        <w:rPr>
          <w:sz w:val="18"/>
        </w:rPr>
      </w:pPr>
      <w:r>
        <w:rPr>
          <w:sz w:val="18"/>
        </w:rPr>
        <w:t>Figura 2.26. Clasificación de estilos de escultura. (Fuente: elaboración</w:t>
      </w:r>
      <w:r>
        <w:rPr>
          <w:spacing w:val="-4"/>
          <w:sz w:val="18"/>
        </w:rPr>
        <w:t> </w:t>
      </w:r>
      <w:r>
        <w:rPr>
          <w:sz w:val="18"/>
        </w:rPr>
        <w:t>propia).</w:t>
        <w:tab/>
        <w:t>84</w:t>
      </w:r>
    </w:p>
    <w:p>
      <w:pPr>
        <w:tabs>
          <w:tab w:pos="8931" w:val="right" w:leader="dot"/>
        </w:tabs>
        <w:spacing w:line="362" w:lineRule="auto" w:before="101"/>
        <w:ind w:left="100" w:right="115" w:firstLine="0"/>
        <w:jc w:val="both"/>
        <w:rPr>
          <w:sz w:val="18"/>
        </w:rPr>
      </w:pPr>
      <w:r>
        <w:rPr>
          <w:sz w:val="18"/>
        </w:rPr>
        <w:t>Figura 2.27. Obra de Kevin Mack llamada Mente permanente sobre la materia, 14x19x7", Impresión 3D en sinterización láser (Fuente: </w:t>
      </w:r>
      <w:hyperlink r:id="rId66">
        <w:r>
          <w:rPr>
            <w:sz w:val="18"/>
          </w:rPr>
          <w:t>http://www.kevinmackart.com/standing-mind-over-matter.html,</w:t>
        </w:r>
      </w:hyperlink>
      <w:r>
        <w:rPr>
          <w:sz w:val="18"/>
        </w:rPr>
        <w:t> consultado 25 de junio</w:t>
      </w:r>
      <w:r>
        <w:rPr>
          <w:spacing w:val="1"/>
          <w:sz w:val="18"/>
        </w:rPr>
        <w:t> </w:t>
      </w:r>
      <w:r>
        <w:rPr>
          <w:sz w:val="18"/>
        </w:rPr>
        <w:t>de</w:t>
      </w:r>
      <w:r>
        <w:rPr>
          <w:spacing w:val="1"/>
          <w:sz w:val="18"/>
        </w:rPr>
        <w:t> </w:t>
      </w:r>
      <w:r>
        <w:rPr>
          <w:sz w:val="18"/>
        </w:rPr>
        <w:t>2013).</w:t>
        <w:tab/>
        <w:t>87</w:t>
      </w:r>
    </w:p>
    <w:p>
      <w:pPr>
        <w:tabs>
          <w:tab w:pos="1164" w:val="left" w:leader="none"/>
          <w:tab w:pos="8931" w:val="right" w:leader="dot"/>
        </w:tabs>
        <w:spacing w:line="360" w:lineRule="auto" w:before="0"/>
        <w:ind w:left="100" w:right="118" w:firstLine="0"/>
        <w:jc w:val="both"/>
        <w:rPr>
          <w:sz w:val="18"/>
        </w:rPr>
      </w:pPr>
      <w:r>
        <w:rPr>
          <w:sz w:val="18"/>
        </w:rPr>
        <w:t>Figura</w:t>
        <w:tab/>
        <w:t>2.28.           Instalación           escultórica           galería           en         </w:t>
      </w:r>
      <w:r>
        <w:rPr>
          <w:spacing w:val="42"/>
          <w:sz w:val="18"/>
        </w:rPr>
        <w:t> </w:t>
      </w:r>
      <w:r>
        <w:rPr>
          <w:sz w:val="18"/>
        </w:rPr>
        <w:t>movimiento         </w:t>
      </w:r>
      <w:r>
        <w:rPr>
          <w:spacing w:val="47"/>
          <w:sz w:val="18"/>
        </w:rPr>
        <w:t> </w:t>
      </w:r>
      <w:r>
        <w:rPr>
          <w:sz w:val="18"/>
        </w:rPr>
        <w:t>(Fuente:</w:t>
      </w:r>
      <w:r>
        <w:rPr>
          <w:w w:val="100"/>
          <w:sz w:val="18"/>
        </w:rPr>
        <w:t> </w:t>
      </w:r>
      <w:hyperlink r:id="rId68">
        <w:r>
          <w:rPr>
            <w:sz w:val="18"/>
          </w:rPr>
          <w:t>http://www.smartsculpture.com/2011/04/sculptural-motion-gallery-installation.html?view=classic,</w:t>
        </w:r>
      </w:hyperlink>
      <w:r>
        <w:rPr>
          <w:sz w:val="18"/>
        </w:rPr>
        <w:t> consultado el 28 de marzo</w:t>
      </w:r>
      <w:r>
        <w:rPr>
          <w:spacing w:val="2"/>
          <w:sz w:val="18"/>
        </w:rPr>
        <w:t> </w:t>
      </w:r>
      <w:r>
        <w:rPr>
          <w:sz w:val="18"/>
        </w:rPr>
        <w:t>de</w:t>
      </w:r>
      <w:r>
        <w:rPr>
          <w:spacing w:val="-3"/>
          <w:sz w:val="18"/>
        </w:rPr>
        <w:t> </w:t>
      </w:r>
      <w:r>
        <w:rPr>
          <w:sz w:val="18"/>
        </w:rPr>
        <w:t>2014).</w:t>
        <w:tab/>
        <w:t>88</w:t>
      </w:r>
    </w:p>
    <w:p>
      <w:pPr>
        <w:tabs>
          <w:tab w:pos="8931" w:val="right" w:leader="dot"/>
        </w:tabs>
        <w:spacing w:line="360" w:lineRule="auto" w:before="4"/>
        <w:ind w:left="100" w:right="115" w:firstLine="0"/>
        <w:jc w:val="both"/>
        <w:rPr>
          <w:sz w:val="18"/>
        </w:rPr>
      </w:pPr>
      <w:r>
        <w:rPr>
          <w:sz w:val="18"/>
        </w:rPr>
        <w:t>Figura 2.29. Primera imagen es un seguimiento de las manos de la bailarina SusieThiel, segunda seguimiento de los pies de Schwartz haciendo una patada de división, y tercera seguimiento de los pies para una patada girando por Jorge Renato Peña. (Fuente: </w:t>
      </w:r>
      <w:hyperlink r:id="rId244">
        <w:r>
          <w:rPr>
            <w:sz w:val="18"/>
          </w:rPr>
          <w:t>http://www.smartsculpture.com/2011/04/sculptural-motion-gallery-</w:t>
        </w:r>
      </w:hyperlink>
      <w:r>
        <w:rPr>
          <w:sz w:val="18"/>
        </w:rPr>
        <w:t> installation.html?view=classic, consultado el  28 de marzo</w:t>
      </w:r>
      <w:r>
        <w:rPr>
          <w:spacing w:val="-8"/>
          <w:sz w:val="18"/>
        </w:rPr>
        <w:t> </w:t>
      </w:r>
      <w:r>
        <w:rPr>
          <w:sz w:val="18"/>
        </w:rPr>
        <w:t>de 2014)</w:t>
        <w:tab/>
        <w:t>88</w:t>
      </w:r>
    </w:p>
    <w:p>
      <w:pPr>
        <w:tabs>
          <w:tab w:pos="8931" w:val="right" w:leader="dot"/>
        </w:tabs>
        <w:spacing w:line="362" w:lineRule="auto" w:before="0"/>
        <w:ind w:left="100" w:right="119" w:firstLine="0"/>
        <w:jc w:val="both"/>
        <w:rPr>
          <w:sz w:val="18"/>
        </w:rPr>
      </w:pPr>
      <w:r>
        <w:rPr>
          <w:sz w:val="18"/>
        </w:rPr>
        <w:t>Figura 2.30. Esculturas de movimientos congelados de Mathew Schwartz. (Fuente: </w:t>
      </w:r>
      <w:hyperlink r:id="rId73">
        <w:r>
          <w:rPr>
            <w:sz w:val="18"/>
          </w:rPr>
          <w:t>http://www.smartsculpture.com/2010/12/frozen-motion-sculpture-model.html,</w:t>
        </w:r>
      </w:hyperlink>
      <w:r>
        <w:rPr>
          <w:sz w:val="18"/>
        </w:rPr>
        <w:t> consultado el 8 de noviembre </w:t>
      </w:r>
      <w:r>
        <w:rPr>
          <w:spacing w:val="-3"/>
          <w:sz w:val="18"/>
        </w:rPr>
        <w:t>de </w:t>
      </w:r>
      <w:r>
        <w:rPr>
          <w:sz w:val="18"/>
        </w:rPr>
        <w:t>2013).</w:t>
        <w:tab/>
        <w:t>89</w:t>
      </w:r>
    </w:p>
    <w:p>
      <w:pPr>
        <w:tabs>
          <w:tab w:pos="8931" w:val="right" w:leader="dot"/>
        </w:tabs>
        <w:spacing w:line="362" w:lineRule="auto" w:before="0"/>
        <w:ind w:left="100" w:right="117" w:firstLine="0"/>
        <w:jc w:val="both"/>
        <w:rPr>
          <w:sz w:val="18"/>
        </w:rPr>
      </w:pPr>
      <w:r>
        <w:rPr>
          <w:sz w:val="18"/>
        </w:rPr>
        <w:t>Figura 2.31. Duffy, CY-N=5, 24" x18" x 20", Hydro-stone FGR, 2011. (Fuente: </w:t>
      </w:r>
      <w:hyperlink r:id="rId20">
        <w:r>
          <w:rPr>
            <w:sz w:val="18"/>
          </w:rPr>
          <w:t>http://gallery.bridgesmathart.org/exhibitions/2012-bridges-conference/wduffy,</w:t>
        </w:r>
      </w:hyperlink>
      <w:r>
        <w:rPr>
          <w:sz w:val="18"/>
        </w:rPr>
        <w:t> consultado el 26 de junio de 2013).</w:t>
        <w:tab/>
        <w:t>90</w:t>
      </w:r>
    </w:p>
    <w:p>
      <w:pPr>
        <w:tabs>
          <w:tab w:pos="8931" w:val="right" w:leader="dot"/>
        </w:tabs>
        <w:spacing w:line="360" w:lineRule="auto" w:before="0"/>
        <w:ind w:left="100" w:right="117" w:firstLine="0"/>
        <w:jc w:val="both"/>
        <w:rPr>
          <w:sz w:val="18"/>
        </w:rPr>
      </w:pPr>
      <w:r>
        <w:rPr>
          <w:sz w:val="18"/>
        </w:rPr>
        <w:t>Figura 2.32. Títulada All fall down, primera imagen dibujo computalizado rendereado, segunda objeto de prototipo rápido en estereolitografía material Époxico. (Fuente: </w:t>
      </w:r>
      <w:hyperlink r:id="rId76">
        <w:r>
          <w:rPr>
            <w:sz w:val="18"/>
          </w:rPr>
          <w:t>http://un-tethered.net/eevege/,</w:t>
        </w:r>
      </w:hyperlink>
      <w:r>
        <w:rPr>
          <w:sz w:val="18"/>
        </w:rPr>
        <w:t> consultado el 8 de noviembre</w:t>
      </w:r>
      <w:r>
        <w:rPr>
          <w:spacing w:val="-2"/>
          <w:sz w:val="18"/>
        </w:rPr>
        <w:t> </w:t>
      </w:r>
      <w:r>
        <w:rPr>
          <w:sz w:val="18"/>
        </w:rPr>
        <w:t>de</w:t>
      </w:r>
      <w:r>
        <w:rPr>
          <w:spacing w:val="1"/>
          <w:sz w:val="18"/>
        </w:rPr>
        <w:t> </w:t>
      </w:r>
      <w:r>
        <w:rPr>
          <w:sz w:val="18"/>
        </w:rPr>
        <w:t>2013)</w:t>
        <w:tab/>
        <w:t>91</w:t>
      </w:r>
    </w:p>
    <w:p>
      <w:pPr>
        <w:tabs>
          <w:tab w:pos="8931" w:val="right" w:leader="dot"/>
        </w:tabs>
        <w:spacing w:line="360" w:lineRule="auto" w:before="4"/>
        <w:ind w:left="100" w:right="117" w:firstLine="0"/>
        <w:jc w:val="both"/>
        <w:rPr>
          <w:sz w:val="18"/>
        </w:rPr>
      </w:pPr>
      <w:r>
        <w:rPr>
          <w:sz w:val="18"/>
        </w:rPr>
        <w:t>Figura 2.33. Animación por computadora sobre el proceso geométrico de la "cinta sebastina" creada por </w:t>
      </w:r>
      <w:r>
        <w:rPr>
          <w:spacing w:val="-3"/>
          <w:sz w:val="18"/>
        </w:rPr>
        <w:t>el  </w:t>
      </w:r>
      <w:r>
        <w:rPr>
          <w:sz w:val="18"/>
        </w:rPr>
        <w:t>escultor Sebastián y su transformación espacial para generar el modelo escultórico "Calabi-Yau" (Fuente: </w:t>
      </w:r>
      <w:hyperlink r:id="rId78">
        <w:r>
          <w:rPr>
            <w:sz w:val="18"/>
          </w:rPr>
          <w:t>http://www.youtube.com/watch?v=aFq15otTjjs,</w:t>
        </w:r>
      </w:hyperlink>
      <w:r>
        <w:rPr>
          <w:sz w:val="18"/>
        </w:rPr>
        <w:t>  consultado el 4 de junio</w:t>
      </w:r>
      <w:r>
        <w:rPr>
          <w:spacing w:val="-9"/>
          <w:sz w:val="18"/>
        </w:rPr>
        <w:t> </w:t>
      </w:r>
      <w:r>
        <w:rPr>
          <w:sz w:val="18"/>
        </w:rPr>
        <w:t>de</w:t>
      </w:r>
      <w:r>
        <w:rPr>
          <w:spacing w:val="-4"/>
          <w:sz w:val="18"/>
        </w:rPr>
        <w:t> </w:t>
      </w:r>
      <w:r>
        <w:rPr>
          <w:sz w:val="18"/>
        </w:rPr>
        <w:t>2014).</w:t>
        <w:tab/>
        <w:t>92</w:t>
      </w:r>
    </w:p>
    <w:p>
      <w:pPr>
        <w:tabs>
          <w:tab w:pos="8931" w:val="right" w:leader="dot"/>
        </w:tabs>
        <w:spacing w:line="362" w:lineRule="auto" w:before="4"/>
        <w:ind w:left="100" w:right="114" w:firstLine="0"/>
        <w:jc w:val="both"/>
        <w:rPr>
          <w:sz w:val="18"/>
        </w:rPr>
      </w:pPr>
      <w:r>
        <w:rPr>
          <w:sz w:val="18"/>
        </w:rPr>
        <w:t>Figura 2.34. Pieza impresa en azúcar (Fuente: </w:t>
      </w:r>
      <w:hyperlink r:id="rId245">
        <w:r>
          <w:rPr>
            <w:sz w:val="18"/>
          </w:rPr>
          <w:t>http://inhabitat.com/the-sugar-lab-uses-a-3d-printer-to-create-</w:t>
        </w:r>
      </w:hyperlink>
      <w:r>
        <w:rPr>
          <w:sz w:val="18"/>
        </w:rPr>
        <w:t> sweet-edible-geometric-sculptures/, consultado el 16 de marzo</w:t>
      </w:r>
      <w:r>
        <w:rPr>
          <w:spacing w:val="-5"/>
          <w:sz w:val="18"/>
        </w:rPr>
        <w:t> </w:t>
      </w:r>
      <w:r>
        <w:rPr>
          <w:sz w:val="18"/>
        </w:rPr>
        <w:t>de</w:t>
      </w:r>
      <w:r>
        <w:rPr>
          <w:spacing w:val="-4"/>
          <w:sz w:val="18"/>
        </w:rPr>
        <w:t> </w:t>
      </w:r>
      <w:r>
        <w:rPr>
          <w:sz w:val="18"/>
        </w:rPr>
        <w:t>2013).</w:t>
        <w:tab/>
        <w:t>94</w:t>
      </w:r>
    </w:p>
    <w:p>
      <w:pPr>
        <w:tabs>
          <w:tab w:pos="8931" w:val="right" w:leader="dot"/>
        </w:tabs>
        <w:spacing w:line="362" w:lineRule="auto" w:before="0"/>
        <w:ind w:left="100" w:right="114" w:firstLine="0"/>
        <w:jc w:val="both"/>
        <w:rPr>
          <w:sz w:val="18"/>
        </w:rPr>
      </w:pPr>
      <w:r>
        <w:rPr>
          <w:sz w:val="18"/>
        </w:rPr>
        <w:t>Figura 2.35. Diseño de Wieki Somers (Fuente: </w:t>
      </w:r>
      <w:hyperlink r:id="rId246">
        <w:r>
          <w:rPr>
            <w:sz w:val="18"/>
          </w:rPr>
          <w:t>http://inhabitat.com/artist-uses-3d-printer-to-turn-human-ashes-</w:t>
        </w:r>
      </w:hyperlink>
      <w:r>
        <w:rPr>
          <w:sz w:val="18"/>
        </w:rPr>
        <w:t> into-objects/,  consultado el 17 de marzo</w:t>
      </w:r>
      <w:r>
        <w:rPr>
          <w:spacing w:val="-7"/>
          <w:sz w:val="18"/>
        </w:rPr>
        <w:t> </w:t>
      </w:r>
      <w:r>
        <w:rPr>
          <w:sz w:val="18"/>
        </w:rPr>
        <w:t>de 2014).</w:t>
        <w:tab/>
        <w:t>95</w:t>
      </w:r>
    </w:p>
    <w:p>
      <w:pPr>
        <w:tabs>
          <w:tab w:pos="8931" w:val="right" w:leader="dot"/>
        </w:tabs>
        <w:spacing w:line="360" w:lineRule="auto" w:before="0"/>
        <w:ind w:left="100" w:right="110" w:firstLine="0"/>
        <w:jc w:val="left"/>
        <w:rPr>
          <w:sz w:val="18"/>
        </w:rPr>
      </w:pPr>
      <w:r>
        <w:rPr>
          <w:sz w:val="18"/>
        </w:rPr>
        <w:t>Figura 2.36. Diseño de Neri Oxman. (Fuente: </w:t>
      </w:r>
      <w:hyperlink r:id="rId247">
        <w:r>
          <w:rPr>
            <w:sz w:val="18"/>
          </w:rPr>
          <w:t>http://3dprintingindustry.com/2014/03/27/neri-oxman-pursues-3d-</w:t>
        </w:r>
      </w:hyperlink>
      <w:r>
        <w:rPr>
          <w:sz w:val="18"/>
        </w:rPr>
        <w:t> printing-multi-materials-latest-mythical-installation- gemini/?utm_source=Facebook&amp;utm_medium=social&amp;utm_campaign=3DPI%2BFacebook, consultado el 28 de marzo</w:t>
      </w:r>
      <w:r>
        <w:rPr>
          <w:spacing w:val="1"/>
          <w:sz w:val="18"/>
        </w:rPr>
        <w:t> </w:t>
      </w:r>
      <w:r>
        <w:rPr>
          <w:sz w:val="18"/>
        </w:rPr>
        <w:t>de 2014)</w:t>
        <w:tab/>
        <w:t>96</w:t>
      </w:r>
    </w:p>
    <w:p>
      <w:pPr>
        <w:spacing w:after="0" w:line="360" w:lineRule="auto"/>
        <w:jc w:val="left"/>
        <w:rPr>
          <w:sz w:val="18"/>
        </w:rPr>
        <w:sectPr>
          <w:pgSz w:w="12240" w:h="15840"/>
          <w:pgMar w:header="0" w:footer="1031" w:top="1360" w:bottom="1160" w:left="1600" w:right="1580"/>
        </w:sectPr>
      </w:pPr>
    </w:p>
    <w:p>
      <w:pPr>
        <w:tabs>
          <w:tab w:pos="8931" w:val="right" w:leader="dot"/>
        </w:tabs>
        <w:spacing w:line="362" w:lineRule="auto" w:before="51"/>
        <w:ind w:left="100" w:right="116" w:firstLine="0"/>
        <w:jc w:val="both"/>
        <w:rPr>
          <w:sz w:val="18"/>
        </w:rPr>
      </w:pPr>
      <w:r>
        <w:rPr>
          <w:sz w:val="18"/>
        </w:rPr>
        <w:t>Figura 2.37. Tira de tocino Moebius, Impreso en </w:t>
      </w:r>
      <w:r>
        <w:rPr>
          <w:spacing w:val="-3"/>
          <w:sz w:val="18"/>
        </w:rPr>
        <w:t>3D </w:t>
      </w:r>
      <w:r>
        <w:rPr>
          <w:sz w:val="18"/>
        </w:rPr>
        <w:t>“Toma la carne falsa hasta el infinito y más allá”. (Fuente: </w:t>
      </w:r>
      <w:hyperlink r:id="rId230">
        <w:r>
          <w:rPr>
            <w:sz w:val="18"/>
          </w:rPr>
          <w:t>http://inhabitat.com/3d-printed-vegan-bacon-mobius-strip-takes-fake-meat-to-infinity-and-beyond/</w:t>
        </w:r>
      </w:hyperlink>
      <w:r>
        <w:rPr>
          <w:sz w:val="18"/>
        </w:rPr>
        <w:t> html, consultado el día 16 de marzo</w:t>
      </w:r>
      <w:r>
        <w:rPr>
          <w:spacing w:val="-7"/>
          <w:sz w:val="18"/>
        </w:rPr>
        <w:t> </w:t>
      </w:r>
      <w:r>
        <w:rPr>
          <w:sz w:val="18"/>
        </w:rPr>
        <w:t>de 2004).</w:t>
        <w:tab/>
        <w:t>96</w:t>
      </w:r>
    </w:p>
    <w:p>
      <w:pPr>
        <w:tabs>
          <w:tab w:pos="8931" w:val="right" w:leader="dot"/>
        </w:tabs>
        <w:spacing w:line="362" w:lineRule="auto" w:before="0"/>
        <w:ind w:left="100" w:right="123" w:firstLine="0"/>
        <w:jc w:val="both"/>
        <w:rPr>
          <w:sz w:val="18"/>
        </w:rPr>
      </w:pPr>
      <w:r>
        <w:rPr>
          <w:sz w:val="18"/>
        </w:rPr>
        <w:t>Figura 2.38. Proyecto huevo de Van der Kley (Fuente: </w:t>
      </w:r>
      <w:hyperlink r:id="rId89">
        <w:r>
          <w:rPr>
            <w:sz w:val="18"/>
          </w:rPr>
          <w:t>http://blog.es.rhino3d.com/,</w:t>
        </w:r>
      </w:hyperlink>
      <w:r>
        <w:rPr>
          <w:sz w:val="18"/>
        </w:rPr>
        <w:t> consultado el 6 de noviembre de</w:t>
      </w:r>
      <w:r>
        <w:rPr>
          <w:spacing w:val="-3"/>
          <w:sz w:val="18"/>
        </w:rPr>
        <w:t> </w:t>
      </w:r>
      <w:r>
        <w:rPr>
          <w:sz w:val="18"/>
        </w:rPr>
        <w:t>2013).</w:t>
        <w:tab/>
        <w:t>97</w:t>
      </w:r>
    </w:p>
    <w:p>
      <w:pPr>
        <w:tabs>
          <w:tab w:pos="852" w:val="left" w:leader="none"/>
          <w:tab w:pos="1499" w:val="left" w:leader="none"/>
          <w:tab w:pos="2551" w:val="left" w:leader="none"/>
          <w:tab w:pos="3071" w:val="left" w:leader="none"/>
          <w:tab w:pos="3954" w:val="left" w:leader="none"/>
          <w:tab w:pos="4394" w:val="left" w:leader="none"/>
          <w:tab w:pos="5417" w:val="left" w:leader="none"/>
          <w:tab w:pos="5857" w:val="left" w:leader="none"/>
          <w:tab w:pos="6709" w:val="left" w:leader="none"/>
          <w:tab w:pos="7244" w:val="left" w:leader="none"/>
          <w:tab w:pos="8931" w:val="right" w:leader="dot"/>
        </w:tabs>
        <w:spacing w:line="360" w:lineRule="auto" w:before="3"/>
        <w:ind w:left="100" w:right="123" w:firstLine="0"/>
        <w:jc w:val="left"/>
        <w:rPr>
          <w:sz w:val="18"/>
        </w:rPr>
      </w:pPr>
      <w:r>
        <w:rPr>
          <w:sz w:val="18"/>
        </w:rPr>
        <w:t>Figura</w:t>
        <w:tab/>
        <w:t>2.39.</w:t>
        <w:tab/>
        <w:t>Impresora</w:t>
        <w:tab/>
        <w:t>3D,</w:t>
        <w:tab/>
        <w:t>material</w:t>
        <w:tab/>
        <w:t>de</w:t>
        <w:tab/>
        <w:t>impresión</w:t>
        <w:tab/>
        <w:t>de</w:t>
        <w:tab/>
        <w:t>madera</w:t>
        <w:tab/>
        <w:t>con</w:t>
        <w:tab/>
        <w:t>resina.        </w:t>
      </w:r>
      <w:r>
        <w:rPr>
          <w:spacing w:val="26"/>
          <w:sz w:val="18"/>
        </w:rPr>
        <w:t> </w:t>
      </w:r>
      <w:r>
        <w:rPr>
          <w:sz w:val="18"/>
        </w:rPr>
        <w:t>(Fuente:</w:t>
      </w:r>
      <w:r>
        <w:rPr>
          <w:w w:val="100"/>
          <w:sz w:val="18"/>
        </w:rPr>
        <w:t> </w:t>
      </w:r>
      <w:hyperlink r:id="rId248">
        <w:r>
          <w:rPr>
            <w:sz w:val="18"/>
          </w:rPr>
          <w:t>http://proyectolleona.blogspot.mx/search?updated-min=2012-12-31T15:00:00-08:00&amp;updated-max=2013-06-</w:t>
        </w:r>
      </w:hyperlink>
      <w:r>
        <w:rPr>
          <w:sz w:val="18"/>
        </w:rPr>
        <w:t> 22T15:31:00%2B02:00&amp;max-results=3&amp;start=3&amp;by-date=false,  consultado el 26 de junio</w:t>
      </w:r>
      <w:r>
        <w:rPr>
          <w:spacing w:val="-8"/>
          <w:sz w:val="18"/>
        </w:rPr>
        <w:t> </w:t>
      </w:r>
      <w:r>
        <w:rPr>
          <w:sz w:val="18"/>
        </w:rPr>
        <w:t>de</w:t>
      </w:r>
      <w:r>
        <w:rPr>
          <w:spacing w:val="-4"/>
          <w:sz w:val="18"/>
        </w:rPr>
        <w:t> </w:t>
      </w:r>
      <w:r>
        <w:rPr>
          <w:sz w:val="18"/>
        </w:rPr>
        <w:t>2013).</w:t>
        <w:tab/>
        <w:t>97</w:t>
      </w:r>
    </w:p>
    <w:p>
      <w:pPr>
        <w:tabs>
          <w:tab w:pos="8931" w:val="right" w:leader="dot"/>
        </w:tabs>
        <w:spacing w:line="362" w:lineRule="auto" w:before="0"/>
        <w:ind w:left="100" w:right="122" w:firstLine="0"/>
        <w:jc w:val="both"/>
        <w:rPr>
          <w:sz w:val="18"/>
        </w:rPr>
      </w:pPr>
      <w:r>
        <w:rPr>
          <w:sz w:val="18"/>
        </w:rPr>
        <w:t>Figura 2.40. Noción de baile de vidrio. (Fuente: </w:t>
      </w:r>
      <w:hyperlink r:id="rId93">
        <w:r>
          <w:rPr>
            <w:sz w:val="18"/>
          </w:rPr>
          <w:t>http://www.kevinmackart.com/sculpture.html,</w:t>
        </w:r>
      </w:hyperlink>
      <w:r>
        <w:rPr>
          <w:sz w:val="18"/>
        </w:rPr>
        <w:t> consultado 8 de noviembre</w:t>
      </w:r>
      <w:r>
        <w:rPr>
          <w:spacing w:val="1"/>
          <w:sz w:val="18"/>
        </w:rPr>
        <w:t> </w:t>
      </w:r>
      <w:r>
        <w:rPr>
          <w:sz w:val="18"/>
        </w:rPr>
        <w:t>de</w:t>
      </w:r>
      <w:r>
        <w:rPr>
          <w:spacing w:val="-3"/>
          <w:sz w:val="18"/>
        </w:rPr>
        <w:t> </w:t>
      </w:r>
      <w:r>
        <w:rPr>
          <w:sz w:val="18"/>
        </w:rPr>
        <w:t>2013).</w:t>
        <w:tab/>
        <w:t>98</w:t>
      </w:r>
    </w:p>
    <w:p>
      <w:pPr>
        <w:tabs>
          <w:tab w:pos="8931" w:val="right" w:leader="dot"/>
        </w:tabs>
        <w:spacing w:line="360" w:lineRule="auto" w:before="2"/>
        <w:ind w:left="100" w:right="118" w:firstLine="0"/>
        <w:jc w:val="both"/>
        <w:rPr>
          <w:sz w:val="18"/>
        </w:rPr>
      </w:pPr>
      <w:r>
        <w:rPr>
          <w:sz w:val="18"/>
        </w:rPr>
        <w:t>Figura 2.41. Dan Collins. Resina de poliéster sobre de corte de espuma de uretano CNC. 96” x 30” x 30” con zócalo de madera contrachapada. Universidad del Estado de Arizona. (Fuente: </w:t>
      </w:r>
      <w:hyperlink r:id="rId95">
        <w:r>
          <w:rPr>
            <w:sz w:val="18"/>
          </w:rPr>
          <w:t>http://digitaleyes2008.org/?q=gallery-twister,</w:t>
        </w:r>
      </w:hyperlink>
      <w:r>
        <w:rPr>
          <w:sz w:val="18"/>
        </w:rPr>
        <w:t>  consultado el 8 de noviembre</w:t>
      </w:r>
      <w:r>
        <w:rPr>
          <w:spacing w:val="-9"/>
          <w:sz w:val="18"/>
        </w:rPr>
        <w:t> </w:t>
      </w:r>
      <w:r>
        <w:rPr>
          <w:sz w:val="18"/>
        </w:rPr>
        <w:t>de 2013)</w:t>
        <w:tab/>
        <w:t>99</w:t>
      </w:r>
    </w:p>
    <w:p>
      <w:pPr>
        <w:tabs>
          <w:tab w:pos="8931" w:val="right" w:leader="dot"/>
        </w:tabs>
        <w:spacing w:line="357" w:lineRule="auto" w:before="4"/>
        <w:ind w:left="100" w:right="125" w:firstLine="0"/>
        <w:jc w:val="both"/>
        <w:rPr>
          <w:sz w:val="18"/>
        </w:rPr>
      </w:pPr>
      <w:r>
        <w:rPr>
          <w:sz w:val="18"/>
        </w:rPr>
        <w:t>Figura 2.42. Título del video: CNC de corte y fresado de poliestiréno (Fuente: </w:t>
      </w:r>
      <w:hyperlink r:id="rId99">
        <w:r>
          <w:rPr>
            <w:sz w:val="18"/>
          </w:rPr>
          <w:t>http://vimeo.com/52480287,</w:t>
        </w:r>
      </w:hyperlink>
      <w:r>
        <w:rPr>
          <w:sz w:val="18"/>
        </w:rPr>
        <w:t> consultado el 23 de junio</w:t>
      </w:r>
      <w:r>
        <w:rPr>
          <w:spacing w:val="-7"/>
          <w:sz w:val="18"/>
        </w:rPr>
        <w:t> </w:t>
      </w:r>
      <w:r>
        <w:rPr>
          <w:sz w:val="18"/>
        </w:rPr>
        <w:t>de</w:t>
      </w:r>
      <w:r>
        <w:rPr>
          <w:spacing w:val="1"/>
          <w:sz w:val="18"/>
        </w:rPr>
        <w:t> </w:t>
      </w:r>
      <w:r>
        <w:rPr>
          <w:sz w:val="18"/>
        </w:rPr>
        <w:t>2013).</w:t>
        <w:tab/>
        <w:t>100</w:t>
      </w:r>
    </w:p>
    <w:p>
      <w:pPr>
        <w:tabs>
          <w:tab w:pos="8931" w:val="right" w:leader="dot"/>
        </w:tabs>
        <w:spacing w:line="360" w:lineRule="auto" w:before="6"/>
        <w:ind w:left="100" w:right="114" w:firstLine="0"/>
        <w:jc w:val="both"/>
        <w:rPr>
          <w:sz w:val="18"/>
        </w:rPr>
      </w:pPr>
      <w:r>
        <w:rPr>
          <w:sz w:val="18"/>
        </w:rPr>
        <w:t>Figura 2.43. CNC 3D de alta presiciónMulti-cabezas de 4 ejes de la carpintería Máquina Router con eje multi- Rotary. (Fuente: </w:t>
      </w:r>
      <w:hyperlink r:id="rId101">
        <w:r>
          <w:rPr>
            <w:sz w:val="18"/>
          </w:rPr>
          <w:t>http://www.youtube.com/watch?v=gjrgwZLGb4M,</w:t>
        </w:r>
      </w:hyperlink>
      <w:r>
        <w:rPr>
          <w:sz w:val="18"/>
        </w:rPr>
        <w:t> consultado el 31 de marzo de 2014)... 101 Figura 2.44. Pantógrafo inverso. Esquema del sistema para la obtención de volúmenes simétricos respecto al original. (Fuente: Matía, </w:t>
      </w:r>
      <w:r>
        <w:rPr>
          <w:spacing w:val="-3"/>
          <w:sz w:val="18"/>
        </w:rPr>
        <w:t>et</w:t>
      </w:r>
      <w:r>
        <w:rPr>
          <w:spacing w:val="7"/>
          <w:sz w:val="18"/>
        </w:rPr>
        <w:t> </w:t>
      </w:r>
      <w:r>
        <w:rPr>
          <w:sz w:val="18"/>
        </w:rPr>
        <w:t>al.:</w:t>
      </w:r>
      <w:r>
        <w:rPr>
          <w:spacing w:val="-2"/>
          <w:sz w:val="18"/>
        </w:rPr>
        <w:t> </w:t>
      </w:r>
      <w:r>
        <w:rPr>
          <w:sz w:val="18"/>
        </w:rPr>
        <w:t>123).</w:t>
        <w:tab/>
        <w:t>102</w:t>
      </w:r>
    </w:p>
    <w:p>
      <w:pPr>
        <w:tabs>
          <w:tab w:pos="8931" w:val="right" w:leader="dot"/>
        </w:tabs>
        <w:spacing w:line="362" w:lineRule="auto" w:before="0"/>
        <w:ind w:left="100" w:right="114" w:firstLine="0"/>
        <w:jc w:val="both"/>
        <w:rPr>
          <w:sz w:val="18"/>
        </w:rPr>
      </w:pPr>
      <w:r>
        <w:rPr>
          <w:sz w:val="18"/>
        </w:rPr>
        <w:t>Figura 2.45. Creado por Aki, Co. Cada pieza cortada en láser. (Fuente: </w:t>
      </w:r>
      <w:hyperlink r:id="rId249">
        <w:r>
          <w:rPr>
            <w:sz w:val="18"/>
          </w:rPr>
          <w:t>http://inhabitat.com/d-torso-creates-a-</w:t>
        </w:r>
      </w:hyperlink>
      <w:r>
        <w:rPr>
          <w:sz w:val="18"/>
        </w:rPr>
        <w:t> giant-3d-t-rex-from-laser-cut-cardboard/,  consultado el 16 de marzo</w:t>
      </w:r>
      <w:r>
        <w:rPr>
          <w:spacing w:val="-5"/>
          <w:sz w:val="18"/>
        </w:rPr>
        <w:t> </w:t>
      </w:r>
      <w:r>
        <w:rPr>
          <w:sz w:val="18"/>
        </w:rPr>
        <w:t>de</w:t>
      </w:r>
      <w:r>
        <w:rPr>
          <w:spacing w:val="-4"/>
          <w:sz w:val="18"/>
        </w:rPr>
        <w:t> </w:t>
      </w:r>
      <w:r>
        <w:rPr>
          <w:sz w:val="18"/>
        </w:rPr>
        <w:t>2014).</w:t>
        <w:tab/>
        <w:t>109</w:t>
      </w:r>
    </w:p>
    <w:p>
      <w:pPr>
        <w:tabs>
          <w:tab w:pos="8931" w:val="right" w:leader="dot"/>
        </w:tabs>
        <w:spacing w:line="362" w:lineRule="auto" w:before="0"/>
        <w:ind w:left="100" w:right="122" w:firstLine="0"/>
        <w:jc w:val="both"/>
        <w:rPr>
          <w:sz w:val="18"/>
        </w:rPr>
      </w:pPr>
      <w:r>
        <w:rPr>
          <w:sz w:val="18"/>
        </w:rPr>
        <w:t>Figura 2.46. Escaneo de escultura. (Fuente: </w:t>
      </w:r>
      <w:hyperlink r:id="rId139">
        <w:r>
          <w:rPr>
            <w:sz w:val="18"/>
          </w:rPr>
          <w:t>http://carolinabronze.com/enlargement/,</w:t>
        </w:r>
      </w:hyperlink>
      <w:r>
        <w:rPr>
          <w:sz w:val="18"/>
        </w:rPr>
        <w:t> consultado 25 de junio  de 2013).</w:t>
        <w:tab/>
        <w:t>113</w:t>
      </w:r>
    </w:p>
    <w:p>
      <w:pPr>
        <w:tabs>
          <w:tab w:pos="1212" w:val="left" w:leader="none"/>
          <w:tab w:pos="2215" w:val="left" w:leader="none"/>
          <w:tab w:pos="3111" w:val="left" w:leader="none"/>
          <w:tab w:pos="8931" w:val="right" w:leader="dot"/>
        </w:tabs>
        <w:spacing w:line="360" w:lineRule="auto" w:before="2"/>
        <w:ind w:left="100" w:right="122" w:firstLine="0"/>
        <w:jc w:val="both"/>
        <w:rPr>
          <w:sz w:val="18"/>
        </w:rPr>
      </w:pPr>
      <w:r>
        <w:rPr>
          <w:sz w:val="18"/>
        </w:rPr>
        <w:t>Figura</w:t>
        <w:tab/>
        <w:t>2.47.</w:t>
        <w:tab/>
        <w:t>Jon</w:t>
        <w:tab/>
        <w:t>Isherwood.            Granito,            6x7x5          </w:t>
      </w:r>
      <w:r>
        <w:rPr>
          <w:spacing w:val="45"/>
          <w:sz w:val="18"/>
        </w:rPr>
        <w:t> </w:t>
      </w:r>
      <w:r>
        <w:rPr>
          <w:sz w:val="18"/>
        </w:rPr>
        <w:t>feet.2003          </w:t>
      </w:r>
      <w:r>
        <w:rPr>
          <w:spacing w:val="45"/>
          <w:sz w:val="18"/>
        </w:rPr>
        <w:t> </w:t>
      </w:r>
      <w:r>
        <w:rPr>
          <w:sz w:val="18"/>
        </w:rPr>
        <w:t>(Fuente:</w:t>
      </w:r>
      <w:r>
        <w:rPr>
          <w:w w:val="100"/>
          <w:sz w:val="18"/>
        </w:rPr>
        <w:t> </w:t>
      </w:r>
      <w:hyperlink r:id="rId250">
        <w:r>
          <w:rPr>
            <w:sz w:val="18"/>
          </w:rPr>
          <w:t>http://share.pdfonline.com/2dd940720a8a44098cd11ca4f82fc97a/Escultura%20digital.%20Resumen.Lasha%2</w:t>
        </w:r>
      </w:hyperlink>
      <w:r>
        <w:rPr>
          <w:sz w:val="18"/>
        </w:rPr>
        <w:t> 0M..htm,  consultado el 25 de junio</w:t>
      </w:r>
      <w:r>
        <w:rPr>
          <w:spacing w:val="-4"/>
          <w:sz w:val="18"/>
        </w:rPr>
        <w:t> </w:t>
      </w:r>
      <w:r>
        <w:rPr>
          <w:sz w:val="18"/>
        </w:rPr>
        <w:t>de 2013).</w:t>
        <w:tab/>
        <w:t>114</w:t>
      </w:r>
    </w:p>
    <w:p>
      <w:pPr>
        <w:tabs>
          <w:tab w:pos="8931" w:val="right" w:leader="dot"/>
        </w:tabs>
        <w:spacing w:line="357" w:lineRule="auto" w:before="4"/>
        <w:ind w:left="100" w:right="120" w:firstLine="0"/>
        <w:jc w:val="both"/>
        <w:rPr>
          <w:sz w:val="18"/>
        </w:rPr>
      </w:pPr>
      <w:r>
        <w:rPr>
          <w:sz w:val="18"/>
        </w:rPr>
        <w:t>Figura 2.48. Sander, Cuerpos escaneados e impresos en PR. (Fuente </w:t>
      </w:r>
      <w:hyperlink r:id="rId143">
        <w:r>
          <w:rPr>
            <w:sz w:val="18"/>
          </w:rPr>
          <w:t>http://www.vvork.com/index.php?s=karin+sander,</w:t>
        </w:r>
      </w:hyperlink>
      <w:r>
        <w:rPr>
          <w:sz w:val="18"/>
        </w:rPr>
        <w:t> consultado el día 11 de agosto</w:t>
      </w:r>
      <w:r>
        <w:rPr>
          <w:spacing w:val="-11"/>
          <w:sz w:val="18"/>
        </w:rPr>
        <w:t> </w:t>
      </w:r>
      <w:r>
        <w:rPr>
          <w:sz w:val="18"/>
        </w:rPr>
        <w:t>de</w:t>
      </w:r>
      <w:r>
        <w:rPr>
          <w:spacing w:val="7"/>
          <w:sz w:val="18"/>
        </w:rPr>
        <w:t> </w:t>
      </w:r>
      <w:r>
        <w:rPr>
          <w:sz w:val="18"/>
        </w:rPr>
        <w:t>2013)</w:t>
        <w:tab/>
        <w:t>114</w:t>
      </w:r>
    </w:p>
    <w:p>
      <w:pPr>
        <w:tabs>
          <w:tab w:pos="8931" w:val="right" w:leader="dot"/>
        </w:tabs>
        <w:spacing w:line="360" w:lineRule="auto" w:before="6"/>
        <w:ind w:left="100" w:right="114" w:firstLine="0"/>
        <w:jc w:val="both"/>
        <w:rPr>
          <w:sz w:val="18"/>
        </w:rPr>
      </w:pPr>
      <w:r>
        <w:rPr>
          <w:sz w:val="18"/>
        </w:rPr>
        <w:t>Figura 2.49. Escultura de un aviador ampliado seis veces. (Fuente: </w:t>
      </w:r>
      <w:hyperlink r:id="rId251">
        <w:r>
          <w:rPr>
            <w:sz w:val="18"/>
          </w:rPr>
          <w:t>http://www.innovmetric.com/polyworks/3D-</w:t>
        </w:r>
      </w:hyperlink>
      <w:r>
        <w:rPr>
          <w:sz w:val="18"/>
        </w:rPr>
        <w:t> scanners/pdf/PolyWorks_CaseStudy_Johnson_Atelier.pdf, consultado el día 22 de noviembre de 2014). .. 116 Figura 2.50. El taller de producción LaranBronze Inc., a) Ala restaura colocada en espejo, b) Foto de escaneado 3D y ampliación (Fuente: </w:t>
      </w:r>
      <w:hyperlink r:id="rId252">
        <w:r>
          <w:rPr>
            <w:sz w:val="18"/>
          </w:rPr>
          <w:t>http://laranbronze.com/3d-scanning-and-enlarging/,</w:t>
        </w:r>
      </w:hyperlink>
      <w:r>
        <w:rPr>
          <w:sz w:val="18"/>
        </w:rPr>
        <w:t> consultado el día </w:t>
      </w:r>
      <w:r>
        <w:rPr>
          <w:spacing w:val="-3"/>
          <w:sz w:val="18"/>
        </w:rPr>
        <w:t>22 </w:t>
      </w:r>
      <w:r>
        <w:rPr>
          <w:sz w:val="18"/>
        </w:rPr>
        <w:t>de noviembre</w:t>
      </w:r>
      <w:r>
        <w:rPr>
          <w:spacing w:val="49"/>
          <w:sz w:val="18"/>
        </w:rPr>
        <w:t> </w:t>
      </w:r>
      <w:r>
        <w:rPr>
          <w:sz w:val="18"/>
        </w:rPr>
        <w:t>de</w:t>
      </w:r>
      <w:r>
        <w:rPr>
          <w:spacing w:val="-3"/>
          <w:sz w:val="18"/>
        </w:rPr>
        <w:t> </w:t>
      </w:r>
      <w:r>
        <w:rPr>
          <w:sz w:val="18"/>
        </w:rPr>
        <w:t>2013).</w:t>
        <w:tab/>
        <w:t>117</w:t>
      </w:r>
    </w:p>
    <w:p>
      <w:pPr>
        <w:tabs>
          <w:tab w:pos="8931" w:val="right" w:leader="dot"/>
        </w:tabs>
        <w:spacing w:line="362" w:lineRule="auto" w:before="4"/>
        <w:ind w:left="100" w:right="119" w:firstLine="0"/>
        <w:jc w:val="both"/>
        <w:rPr>
          <w:sz w:val="18"/>
        </w:rPr>
      </w:pPr>
      <w:r>
        <w:rPr>
          <w:sz w:val="18"/>
        </w:rPr>
        <w:t>Figura 2.51. Escaneo 3D y el corte en una máquina CNC de 5 ejes, imágenes obtenidas de video Youtube (Fuente: </w:t>
      </w:r>
      <w:hyperlink r:id="rId152">
        <w:r>
          <w:rPr>
            <w:sz w:val="18"/>
          </w:rPr>
          <w:t>http://www.youtube.com/watch?v=1p-nTYKPo_I,</w:t>
        </w:r>
      </w:hyperlink>
      <w:r>
        <w:rPr>
          <w:sz w:val="18"/>
        </w:rPr>
        <w:t>  consultado el  29 de marzo</w:t>
      </w:r>
      <w:r>
        <w:rPr>
          <w:spacing w:val="-6"/>
          <w:sz w:val="18"/>
        </w:rPr>
        <w:t> </w:t>
      </w:r>
      <w:r>
        <w:rPr>
          <w:sz w:val="18"/>
        </w:rPr>
        <w:t>de</w:t>
      </w:r>
      <w:r>
        <w:rPr>
          <w:spacing w:val="-4"/>
          <w:sz w:val="18"/>
        </w:rPr>
        <w:t> </w:t>
      </w:r>
      <w:r>
        <w:rPr>
          <w:sz w:val="18"/>
        </w:rPr>
        <w:t>2014).</w:t>
        <w:tab/>
        <w:t>117</w:t>
      </w:r>
    </w:p>
    <w:p>
      <w:pPr>
        <w:tabs>
          <w:tab w:pos="8931" w:val="right" w:leader="dot"/>
        </w:tabs>
        <w:spacing w:line="205" w:lineRule="exact" w:before="0"/>
        <w:ind w:left="100" w:right="0" w:firstLine="0"/>
        <w:jc w:val="both"/>
        <w:rPr>
          <w:sz w:val="18"/>
        </w:rPr>
      </w:pPr>
      <w:r>
        <w:rPr>
          <w:sz w:val="18"/>
        </w:rPr>
        <w:t>Figura 3.1. Tres pilares del modelo de sustentabilidad. (Fuente: Elkington,</w:t>
      </w:r>
      <w:r>
        <w:rPr>
          <w:spacing w:val="-9"/>
          <w:sz w:val="18"/>
        </w:rPr>
        <w:t> </w:t>
      </w:r>
      <w:r>
        <w:rPr>
          <w:sz w:val="18"/>
        </w:rPr>
        <w:t>2002:</w:t>
      </w:r>
      <w:r>
        <w:rPr>
          <w:spacing w:val="-2"/>
          <w:sz w:val="18"/>
        </w:rPr>
        <w:t> </w:t>
      </w:r>
      <w:r>
        <w:rPr>
          <w:sz w:val="18"/>
        </w:rPr>
        <w:t>73).</w:t>
        <w:tab/>
        <w:t>125</w:t>
      </w:r>
    </w:p>
    <w:p>
      <w:pPr>
        <w:tabs>
          <w:tab w:pos="8931" w:val="right" w:leader="dot"/>
        </w:tabs>
        <w:spacing w:before="105"/>
        <w:ind w:left="100" w:right="0" w:firstLine="0"/>
        <w:jc w:val="both"/>
        <w:rPr>
          <w:sz w:val="18"/>
        </w:rPr>
      </w:pPr>
      <w:r>
        <w:rPr>
          <w:sz w:val="18"/>
        </w:rPr>
        <w:t>Figura 3.2. Las interacciones entre lo ecológico, lo económico y</w:t>
      </w:r>
      <w:r>
        <w:rPr>
          <w:spacing w:val="-4"/>
          <w:sz w:val="18"/>
        </w:rPr>
        <w:t> </w:t>
      </w:r>
      <w:r>
        <w:rPr>
          <w:sz w:val="18"/>
        </w:rPr>
        <w:t>lo social</w:t>
        <w:tab/>
        <w:t>126</w:t>
      </w:r>
    </w:p>
    <w:p>
      <w:pPr>
        <w:tabs>
          <w:tab w:pos="8931" w:val="right" w:leader="dot"/>
        </w:tabs>
        <w:spacing w:before="101"/>
        <w:ind w:left="100" w:right="0" w:firstLine="0"/>
        <w:jc w:val="both"/>
        <w:rPr>
          <w:sz w:val="18"/>
        </w:rPr>
      </w:pPr>
      <w:r>
        <w:rPr>
          <w:sz w:val="18"/>
        </w:rPr>
        <w:t>Figura 3.3. Etapas del ACV. (Fuente:</w:t>
      </w:r>
      <w:r>
        <w:rPr>
          <w:spacing w:val="1"/>
          <w:sz w:val="18"/>
        </w:rPr>
        <w:t> </w:t>
      </w:r>
      <w:r>
        <w:rPr>
          <w:sz w:val="18"/>
        </w:rPr>
        <w:t>Romero,</w:t>
      </w:r>
      <w:r>
        <w:rPr>
          <w:spacing w:val="-2"/>
          <w:sz w:val="18"/>
        </w:rPr>
        <w:t> </w:t>
      </w:r>
      <w:r>
        <w:rPr>
          <w:sz w:val="18"/>
        </w:rPr>
        <w:t>1997).</w:t>
        <w:tab/>
        <w:t>139</w:t>
      </w:r>
    </w:p>
    <w:p>
      <w:pPr>
        <w:tabs>
          <w:tab w:pos="8931" w:val="right" w:leader="dot"/>
        </w:tabs>
        <w:spacing w:before="105"/>
        <w:ind w:left="100" w:right="0" w:firstLine="0"/>
        <w:jc w:val="both"/>
        <w:rPr>
          <w:sz w:val="18"/>
        </w:rPr>
      </w:pPr>
      <w:r>
        <w:rPr>
          <w:sz w:val="18"/>
        </w:rPr>
        <w:t>Figura 3.4.Objetivos y alcance de estudio. (Fuente:</w:t>
      </w:r>
      <w:r>
        <w:rPr>
          <w:spacing w:val="-10"/>
          <w:sz w:val="18"/>
        </w:rPr>
        <w:t> </w:t>
      </w:r>
      <w:r>
        <w:rPr>
          <w:sz w:val="18"/>
        </w:rPr>
        <w:t>Giménez,</w:t>
      </w:r>
      <w:r>
        <w:rPr>
          <w:spacing w:val="2"/>
          <w:sz w:val="18"/>
        </w:rPr>
        <w:t> </w:t>
      </w:r>
      <w:r>
        <w:rPr>
          <w:sz w:val="18"/>
        </w:rPr>
        <w:t>2012)</w:t>
        <w:tab/>
        <w:t>141</w:t>
      </w:r>
    </w:p>
    <w:p>
      <w:pPr>
        <w:tabs>
          <w:tab w:pos="8931" w:val="right" w:leader="dot"/>
        </w:tabs>
        <w:spacing w:before="105"/>
        <w:ind w:left="100" w:right="0" w:firstLine="0"/>
        <w:jc w:val="both"/>
        <w:rPr>
          <w:sz w:val="18"/>
        </w:rPr>
      </w:pPr>
      <w:r>
        <w:rPr>
          <w:sz w:val="18"/>
        </w:rPr>
        <w:t>Figura 3.5. Muestra el Mindpoint y el Endpoint. (Fuente:</w:t>
      </w:r>
      <w:r>
        <w:rPr>
          <w:spacing w:val="4"/>
          <w:sz w:val="18"/>
        </w:rPr>
        <w:t> </w:t>
      </w:r>
      <w:r>
        <w:rPr>
          <w:sz w:val="18"/>
        </w:rPr>
        <w:t>Giménez,</w:t>
      </w:r>
      <w:r>
        <w:rPr>
          <w:spacing w:val="2"/>
          <w:sz w:val="18"/>
        </w:rPr>
        <w:t> </w:t>
      </w:r>
      <w:r>
        <w:rPr>
          <w:sz w:val="18"/>
        </w:rPr>
        <w:t>2012)</w:t>
        <w:tab/>
        <w:t>147</w:t>
      </w:r>
    </w:p>
    <w:p>
      <w:pPr>
        <w:tabs>
          <w:tab w:pos="8931" w:val="right" w:leader="dot"/>
        </w:tabs>
        <w:spacing w:before="101"/>
        <w:ind w:left="100" w:right="0" w:firstLine="0"/>
        <w:jc w:val="both"/>
        <w:rPr>
          <w:sz w:val="18"/>
        </w:rPr>
      </w:pPr>
      <w:r>
        <w:rPr>
          <w:sz w:val="18"/>
        </w:rPr>
        <w:t>Figura 3.6. Categorías de impacto. (Fuente: Giménez,</w:t>
      </w:r>
      <w:r>
        <w:rPr>
          <w:spacing w:val="2"/>
          <w:sz w:val="18"/>
        </w:rPr>
        <w:t> </w:t>
      </w:r>
      <w:r>
        <w:rPr>
          <w:sz w:val="18"/>
        </w:rPr>
        <w:t>2012:</w:t>
      </w:r>
      <w:r>
        <w:rPr>
          <w:spacing w:val="2"/>
          <w:sz w:val="18"/>
        </w:rPr>
        <w:t> </w:t>
      </w:r>
      <w:r>
        <w:rPr>
          <w:sz w:val="18"/>
        </w:rPr>
        <w:t>8)</w:t>
        <w:tab/>
        <w:t>150</w:t>
      </w:r>
    </w:p>
    <w:p>
      <w:pPr>
        <w:tabs>
          <w:tab w:pos="8931" w:val="right" w:leader="dot"/>
        </w:tabs>
        <w:spacing w:before="105"/>
        <w:ind w:left="100" w:right="0" w:firstLine="0"/>
        <w:jc w:val="both"/>
        <w:rPr>
          <w:sz w:val="18"/>
        </w:rPr>
      </w:pPr>
      <w:r>
        <w:rPr>
          <w:sz w:val="18"/>
        </w:rPr>
        <w:t>Figura 4.1. Impactos por pieza, que funciona a la máxima utilización. (Fuente:</w:t>
      </w:r>
      <w:r>
        <w:rPr>
          <w:spacing w:val="-5"/>
          <w:sz w:val="18"/>
        </w:rPr>
        <w:t> </w:t>
      </w:r>
      <w:r>
        <w:rPr>
          <w:sz w:val="18"/>
        </w:rPr>
        <w:t>Faludi,</w:t>
      </w:r>
      <w:r>
        <w:rPr>
          <w:spacing w:val="-2"/>
          <w:sz w:val="18"/>
        </w:rPr>
        <w:t> </w:t>
      </w:r>
      <w:r>
        <w:rPr>
          <w:sz w:val="18"/>
        </w:rPr>
        <w:t>2014).</w:t>
        <w:tab/>
        <w:t>163</w:t>
      </w:r>
    </w:p>
    <w:p>
      <w:pPr>
        <w:spacing w:after="0"/>
        <w:jc w:val="both"/>
        <w:rPr>
          <w:sz w:val="18"/>
        </w:rPr>
        <w:sectPr>
          <w:pgSz w:w="12240" w:h="15840"/>
          <w:pgMar w:header="0" w:footer="1031" w:top="1360" w:bottom="1220" w:left="1600" w:right="1580"/>
        </w:sectPr>
      </w:pPr>
    </w:p>
    <w:p>
      <w:pPr>
        <w:tabs>
          <w:tab w:pos="8931" w:val="right" w:leader="dot"/>
        </w:tabs>
        <w:spacing w:before="51"/>
        <w:ind w:left="100" w:right="0" w:firstLine="0"/>
        <w:jc w:val="both"/>
        <w:rPr>
          <w:sz w:val="18"/>
        </w:rPr>
      </w:pPr>
      <w:r>
        <w:rPr>
          <w:sz w:val="18"/>
        </w:rPr>
        <w:t>Figura 4.2. Impactos de inactividad vs. máxima utilización. (Fuente:</w:t>
      </w:r>
      <w:r>
        <w:rPr>
          <w:spacing w:val="-5"/>
          <w:sz w:val="18"/>
        </w:rPr>
        <w:t> </w:t>
      </w:r>
      <w:r>
        <w:rPr>
          <w:sz w:val="18"/>
        </w:rPr>
        <w:t>Faludi,</w:t>
      </w:r>
      <w:r>
        <w:rPr>
          <w:spacing w:val="2"/>
          <w:sz w:val="18"/>
        </w:rPr>
        <w:t> </w:t>
      </w:r>
      <w:r>
        <w:rPr>
          <w:sz w:val="18"/>
        </w:rPr>
        <w:t>2014)</w:t>
        <w:tab/>
        <w:t>163</w:t>
      </w:r>
    </w:p>
    <w:p>
      <w:pPr>
        <w:tabs>
          <w:tab w:pos="8931" w:val="right" w:leader="dot"/>
        </w:tabs>
        <w:spacing w:line="362" w:lineRule="auto" w:before="101"/>
        <w:ind w:left="100" w:right="121" w:firstLine="0"/>
        <w:jc w:val="both"/>
        <w:rPr>
          <w:sz w:val="18"/>
        </w:rPr>
      </w:pPr>
      <w:r>
        <w:rPr>
          <w:sz w:val="18"/>
        </w:rPr>
        <w:t>Figura 4.3</w:t>
      </w:r>
      <w:r>
        <w:rPr>
          <w:b/>
          <w:sz w:val="18"/>
        </w:rPr>
        <w:t>.</w:t>
      </w:r>
      <w:r>
        <w:rPr>
          <w:sz w:val="18"/>
        </w:rPr>
        <w:t>Tasas individuales de emisión de UFP de las impresoras 3D que utilizan dos tipos de materias primas termoplásticas en este estudio: (a) las tasas de emisión de tamaño con resolución (11.5e116 nm) y (b) total de UFP (&lt;100 nm) las tasas de emisión. (Fuente: Stephens et</w:t>
      </w:r>
      <w:r>
        <w:rPr>
          <w:spacing w:val="-8"/>
          <w:sz w:val="18"/>
        </w:rPr>
        <w:t> </w:t>
      </w:r>
      <w:r>
        <w:rPr>
          <w:sz w:val="18"/>
        </w:rPr>
        <w:t>al.,</w:t>
      </w:r>
      <w:r>
        <w:rPr>
          <w:spacing w:val="2"/>
          <w:sz w:val="18"/>
        </w:rPr>
        <w:t> </w:t>
      </w:r>
      <w:r>
        <w:rPr>
          <w:sz w:val="18"/>
        </w:rPr>
        <w:t>2013)</w:t>
        <w:tab/>
        <w:t>164</w:t>
      </w:r>
    </w:p>
    <w:p>
      <w:pPr>
        <w:tabs>
          <w:tab w:pos="8931" w:val="right" w:leader="dot"/>
        </w:tabs>
        <w:spacing w:line="206" w:lineRule="exact" w:before="0"/>
        <w:ind w:left="100" w:right="0" w:firstLine="0"/>
        <w:jc w:val="both"/>
        <w:rPr>
          <w:sz w:val="18"/>
        </w:rPr>
      </w:pPr>
      <w:r>
        <w:rPr>
          <w:sz w:val="18"/>
        </w:rPr>
        <w:t>Figura 4.4</w:t>
      </w:r>
      <w:r>
        <w:rPr>
          <w:b/>
          <w:sz w:val="18"/>
        </w:rPr>
        <w:t>. </w:t>
      </w:r>
      <w:r>
        <w:rPr>
          <w:sz w:val="18"/>
        </w:rPr>
        <w:t>Proceso no disolvente para preparar ácido poliláctico. (Fuente: Henton, et.</w:t>
      </w:r>
      <w:r>
        <w:rPr>
          <w:spacing w:val="-8"/>
          <w:sz w:val="18"/>
        </w:rPr>
        <w:t> </w:t>
      </w:r>
      <w:r>
        <w:rPr>
          <w:sz w:val="18"/>
        </w:rPr>
        <w:t>al.,</w:t>
      </w:r>
      <w:r>
        <w:rPr>
          <w:spacing w:val="-2"/>
          <w:sz w:val="18"/>
        </w:rPr>
        <w:t> </w:t>
      </w:r>
      <w:r>
        <w:rPr>
          <w:sz w:val="18"/>
        </w:rPr>
        <w:t>2005).</w:t>
        <w:tab/>
        <w:t>167</w:t>
      </w:r>
    </w:p>
    <w:p>
      <w:pPr>
        <w:tabs>
          <w:tab w:pos="8931" w:val="right" w:leader="dot"/>
        </w:tabs>
        <w:spacing w:before="109"/>
        <w:ind w:left="100" w:right="0" w:firstLine="0"/>
        <w:jc w:val="both"/>
        <w:rPr>
          <w:sz w:val="18"/>
        </w:rPr>
      </w:pPr>
      <w:r>
        <w:rPr>
          <w:sz w:val="18"/>
        </w:rPr>
        <w:t>Figura 4.5. Proceso de producción de PLA. (Fuente: Wijk,</w:t>
      </w:r>
      <w:r>
        <w:rPr>
          <w:spacing w:val="-6"/>
          <w:sz w:val="18"/>
        </w:rPr>
        <w:t> </w:t>
      </w:r>
      <w:r>
        <w:rPr>
          <w:sz w:val="18"/>
        </w:rPr>
        <w:t>2015:</w:t>
      </w:r>
      <w:r>
        <w:rPr>
          <w:spacing w:val="3"/>
          <w:sz w:val="18"/>
        </w:rPr>
        <w:t> </w:t>
      </w:r>
      <w:r>
        <w:rPr>
          <w:sz w:val="18"/>
        </w:rPr>
        <w:t>53).</w:t>
        <w:tab/>
        <w:t>170</w:t>
      </w:r>
    </w:p>
    <w:p>
      <w:pPr>
        <w:spacing w:before="97"/>
        <w:ind w:left="100" w:right="0" w:firstLine="0"/>
        <w:jc w:val="both"/>
        <w:rPr>
          <w:sz w:val="18"/>
        </w:rPr>
      </w:pPr>
      <w:r>
        <w:rPr>
          <w:sz w:val="18"/>
        </w:rPr>
        <w:t>Figura 4.6</w:t>
      </w:r>
      <w:r>
        <w:rPr>
          <w:b/>
          <w:sz w:val="18"/>
        </w:rPr>
        <w:t>. </w:t>
      </w:r>
      <w:r>
        <w:rPr>
          <w:sz w:val="18"/>
        </w:rPr>
        <w:t>MJ / kg de energía requerida para producir diversos polímeros. (Fuente: Henton, et. al., 2005: 530).</w:t>
      </w:r>
    </w:p>
    <w:p>
      <w:pPr>
        <w:spacing w:before="109"/>
        <w:ind w:left="116" w:right="0" w:firstLine="0"/>
        <w:jc w:val="both"/>
        <w:rPr>
          <w:sz w:val="18"/>
        </w:rPr>
      </w:pPr>
      <w:r>
        <w:rPr>
          <w:sz w:val="18"/>
        </w:rPr>
        <w:t>...................................................................................................................................................................    172</w:t>
      </w:r>
    </w:p>
    <w:p>
      <w:pPr>
        <w:tabs>
          <w:tab w:pos="8931" w:val="right" w:leader="dot"/>
        </w:tabs>
        <w:spacing w:line="364" w:lineRule="auto" w:before="97"/>
        <w:ind w:left="100" w:right="115" w:firstLine="0"/>
        <w:jc w:val="both"/>
        <w:rPr>
          <w:sz w:val="18"/>
        </w:rPr>
      </w:pPr>
      <w:r>
        <w:rPr>
          <w:sz w:val="18"/>
        </w:rPr>
        <w:t>Figura 4.7</w:t>
      </w:r>
      <w:r>
        <w:rPr>
          <w:b/>
          <w:sz w:val="18"/>
        </w:rPr>
        <w:t>. </w:t>
      </w:r>
      <w:r>
        <w:rPr>
          <w:sz w:val="18"/>
        </w:rPr>
        <w:t>Las emisiones de gases de efecto invernadero (kg / tonelada) para la producción de diversos polímeros. Las emisiones a largo plazo para PLA se basan en la utilización de la biomasa para la producción de ácido láctico. (Fuente: Henton, et. al.,</w:t>
      </w:r>
      <w:r>
        <w:rPr>
          <w:spacing w:val="-1"/>
          <w:sz w:val="18"/>
        </w:rPr>
        <w:t> </w:t>
      </w:r>
      <w:r>
        <w:rPr>
          <w:sz w:val="18"/>
        </w:rPr>
        <w:t>2005:</w:t>
      </w:r>
      <w:r>
        <w:rPr>
          <w:spacing w:val="2"/>
          <w:sz w:val="18"/>
        </w:rPr>
        <w:t> </w:t>
      </w:r>
      <w:r>
        <w:rPr>
          <w:sz w:val="18"/>
        </w:rPr>
        <w:t>535).</w:t>
        <w:tab/>
        <w:t>173</w:t>
      </w:r>
    </w:p>
    <w:p>
      <w:pPr>
        <w:tabs>
          <w:tab w:pos="8931" w:val="right" w:leader="dot"/>
        </w:tabs>
        <w:spacing w:line="204" w:lineRule="exact" w:before="0"/>
        <w:ind w:left="100" w:right="0" w:firstLine="0"/>
        <w:jc w:val="both"/>
        <w:rPr>
          <w:sz w:val="18"/>
        </w:rPr>
      </w:pPr>
      <w:r>
        <w:rPr>
          <w:sz w:val="18"/>
        </w:rPr>
        <w:t>Figura 5.1. Bocetos de banda en aluminio y papel. (Fuente: Elaboración</w:t>
      </w:r>
      <w:r>
        <w:rPr>
          <w:spacing w:val="-6"/>
          <w:sz w:val="18"/>
        </w:rPr>
        <w:t> </w:t>
      </w:r>
      <w:r>
        <w:rPr>
          <w:sz w:val="18"/>
        </w:rPr>
        <w:t>propia.</w:t>
      </w:r>
      <w:r>
        <w:rPr>
          <w:spacing w:val="-2"/>
          <w:sz w:val="18"/>
        </w:rPr>
        <w:t> </w:t>
      </w:r>
      <w:r>
        <w:rPr>
          <w:sz w:val="18"/>
        </w:rPr>
        <w:t>2016).</w:t>
        <w:tab/>
        <w:t>182</w:t>
      </w:r>
    </w:p>
    <w:p>
      <w:pPr>
        <w:tabs>
          <w:tab w:pos="8931" w:val="right" w:leader="dot"/>
        </w:tabs>
        <w:spacing w:line="362" w:lineRule="auto" w:before="105"/>
        <w:ind w:left="100" w:right="126" w:firstLine="0"/>
        <w:jc w:val="both"/>
        <w:rPr>
          <w:sz w:val="18"/>
        </w:rPr>
      </w:pPr>
      <w:r>
        <w:rPr>
          <w:sz w:val="18"/>
        </w:rPr>
        <w:t>Figura 5.2. Vista lateral, frontal, superior y perspectiva de la BM Pieza diseñada por Nayelli García, 2015. 184 Figura 5.3. BM con base impresa en PLA. (Fuente: Elaboración</w:t>
      </w:r>
      <w:r>
        <w:rPr>
          <w:spacing w:val="-1"/>
          <w:sz w:val="18"/>
        </w:rPr>
        <w:t> </w:t>
      </w:r>
      <w:r>
        <w:rPr>
          <w:sz w:val="18"/>
        </w:rPr>
        <w:t>propia.</w:t>
      </w:r>
      <w:r>
        <w:rPr>
          <w:spacing w:val="2"/>
          <w:sz w:val="18"/>
        </w:rPr>
        <w:t> </w:t>
      </w:r>
      <w:r>
        <w:rPr>
          <w:sz w:val="18"/>
        </w:rPr>
        <w:t>2016)</w:t>
        <w:tab/>
        <w:t>185</w:t>
      </w:r>
    </w:p>
    <w:p>
      <w:pPr>
        <w:tabs>
          <w:tab w:pos="1140" w:val="left" w:leader="none"/>
          <w:tab w:pos="1975" w:val="left" w:leader="none"/>
          <w:tab w:pos="3319" w:val="left" w:leader="none"/>
          <w:tab w:pos="4126" w:val="left" w:leader="none"/>
          <w:tab w:pos="5369" w:val="left" w:leader="none"/>
          <w:tab w:pos="6493" w:val="left" w:leader="none"/>
          <w:tab w:pos="8931" w:val="right" w:leader="dot"/>
        </w:tabs>
        <w:spacing w:line="360" w:lineRule="auto" w:before="0"/>
        <w:ind w:left="100" w:right="119" w:firstLine="0"/>
        <w:jc w:val="both"/>
        <w:rPr>
          <w:sz w:val="18"/>
        </w:rPr>
      </w:pPr>
      <w:r>
        <w:rPr>
          <w:sz w:val="18"/>
        </w:rPr>
        <w:t>Figura</w:t>
        <w:tab/>
        <w:t>5.4.</w:t>
        <w:tab/>
        <w:t>Impresora</w:t>
        <w:tab/>
        <w:t>3D,</w:t>
        <w:tab/>
        <w:t>RepRap,</w:t>
        <w:tab/>
        <w:t>modelo</w:t>
        <w:tab/>
        <w:t>BCN3D+                    </w:t>
      </w:r>
      <w:r>
        <w:rPr>
          <w:spacing w:val="6"/>
          <w:sz w:val="18"/>
        </w:rPr>
        <w:t> </w:t>
      </w:r>
      <w:r>
        <w:rPr>
          <w:sz w:val="18"/>
        </w:rPr>
        <w:t>(Fuente:</w:t>
      </w:r>
      <w:r>
        <w:rPr>
          <w:w w:val="100"/>
          <w:sz w:val="18"/>
        </w:rPr>
        <w:t> </w:t>
      </w:r>
      <w:hyperlink r:id="rId202">
        <w:r>
          <w:rPr>
            <w:sz w:val="18"/>
          </w:rPr>
          <w:t>http://www.bcn3dtechnologies.com/es/catalog/product/fully-assembled-bcn3d,</w:t>
        </w:r>
      </w:hyperlink>
      <w:r>
        <w:rPr>
          <w:spacing w:val="-6"/>
          <w:sz w:val="18"/>
        </w:rPr>
        <w:t> </w:t>
      </w:r>
      <w:r>
        <w:rPr>
          <w:sz w:val="18"/>
        </w:rPr>
        <w:t>consultado</w:t>
      </w:r>
      <w:r>
        <w:rPr>
          <w:spacing w:val="-5"/>
          <w:sz w:val="18"/>
        </w:rPr>
        <w:t> </w:t>
      </w:r>
      <w:r>
        <w:rPr>
          <w:sz w:val="18"/>
        </w:rPr>
        <w:t>en</w:t>
      </w:r>
      <w:r>
        <w:rPr>
          <w:spacing w:val="-8"/>
          <w:sz w:val="18"/>
        </w:rPr>
        <w:t> </w:t>
      </w:r>
      <w:r>
        <w:rPr>
          <w:sz w:val="18"/>
        </w:rPr>
        <w:t>junio</w:t>
      </w:r>
      <w:r>
        <w:rPr>
          <w:spacing w:val="-5"/>
          <w:sz w:val="18"/>
        </w:rPr>
        <w:t> </w:t>
      </w:r>
      <w:r>
        <w:rPr>
          <w:sz w:val="18"/>
        </w:rPr>
        <w:t>2015).</w:t>
      </w:r>
      <w:r>
        <w:rPr>
          <w:spacing w:val="-29"/>
          <w:sz w:val="18"/>
        </w:rPr>
        <w:t> </w:t>
      </w:r>
      <w:r>
        <w:rPr>
          <w:sz w:val="18"/>
        </w:rPr>
        <w:t>..</w:t>
      </w:r>
      <w:r>
        <w:rPr>
          <w:spacing w:val="-17"/>
          <w:sz w:val="18"/>
        </w:rPr>
        <w:t> </w:t>
      </w:r>
      <w:r>
        <w:rPr>
          <w:sz w:val="18"/>
        </w:rPr>
        <w:t>189 Figura 5.5. Fotografía de la pieza impresa en 3D. (Fuente: elaboración</w:t>
      </w:r>
      <w:r>
        <w:rPr>
          <w:spacing w:val="-2"/>
          <w:sz w:val="18"/>
        </w:rPr>
        <w:t> </w:t>
      </w:r>
      <w:r>
        <w:rPr>
          <w:sz w:val="18"/>
        </w:rPr>
        <w:t>propia,</w:t>
      </w:r>
      <w:r>
        <w:rPr>
          <w:spacing w:val="-2"/>
          <w:sz w:val="18"/>
        </w:rPr>
        <w:t> </w:t>
      </w:r>
      <w:r>
        <w:rPr>
          <w:sz w:val="18"/>
        </w:rPr>
        <w:t>2015).</w:t>
        <w:tab/>
        <w:t>189</w:t>
      </w:r>
    </w:p>
    <w:p>
      <w:pPr>
        <w:spacing w:before="4"/>
        <w:ind w:left="100" w:right="0" w:firstLine="0"/>
        <w:jc w:val="both"/>
        <w:rPr>
          <w:sz w:val="18"/>
        </w:rPr>
      </w:pPr>
      <w:r>
        <w:rPr>
          <w:sz w:val="18"/>
        </w:rPr>
        <w:t>Figura 5.6. Detalle de material de soporte antes y después de lijar. (Fuente: Elaboración propia, 2016)       190</w:t>
      </w:r>
    </w:p>
    <w:p>
      <w:pPr>
        <w:tabs>
          <w:tab w:pos="8931" w:val="right" w:leader="dot"/>
        </w:tabs>
        <w:spacing w:line="357" w:lineRule="auto" w:before="111"/>
        <w:ind w:left="100" w:right="116" w:firstLine="0"/>
        <w:jc w:val="both"/>
        <w:rPr>
          <w:sz w:val="18"/>
        </w:rPr>
      </w:pPr>
      <w:r>
        <w:rPr>
          <w:sz w:val="18"/>
        </w:rPr>
        <w:t>Figura 5.7 Marco de referencia y etapas de un análisis de ciclo de vida (Fuente: Norma UNE-</w:t>
      </w:r>
      <w:r>
        <w:rPr>
          <w:rFonts w:ascii="Calibri" w:hAnsi="Calibri"/>
          <w:sz w:val="18"/>
        </w:rPr>
        <w:t>-EN ISO 14040: 2006)</w:t>
      </w:r>
      <w:r>
        <w:rPr>
          <w:sz w:val="18"/>
        </w:rPr>
        <w:tab/>
        <w:t>194</w:t>
      </w:r>
    </w:p>
    <w:p>
      <w:pPr>
        <w:tabs>
          <w:tab w:pos="8931" w:val="right" w:leader="dot"/>
        </w:tabs>
        <w:spacing w:line="362" w:lineRule="auto" w:before="0"/>
        <w:ind w:left="100" w:right="122" w:firstLine="0"/>
        <w:jc w:val="both"/>
        <w:rPr>
          <w:sz w:val="18"/>
        </w:rPr>
      </w:pPr>
      <w:r>
        <w:rPr>
          <w:sz w:val="18"/>
        </w:rPr>
        <w:t>Figura 5.8. Comparativo de procesos de modelado de la escultura Banda de Moebius. (Fuente: Elaboración propia,</w:t>
      </w:r>
      <w:r>
        <w:rPr>
          <w:spacing w:val="2"/>
          <w:sz w:val="18"/>
        </w:rPr>
        <w:t> </w:t>
      </w:r>
      <w:r>
        <w:rPr>
          <w:sz w:val="18"/>
        </w:rPr>
        <w:t>2015).</w:t>
        <w:tab/>
        <w:t>195</w:t>
      </w:r>
    </w:p>
    <w:p>
      <w:pPr>
        <w:tabs>
          <w:tab w:pos="8931" w:val="right" w:leader="dot"/>
        </w:tabs>
        <w:spacing w:line="357" w:lineRule="auto" w:before="2"/>
        <w:ind w:left="100" w:right="123" w:firstLine="0"/>
        <w:jc w:val="both"/>
        <w:rPr>
          <w:sz w:val="18"/>
        </w:rPr>
      </w:pPr>
      <w:r>
        <w:rPr>
          <w:sz w:val="18"/>
        </w:rPr>
        <w:t>Figura 5.9. Comparación 10 indicadores ambientales Ecoindicator. (Fuente: Resultados de simulación en  Sima Pro</w:t>
      </w:r>
      <w:r>
        <w:rPr>
          <w:spacing w:val="1"/>
          <w:sz w:val="18"/>
        </w:rPr>
        <w:t> </w:t>
      </w:r>
      <w:r>
        <w:rPr>
          <w:sz w:val="18"/>
        </w:rPr>
        <w:t>8.0,</w:t>
      </w:r>
      <w:r>
        <w:rPr>
          <w:spacing w:val="-2"/>
          <w:sz w:val="18"/>
        </w:rPr>
        <w:t> </w:t>
      </w:r>
      <w:r>
        <w:rPr>
          <w:sz w:val="18"/>
        </w:rPr>
        <w:t>2015).</w:t>
        <w:tab/>
        <w:t>201</w:t>
      </w:r>
    </w:p>
    <w:p>
      <w:pPr>
        <w:spacing w:before="7"/>
        <w:ind w:left="100" w:right="0" w:firstLine="0"/>
        <w:jc w:val="both"/>
        <w:rPr>
          <w:sz w:val="18"/>
        </w:rPr>
      </w:pPr>
      <w:r>
        <w:rPr>
          <w:sz w:val="18"/>
        </w:rPr>
        <w:t>Figura 5.10.Escultura artesanal, Eco indicador 99. (Fuente: Resultados de simulación en Sima Pro 8.0, 2015).</w:t>
      </w:r>
    </w:p>
    <w:p>
      <w:pPr>
        <w:spacing w:before="105"/>
        <w:ind w:left="116" w:right="0" w:firstLine="0"/>
        <w:jc w:val="both"/>
        <w:rPr>
          <w:sz w:val="18"/>
        </w:rPr>
      </w:pPr>
      <w:r>
        <w:rPr>
          <w:sz w:val="18"/>
        </w:rPr>
        <w:t>...................................................................................................................................................................    203</w:t>
      </w:r>
    </w:p>
    <w:p>
      <w:pPr>
        <w:tabs>
          <w:tab w:pos="8931" w:val="right" w:leader="dot"/>
        </w:tabs>
        <w:spacing w:line="362" w:lineRule="auto" w:before="101"/>
        <w:ind w:left="100" w:right="117" w:firstLine="0"/>
        <w:jc w:val="both"/>
        <w:rPr>
          <w:sz w:val="18"/>
        </w:rPr>
      </w:pPr>
      <w:r>
        <w:rPr>
          <w:sz w:val="18"/>
        </w:rPr>
        <w:t>Figura 5.11. Análisis de escultura 3D con Eco indicador 99. (Fuente: Resultados de simulación en Sima Pro 8.0,</w:t>
      </w:r>
      <w:r>
        <w:rPr>
          <w:spacing w:val="2"/>
          <w:sz w:val="18"/>
        </w:rPr>
        <w:t> </w:t>
      </w:r>
      <w:r>
        <w:rPr>
          <w:sz w:val="18"/>
        </w:rPr>
        <w:t>2015)</w:t>
        <w:tab/>
        <w:t>204</w:t>
      </w:r>
    </w:p>
    <w:p>
      <w:pPr>
        <w:tabs>
          <w:tab w:pos="8931" w:val="right" w:leader="dot"/>
        </w:tabs>
        <w:spacing w:line="362" w:lineRule="auto" w:before="0"/>
        <w:ind w:left="100" w:right="125" w:firstLine="0"/>
        <w:jc w:val="both"/>
        <w:rPr>
          <w:sz w:val="18"/>
        </w:rPr>
      </w:pPr>
      <w:r>
        <w:rPr>
          <w:sz w:val="18"/>
        </w:rPr>
        <w:t>Figura 5.12. Árbol de requerimiento comparativo del proceso de fabricación de escultura con el método FV y de impresión 3D. (Fuente: Elaboración</w:t>
      </w:r>
      <w:r>
        <w:rPr>
          <w:spacing w:val="3"/>
          <w:sz w:val="18"/>
        </w:rPr>
        <w:t> </w:t>
      </w:r>
      <w:r>
        <w:rPr>
          <w:sz w:val="18"/>
        </w:rPr>
        <w:t>propia,</w:t>
      </w:r>
      <w:r>
        <w:rPr>
          <w:spacing w:val="-2"/>
          <w:sz w:val="18"/>
        </w:rPr>
        <w:t> </w:t>
      </w:r>
      <w:r>
        <w:rPr>
          <w:sz w:val="18"/>
        </w:rPr>
        <w:t>2015).</w:t>
        <w:tab/>
        <w:t>205</w:t>
      </w:r>
    </w:p>
    <w:p>
      <w:pPr>
        <w:spacing w:after="0" w:line="362" w:lineRule="auto"/>
        <w:jc w:val="both"/>
        <w:rPr>
          <w:sz w:val="18"/>
        </w:rPr>
        <w:sectPr>
          <w:pgSz w:w="12240" w:h="15840"/>
          <w:pgMar w:header="0" w:footer="1031" w:top="1360" w:bottom="1220" w:left="1600" w:right="1580"/>
        </w:sectPr>
      </w:pPr>
    </w:p>
    <w:p>
      <w:pPr>
        <w:spacing w:before="51"/>
        <w:ind w:left="1009" w:right="1029" w:firstLine="0"/>
        <w:jc w:val="center"/>
        <w:rPr>
          <w:sz w:val="18"/>
        </w:rPr>
      </w:pPr>
      <w:bookmarkStart w:name="Índice de Tablas" w:id="331"/>
      <w:bookmarkEnd w:id="331"/>
      <w:r>
        <w:rPr/>
      </w:r>
      <w:bookmarkStart w:name="_bookmark210" w:id="332"/>
      <w:bookmarkEnd w:id="332"/>
      <w:r>
        <w:rPr/>
      </w:r>
      <w:r>
        <w:rPr>
          <w:sz w:val="18"/>
        </w:rPr>
        <w:t>Índice de Tablas</w:t>
      </w:r>
    </w:p>
    <w:p>
      <w:pPr>
        <w:tabs>
          <w:tab w:pos="8731" w:val="left" w:leader="dot"/>
        </w:tabs>
        <w:spacing w:before="105"/>
        <w:ind w:left="100" w:right="0" w:firstLine="0"/>
        <w:jc w:val="left"/>
        <w:rPr>
          <w:sz w:val="18"/>
        </w:rPr>
      </w:pPr>
      <w:hyperlink w:history="true" w:anchor="_bookmark23">
        <w:r>
          <w:rPr>
            <w:sz w:val="18"/>
          </w:rPr>
          <w:t>Tabla 2.1. Programas de modelado 3D, renderizado</w:t>
        </w:r>
        <w:r>
          <w:rPr>
            <w:spacing w:val="-5"/>
            <w:sz w:val="18"/>
          </w:rPr>
          <w:t> </w:t>
        </w:r>
        <w:r>
          <w:rPr>
            <w:sz w:val="18"/>
          </w:rPr>
          <w:t>e</w:t>
        </w:r>
        <w:r>
          <w:rPr>
            <w:spacing w:val="-1"/>
            <w:sz w:val="18"/>
          </w:rPr>
          <w:t> </w:t>
        </w:r>
        <w:r>
          <w:rPr>
            <w:sz w:val="18"/>
          </w:rPr>
          <w:t>ingeniería</w:t>
          <w:tab/>
          <w:t>35</w:t>
        </w:r>
      </w:hyperlink>
    </w:p>
    <w:p>
      <w:pPr>
        <w:tabs>
          <w:tab w:pos="8731" w:val="left" w:leader="dot"/>
        </w:tabs>
        <w:spacing w:before="105"/>
        <w:ind w:left="100" w:right="0" w:firstLine="0"/>
        <w:jc w:val="left"/>
        <w:rPr>
          <w:sz w:val="18"/>
        </w:rPr>
      </w:pPr>
      <w:hyperlink w:history="true" w:anchor="_bookmark28">
        <w:r>
          <w:rPr>
            <w:sz w:val="18"/>
          </w:rPr>
          <w:t>Tabla 2.2. Máquinas de</w:t>
        </w:r>
        <w:r>
          <w:rPr>
            <w:spacing w:val="-4"/>
            <w:sz w:val="18"/>
          </w:rPr>
          <w:t> </w:t>
        </w:r>
        <w:r>
          <w:rPr>
            <w:sz w:val="18"/>
          </w:rPr>
          <w:t>RP</w:t>
        </w:r>
        <w:r>
          <w:rPr>
            <w:spacing w:val="-1"/>
            <w:sz w:val="18"/>
          </w:rPr>
          <w:t> </w:t>
        </w:r>
        <w:r>
          <w:rPr>
            <w:sz w:val="18"/>
          </w:rPr>
          <w:t>económicas</w:t>
          <w:tab/>
          <w:t>48</w:t>
        </w:r>
      </w:hyperlink>
    </w:p>
    <w:p>
      <w:pPr>
        <w:tabs>
          <w:tab w:pos="8731" w:val="left" w:leader="dot"/>
        </w:tabs>
        <w:spacing w:before="101"/>
        <w:ind w:left="100" w:right="0" w:firstLine="0"/>
        <w:jc w:val="left"/>
        <w:rPr>
          <w:sz w:val="18"/>
        </w:rPr>
      </w:pPr>
      <w:hyperlink w:history="true" w:anchor="_bookmark36">
        <w:r>
          <w:rPr>
            <w:sz w:val="18"/>
          </w:rPr>
          <w:t>Tabla 2.3. Tecnologías de</w:t>
        </w:r>
        <w:r>
          <w:rPr>
            <w:spacing w:val="-10"/>
            <w:sz w:val="18"/>
          </w:rPr>
          <w:t> </w:t>
        </w:r>
        <w:r>
          <w:rPr>
            <w:sz w:val="18"/>
          </w:rPr>
          <w:t>fabricación</w:t>
        </w:r>
        <w:r>
          <w:rPr>
            <w:spacing w:val="-1"/>
            <w:sz w:val="18"/>
          </w:rPr>
          <w:t> </w:t>
        </w:r>
        <w:r>
          <w:rPr>
            <w:sz w:val="18"/>
          </w:rPr>
          <w:t>aditiva.</w:t>
          <w:tab/>
          <w:t>56</w:t>
        </w:r>
      </w:hyperlink>
    </w:p>
    <w:p>
      <w:pPr>
        <w:tabs>
          <w:tab w:pos="8731" w:val="left" w:leader="dot"/>
        </w:tabs>
        <w:spacing w:before="105"/>
        <w:ind w:left="100" w:right="0" w:firstLine="0"/>
        <w:jc w:val="left"/>
        <w:rPr>
          <w:sz w:val="18"/>
        </w:rPr>
      </w:pPr>
      <w:hyperlink w:history="true" w:anchor="_bookmark42">
        <w:r>
          <w:rPr>
            <w:sz w:val="18"/>
          </w:rPr>
          <w:t>Tabla 2.4. Tabla comparativa entre tecnologías</w:t>
        </w:r>
        <w:r>
          <w:rPr>
            <w:spacing w:val="-13"/>
            <w:sz w:val="18"/>
          </w:rPr>
          <w:t> </w:t>
        </w:r>
        <w:r>
          <w:rPr>
            <w:sz w:val="18"/>
          </w:rPr>
          <w:t>de</w:t>
        </w:r>
        <w:r>
          <w:rPr>
            <w:spacing w:val="-4"/>
            <w:sz w:val="18"/>
          </w:rPr>
          <w:t> </w:t>
        </w:r>
        <w:r>
          <w:rPr>
            <w:sz w:val="18"/>
          </w:rPr>
          <w:t>PR</w:t>
          <w:tab/>
          <w:t>63</w:t>
        </w:r>
      </w:hyperlink>
    </w:p>
    <w:p>
      <w:pPr>
        <w:tabs>
          <w:tab w:pos="1227" w:val="left" w:leader="none"/>
          <w:tab w:pos="8731" w:val="left" w:leader="dot"/>
        </w:tabs>
        <w:spacing w:line="357" w:lineRule="auto" w:before="105"/>
        <w:ind w:left="100" w:right="115" w:firstLine="0"/>
        <w:jc w:val="left"/>
        <w:rPr>
          <w:sz w:val="18"/>
        </w:rPr>
      </w:pPr>
      <w:hyperlink w:history="true" w:anchor="_bookmark51">
        <w:r>
          <w:rPr>
            <w:sz w:val="18"/>
          </w:rPr>
          <w:t>Tabla </w:t>
        </w:r>
        <w:r>
          <w:rPr>
            <w:spacing w:val="25"/>
            <w:sz w:val="18"/>
          </w:rPr>
          <w:t> </w:t>
        </w:r>
        <w:r>
          <w:rPr>
            <w:sz w:val="18"/>
          </w:rPr>
          <w:t>2.5.</w:t>
          <w:tab/>
          <w:t>Aplicaciones  generales  de  los  láseres.  Nota:  P=pulso,   CW=   Onda  continua,   </w:t>
        </w:r>
        <w:r>
          <w:rPr>
            <w:spacing w:val="32"/>
            <w:sz w:val="18"/>
          </w:rPr>
          <w:t> </w:t>
        </w:r>
        <w:r>
          <w:rPr>
            <w:sz w:val="18"/>
          </w:rPr>
          <w:t>Nd: </w:t>
        </w:r>
        <w:r>
          <w:rPr>
            <w:spacing w:val="26"/>
            <w:sz w:val="18"/>
          </w:rPr>
          <w:t> </w:t>
        </w:r>
        <w:r>
          <w:rPr>
            <w:sz w:val="18"/>
          </w:rPr>
          <w:t>YAG=</w:t>
        </w:r>
      </w:hyperlink>
      <w:r>
        <w:rPr>
          <w:w w:val="100"/>
          <w:sz w:val="18"/>
        </w:rPr>
        <w:t> </w:t>
      </w:r>
      <w:hyperlink w:history="true" w:anchor="_bookmark51">
        <w:r>
          <w:rPr>
            <w:sz w:val="18"/>
          </w:rPr>
          <w:t>Neodimio:itrio-aluminio-granate</w:t>
          <w:tab/>
          <w:t>70</w:t>
        </w:r>
      </w:hyperlink>
    </w:p>
    <w:p>
      <w:pPr>
        <w:tabs>
          <w:tab w:pos="8731" w:val="left" w:leader="dot"/>
        </w:tabs>
        <w:spacing w:before="6"/>
        <w:ind w:left="100" w:right="0" w:firstLine="0"/>
        <w:jc w:val="left"/>
        <w:rPr>
          <w:sz w:val="18"/>
        </w:rPr>
      </w:pPr>
      <w:hyperlink w:history="true" w:anchor="_bookmark61">
        <w:r>
          <w:rPr>
            <w:sz w:val="18"/>
          </w:rPr>
          <w:t>Tabla 2.6. Tabla de impresoras, material de</w:t>
        </w:r>
        <w:r>
          <w:rPr>
            <w:spacing w:val="-14"/>
            <w:sz w:val="18"/>
          </w:rPr>
          <w:t> </w:t>
        </w:r>
        <w:r>
          <w:rPr>
            <w:sz w:val="18"/>
          </w:rPr>
          <w:t>impresión</w:t>
        </w:r>
        <w:r>
          <w:rPr>
            <w:spacing w:val="-1"/>
            <w:sz w:val="18"/>
          </w:rPr>
          <w:t> </w:t>
        </w:r>
        <w:r>
          <w:rPr>
            <w:sz w:val="18"/>
          </w:rPr>
          <w:t>PLA.</w:t>
          <w:tab/>
          <w:t>79</w:t>
        </w:r>
      </w:hyperlink>
    </w:p>
    <w:p>
      <w:pPr>
        <w:tabs>
          <w:tab w:pos="8731" w:val="left" w:leader="dot"/>
        </w:tabs>
        <w:spacing w:before="101"/>
        <w:ind w:left="100" w:right="0" w:firstLine="0"/>
        <w:jc w:val="left"/>
        <w:rPr>
          <w:sz w:val="18"/>
        </w:rPr>
      </w:pPr>
      <w:hyperlink w:history="true" w:anchor="_bookmark63">
        <w:r>
          <w:rPr>
            <w:sz w:val="18"/>
          </w:rPr>
          <w:t>Tabla 2.7. Aplicaciones de</w:t>
        </w:r>
        <w:r>
          <w:rPr>
            <w:spacing w:val="-5"/>
            <w:sz w:val="18"/>
          </w:rPr>
          <w:t> </w:t>
        </w:r>
        <w:r>
          <w:rPr>
            <w:sz w:val="18"/>
          </w:rPr>
          <w:t>impresión</w:t>
        </w:r>
        <w:r>
          <w:rPr>
            <w:spacing w:val="-2"/>
            <w:sz w:val="18"/>
          </w:rPr>
          <w:t> </w:t>
        </w:r>
        <w:r>
          <w:rPr>
            <w:sz w:val="18"/>
          </w:rPr>
          <w:t>3D</w:t>
          <w:tab/>
          <w:t>81</w:t>
        </w:r>
      </w:hyperlink>
    </w:p>
    <w:p>
      <w:pPr>
        <w:tabs>
          <w:tab w:pos="8731" w:val="left" w:leader="dot"/>
        </w:tabs>
        <w:spacing w:before="105"/>
        <w:ind w:left="100" w:right="0" w:firstLine="0"/>
        <w:jc w:val="left"/>
        <w:rPr>
          <w:sz w:val="18"/>
        </w:rPr>
      </w:pPr>
      <w:hyperlink w:history="true" w:anchor="_bookmark67">
        <w:r>
          <w:rPr>
            <w:sz w:val="18"/>
          </w:rPr>
          <w:t>Tabla 2.8. Forma de trabajo con los</w:t>
        </w:r>
        <w:r>
          <w:rPr>
            <w:spacing w:val="-17"/>
            <w:sz w:val="18"/>
          </w:rPr>
          <w:t> </w:t>
        </w:r>
        <w:r>
          <w:rPr>
            <w:sz w:val="18"/>
          </w:rPr>
          <w:t>materiales</w:t>
        </w:r>
        <w:r>
          <w:rPr>
            <w:spacing w:val="1"/>
            <w:sz w:val="18"/>
          </w:rPr>
          <w:t> </w:t>
        </w:r>
        <w:r>
          <w:rPr>
            <w:sz w:val="18"/>
          </w:rPr>
          <w:t>plásticos</w:t>
          <w:tab/>
          <w:t>83</w:t>
        </w:r>
      </w:hyperlink>
    </w:p>
    <w:p>
      <w:pPr>
        <w:tabs>
          <w:tab w:pos="8731" w:val="left" w:leader="dot"/>
        </w:tabs>
        <w:spacing w:before="105"/>
        <w:ind w:left="100" w:right="0" w:firstLine="0"/>
        <w:jc w:val="left"/>
        <w:rPr>
          <w:sz w:val="18"/>
        </w:rPr>
      </w:pPr>
      <w:hyperlink w:history="true" w:anchor="_bookmark69">
        <w:r>
          <w:rPr>
            <w:sz w:val="18"/>
          </w:rPr>
          <w:t>Tabla 2.9. . Recomendación de sistemas de copiado de acuerdo a las formas</w:t>
        </w:r>
        <w:r>
          <w:rPr>
            <w:spacing w:val="-17"/>
            <w:sz w:val="18"/>
          </w:rPr>
          <w:t> </w:t>
        </w:r>
        <w:r>
          <w:rPr>
            <w:sz w:val="18"/>
          </w:rPr>
          <w:t>de</w:t>
        </w:r>
        <w:r>
          <w:rPr>
            <w:spacing w:val="-5"/>
            <w:sz w:val="18"/>
          </w:rPr>
          <w:t> </w:t>
        </w:r>
        <w:r>
          <w:rPr>
            <w:sz w:val="18"/>
          </w:rPr>
          <w:t>escultura</w:t>
          <w:tab/>
          <w:t>85</w:t>
        </w:r>
      </w:hyperlink>
    </w:p>
    <w:p>
      <w:pPr>
        <w:tabs>
          <w:tab w:pos="8631" w:val="left" w:leader="dot"/>
        </w:tabs>
        <w:spacing w:before="101"/>
        <w:ind w:left="100" w:right="0" w:firstLine="0"/>
        <w:jc w:val="left"/>
        <w:rPr>
          <w:sz w:val="18"/>
        </w:rPr>
      </w:pPr>
      <w:hyperlink w:history="true" w:anchor="_bookmark94">
        <w:r>
          <w:rPr>
            <w:sz w:val="18"/>
          </w:rPr>
          <w:t>Tabla 2.10. . Proceso de escultura de Barry Ball, escaneo y talla en CNC a chorro</w:t>
        </w:r>
        <w:r>
          <w:rPr>
            <w:spacing w:val="-12"/>
            <w:sz w:val="18"/>
          </w:rPr>
          <w:t> </w:t>
        </w:r>
        <w:r>
          <w:rPr>
            <w:sz w:val="18"/>
          </w:rPr>
          <w:t>de</w:t>
        </w:r>
        <w:r>
          <w:rPr>
            <w:spacing w:val="-4"/>
            <w:sz w:val="18"/>
          </w:rPr>
          <w:t> </w:t>
        </w:r>
        <w:r>
          <w:rPr>
            <w:sz w:val="18"/>
          </w:rPr>
          <w:t>agua.</w:t>
          <w:tab/>
          <w:t>103</w:t>
        </w:r>
      </w:hyperlink>
    </w:p>
    <w:p>
      <w:pPr>
        <w:tabs>
          <w:tab w:pos="8631" w:val="left" w:leader="dot"/>
        </w:tabs>
        <w:spacing w:line="362" w:lineRule="auto" w:before="105"/>
        <w:ind w:left="100" w:right="116" w:firstLine="0"/>
        <w:jc w:val="left"/>
        <w:rPr>
          <w:sz w:val="18"/>
        </w:rPr>
      </w:pPr>
      <w:hyperlink w:history="true" w:anchor="_bookmark98">
        <w:r>
          <w:rPr>
            <w:sz w:val="18"/>
          </w:rPr>
          <w:t>Tabla 2.11. Se muestra el proceso de trabajo del escultor Ares. 2014, Soy el viento, Chapa de hierro oxicorte,</w:t>
        </w:r>
      </w:hyperlink>
      <w:r>
        <w:rPr>
          <w:sz w:val="18"/>
        </w:rPr>
        <w:t> </w:t>
      </w:r>
      <w:hyperlink w:history="true" w:anchor="_bookmark98">
        <w:r>
          <w:rPr>
            <w:sz w:val="18"/>
          </w:rPr>
          <w:t>90 x 30 x 100</w:t>
        </w:r>
        <w:r>
          <w:rPr>
            <w:spacing w:val="-3"/>
            <w:sz w:val="18"/>
          </w:rPr>
          <w:t> </w:t>
        </w:r>
        <w:r>
          <w:rPr>
            <w:sz w:val="18"/>
          </w:rPr>
          <w:t>cm</w:t>
          <w:tab/>
          <w:t>110</w:t>
        </w:r>
      </w:hyperlink>
    </w:p>
    <w:p>
      <w:pPr>
        <w:tabs>
          <w:tab w:pos="8631" w:val="left" w:leader="dot"/>
        </w:tabs>
        <w:spacing w:line="362" w:lineRule="auto" w:before="0"/>
        <w:ind w:left="100" w:right="121" w:firstLine="0"/>
        <w:jc w:val="left"/>
        <w:rPr>
          <w:sz w:val="18"/>
        </w:rPr>
      </w:pPr>
      <w:hyperlink w:history="true" w:anchor="_bookmark106">
        <w:r>
          <w:rPr>
            <w:sz w:val="18"/>
          </w:rPr>
          <w:t>Tabla 2.12. Proceso de escaneo y mecanizado para réplica de Retablo de la pasión, muerte, resurrección y</w:t>
        </w:r>
      </w:hyperlink>
      <w:r>
        <w:rPr>
          <w:sz w:val="18"/>
        </w:rPr>
        <w:t> </w:t>
      </w:r>
      <w:hyperlink w:history="true" w:anchor="_bookmark106">
        <w:r>
          <w:rPr>
            <w:sz w:val="18"/>
          </w:rPr>
          <w:t>ascensión de Cristo, de BernatSaulet</w:t>
        </w:r>
        <w:r>
          <w:rPr>
            <w:spacing w:val="-7"/>
            <w:sz w:val="18"/>
          </w:rPr>
          <w:t> </w:t>
        </w:r>
        <w:r>
          <w:rPr>
            <w:sz w:val="18"/>
          </w:rPr>
          <w:t>(MEV 576).</w:t>
          <w:tab/>
          <w:t>118</w:t>
        </w:r>
      </w:hyperlink>
    </w:p>
    <w:p>
      <w:pPr>
        <w:tabs>
          <w:tab w:pos="8631" w:val="left" w:leader="dot"/>
        </w:tabs>
        <w:spacing w:line="205" w:lineRule="exact" w:before="0"/>
        <w:ind w:left="100" w:right="0" w:firstLine="0"/>
        <w:jc w:val="left"/>
        <w:rPr>
          <w:sz w:val="18"/>
        </w:rPr>
      </w:pPr>
      <w:hyperlink w:history="true" w:anchor="_bookmark115">
        <w:r>
          <w:rPr>
            <w:sz w:val="18"/>
          </w:rPr>
          <w:t>Tabla 3.1. Ejemplos de estrategias</w:t>
        </w:r>
        <w:r>
          <w:rPr>
            <w:spacing w:val="-8"/>
            <w:sz w:val="18"/>
          </w:rPr>
          <w:t> </w:t>
        </w:r>
        <w:r>
          <w:rPr>
            <w:sz w:val="18"/>
          </w:rPr>
          <w:t>de</w:t>
        </w:r>
        <w:r>
          <w:rPr>
            <w:spacing w:val="-2"/>
            <w:sz w:val="18"/>
          </w:rPr>
          <w:t> </w:t>
        </w:r>
        <w:r>
          <w:rPr>
            <w:sz w:val="18"/>
          </w:rPr>
          <w:t>Ecodiseño.</w:t>
          <w:tab/>
          <w:t>127</w:t>
        </w:r>
      </w:hyperlink>
    </w:p>
    <w:p>
      <w:pPr>
        <w:tabs>
          <w:tab w:pos="8631" w:val="left" w:leader="dot"/>
        </w:tabs>
        <w:spacing w:before="105"/>
        <w:ind w:left="100" w:right="0" w:firstLine="0"/>
        <w:jc w:val="left"/>
        <w:rPr>
          <w:sz w:val="18"/>
        </w:rPr>
      </w:pPr>
      <w:hyperlink w:history="true" w:anchor="_bookmark116">
        <w:r>
          <w:rPr>
            <w:sz w:val="18"/>
          </w:rPr>
          <w:t>Tabla 3.2.</w:t>
        </w:r>
        <w:r>
          <w:rPr>
            <w:spacing w:val="1"/>
            <w:sz w:val="18"/>
          </w:rPr>
          <w:t> </w:t>
        </w:r>
        <w:r>
          <w:rPr>
            <w:sz w:val="18"/>
          </w:rPr>
          <w:t>Matriz</w:t>
        </w:r>
        <w:r>
          <w:rPr>
            <w:spacing w:val="-3"/>
            <w:sz w:val="18"/>
          </w:rPr>
          <w:t> </w:t>
        </w:r>
        <w:r>
          <w:rPr>
            <w:sz w:val="18"/>
          </w:rPr>
          <w:t>MET</w:t>
          <w:tab/>
          <w:t>130</w:t>
        </w:r>
      </w:hyperlink>
    </w:p>
    <w:p>
      <w:pPr>
        <w:tabs>
          <w:tab w:pos="8631" w:val="left" w:leader="dot"/>
        </w:tabs>
        <w:spacing w:before="105"/>
        <w:ind w:left="100" w:right="0" w:firstLine="0"/>
        <w:jc w:val="left"/>
        <w:rPr>
          <w:sz w:val="18"/>
        </w:rPr>
      </w:pPr>
      <w:hyperlink w:history="true" w:anchor="_bookmark119">
        <w:r>
          <w:rPr>
            <w:sz w:val="18"/>
          </w:rPr>
          <w:t>Tabla 3.3. Diferenciación de las filosofías de</w:t>
        </w:r>
        <w:r>
          <w:rPr>
            <w:spacing w:val="-13"/>
            <w:sz w:val="18"/>
          </w:rPr>
          <w:t> </w:t>
        </w:r>
        <w:r>
          <w:rPr>
            <w:sz w:val="18"/>
          </w:rPr>
          <w:t>diseño</w:t>
        </w:r>
        <w:r>
          <w:rPr>
            <w:spacing w:val="-1"/>
            <w:sz w:val="18"/>
          </w:rPr>
          <w:t> </w:t>
        </w:r>
        <w:r>
          <w:rPr>
            <w:sz w:val="18"/>
          </w:rPr>
          <w:t>ambiental</w:t>
          <w:tab/>
          <w:t>132</w:t>
        </w:r>
      </w:hyperlink>
    </w:p>
    <w:p>
      <w:pPr>
        <w:tabs>
          <w:tab w:pos="8631" w:val="left" w:leader="dot"/>
        </w:tabs>
        <w:spacing w:before="101"/>
        <w:ind w:left="100" w:right="0" w:firstLine="0"/>
        <w:jc w:val="left"/>
        <w:rPr>
          <w:sz w:val="18"/>
        </w:rPr>
      </w:pPr>
      <w:hyperlink w:history="true" w:anchor="_bookmark135">
        <w:r>
          <w:rPr>
            <w:sz w:val="18"/>
          </w:rPr>
          <w:t>Tabla 4.1. Circular y sustentable</w:t>
        </w:r>
        <w:r>
          <w:rPr>
            <w:spacing w:val="-8"/>
            <w:sz w:val="18"/>
          </w:rPr>
          <w:t> </w:t>
        </w:r>
        <w:r>
          <w:rPr>
            <w:sz w:val="18"/>
          </w:rPr>
          <w:t>según</w:t>
        </w:r>
        <w:r>
          <w:rPr>
            <w:spacing w:val="-4"/>
            <w:sz w:val="18"/>
          </w:rPr>
          <w:t> </w:t>
        </w:r>
        <w:r>
          <w:rPr>
            <w:sz w:val="18"/>
          </w:rPr>
          <w:t>Wijk</w:t>
          <w:tab/>
          <w:t>158</w:t>
        </w:r>
      </w:hyperlink>
    </w:p>
    <w:p>
      <w:pPr>
        <w:tabs>
          <w:tab w:pos="8631" w:val="left" w:leader="dot"/>
        </w:tabs>
        <w:spacing w:before="105"/>
        <w:ind w:left="100" w:right="0" w:firstLine="0"/>
        <w:jc w:val="left"/>
        <w:rPr>
          <w:sz w:val="18"/>
        </w:rPr>
      </w:pPr>
      <w:hyperlink w:history="true" w:anchor="_bookmark143">
        <w:r>
          <w:rPr>
            <w:sz w:val="18"/>
          </w:rPr>
          <w:t>Tabla 4.2. ABS fósil versus</w:t>
        </w:r>
        <w:r>
          <w:rPr>
            <w:spacing w:val="-4"/>
            <w:sz w:val="18"/>
          </w:rPr>
          <w:t> </w:t>
        </w:r>
        <w:r>
          <w:rPr>
            <w:sz w:val="18"/>
          </w:rPr>
          <w:t>PLA</w:t>
        </w:r>
        <w:r>
          <w:rPr>
            <w:spacing w:val="-5"/>
            <w:sz w:val="18"/>
          </w:rPr>
          <w:t> </w:t>
        </w:r>
        <w:r>
          <w:rPr>
            <w:sz w:val="18"/>
          </w:rPr>
          <w:t>bio.</w:t>
          <w:tab/>
          <w:t>170</w:t>
        </w:r>
      </w:hyperlink>
    </w:p>
    <w:p>
      <w:pPr>
        <w:tabs>
          <w:tab w:pos="8631" w:val="left" w:leader="dot"/>
        </w:tabs>
        <w:spacing w:before="101"/>
        <w:ind w:left="100" w:right="0" w:firstLine="0"/>
        <w:jc w:val="left"/>
        <w:rPr>
          <w:sz w:val="18"/>
        </w:rPr>
      </w:pPr>
      <w:hyperlink w:history="true" w:anchor="_bookmark152">
        <w:r>
          <w:rPr>
            <w:sz w:val="18"/>
          </w:rPr>
          <w:t>Tabla 5.1. Ejemplos de Bandas de Moebius en diversos materiales</w:t>
        </w:r>
        <w:r>
          <w:rPr>
            <w:spacing w:val="-11"/>
            <w:sz w:val="18"/>
          </w:rPr>
          <w:t> </w:t>
        </w:r>
        <w:r>
          <w:rPr>
            <w:sz w:val="18"/>
          </w:rPr>
          <w:t>y</w:t>
        </w:r>
        <w:r>
          <w:rPr>
            <w:spacing w:val="-7"/>
            <w:sz w:val="18"/>
          </w:rPr>
          <w:t> </w:t>
        </w:r>
        <w:r>
          <w:rPr>
            <w:sz w:val="18"/>
          </w:rPr>
          <w:t>escalas</w:t>
          <w:tab/>
          <w:t>179</w:t>
        </w:r>
      </w:hyperlink>
    </w:p>
    <w:p>
      <w:pPr>
        <w:tabs>
          <w:tab w:pos="8631" w:val="left" w:leader="dot"/>
        </w:tabs>
        <w:spacing w:before="105"/>
        <w:ind w:left="100" w:right="0" w:firstLine="0"/>
        <w:jc w:val="left"/>
        <w:rPr>
          <w:sz w:val="18"/>
        </w:rPr>
      </w:pPr>
      <w:hyperlink w:history="true" w:anchor="_bookmark154">
        <w:r>
          <w:rPr>
            <w:sz w:val="18"/>
          </w:rPr>
          <w:t>Tabla 5.2. Tres diferentes formas como pruebas de impresión</w:t>
        </w:r>
        <w:r>
          <w:rPr>
            <w:spacing w:val="-16"/>
            <w:sz w:val="18"/>
          </w:rPr>
          <w:t> </w:t>
        </w:r>
        <w:r>
          <w:rPr>
            <w:sz w:val="18"/>
          </w:rPr>
          <w:t>en</w:t>
        </w:r>
        <w:r>
          <w:rPr>
            <w:spacing w:val="-1"/>
            <w:sz w:val="18"/>
          </w:rPr>
          <w:t> </w:t>
        </w:r>
        <w:r>
          <w:rPr>
            <w:sz w:val="18"/>
          </w:rPr>
          <w:t>PLA</w:t>
          <w:tab/>
          <w:t>183</w:t>
        </w:r>
      </w:hyperlink>
    </w:p>
    <w:p>
      <w:pPr>
        <w:tabs>
          <w:tab w:pos="8631" w:val="left" w:leader="dot"/>
        </w:tabs>
        <w:spacing w:before="105"/>
        <w:ind w:left="100" w:right="0" w:firstLine="0"/>
        <w:jc w:val="left"/>
        <w:rPr>
          <w:sz w:val="18"/>
        </w:rPr>
      </w:pPr>
      <w:hyperlink w:history="true" w:anchor="_bookmark158">
        <w:r>
          <w:rPr>
            <w:sz w:val="18"/>
          </w:rPr>
          <w:t>Tabla 5.3.Proceso de fabricación en FV y</w:t>
        </w:r>
        <w:r>
          <w:rPr>
            <w:spacing w:val="-15"/>
            <w:sz w:val="18"/>
          </w:rPr>
          <w:t> </w:t>
        </w:r>
        <w:r>
          <w:rPr>
            <w:sz w:val="18"/>
          </w:rPr>
          <w:t>resina</w:t>
        </w:r>
        <w:r>
          <w:rPr>
            <w:spacing w:val="4"/>
            <w:sz w:val="18"/>
          </w:rPr>
          <w:t> </w:t>
        </w:r>
        <w:r>
          <w:rPr>
            <w:sz w:val="18"/>
          </w:rPr>
          <w:t>poliéster.</w:t>
          <w:tab/>
          <w:t>185</w:t>
        </w:r>
      </w:hyperlink>
    </w:p>
    <w:p>
      <w:pPr>
        <w:tabs>
          <w:tab w:pos="8631" w:val="left" w:leader="dot"/>
        </w:tabs>
        <w:spacing w:before="101"/>
        <w:ind w:left="100" w:right="0" w:firstLine="0"/>
        <w:jc w:val="left"/>
        <w:rPr>
          <w:sz w:val="18"/>
        </w:rPr>
      </w:pPr>
      <w:hyperlink w:history="true" w:anchor="_bookmark159">
        <w:r>
          <w:rPr>
            <w:sz w:val="18"/>
          </w:rPr>
          <w:t>Tabla 5.4. Procesos y materiales de fabricación en Fibra</w:t>
        </w:r>
        <w:r>
          <w:rPr>
            <w:spacing w:val="-17"/>
            <w:sz w:val="18"/>
          </w:rPr>
          <w:t> </w:t>
        </w:r>
        <w:r>
          <w:rPr>
            <w:sz w:val="18"/>
          </w:rPr>
          <w:t>de</w:t>
        </w:r>
        <w:r>
          <w:rPr>
            <w:spacing w:val="-1"/>
            <w:sz w:val="18"/>
          </w:rPr>
          <w:t> </w:t>
        </w:r>
        <w:r>
          <w:rPr>
            <w:sz w:val="18"/>
          </w:rPr>
          <w:t>Vidrio.</w:t>
          <w:tab/>
          <w:t>186</w:t>
        </w:r>
      </w:hyperlink>
    </w:p>
    <w:p>
      <w:pPr>
        <w:tabs>
          <w:tab w:pos="8631" w:val="left" w:leader="dot"/>
        </w:tabs>
        <w:spacing w:before="105"/>
        <w:ind w:left="100" w:right="0" w:firstLine="0"/>
        <w:jc w:val="left"/>
        <w:rPr>
          <w:sz w:val="18"/>
        </w:rPr>
      </w:pPr>
      <w:hyperlink w:history="true" w:anchor="_bookmark160">
        <w:r>
          <w:rPr>
            <w:sz w:val="18"/>
          </w:rPr>
          <w:t>Tabla 5.5.Lista de herramienta</w:t>
        </w:r>
        <w:r>
          <w:rPr>
            <w:spacing w:val="-11"/>
            <w:sz w:val="18"/>
          </w:rPr>
          <w:t> </w:t>
        </w:r>
        <w:r>
          <w:rPr>
            <w:sz w:val="18"/>
          </w:rPr>
          <w:t>eléctrica</w:t>
        </w:r>
        <w:r>
          <w:rPr>
            <w:spacing w:val="-2"/>
            <w:sz w:val="18"/>
          </w:rPr>
          <w:t> </w:t>
        </w:r>
        <w:r>
          <w:rPr>
            <w:sz w:val="18"/>
          </w:rPr>
          <w:t>utilizada.</w:t>
          <w:tab/>
          <w:t>187</w:t>
        </w:r>
      </w:hyperlink>
    </w:p>
    <w:p>
      <w:pPr>
        <w:tabs>
          <w:tab w:pos="8631" w:val="left" w:leader="dot"/>
        </w:tabs>
        <w:spacing w:before="105"/>
        <w:ind w:left="100" w:right="0" w:firstLine="0"/>
        <w:jc w:val="left"/>
        <w:rPr>
          <w:sz w:val="18"/>
        </w:rPr>
      </w:pPr>
      <w:hyperlink w:history="true" w:anchor="_bookmark162">
        <w:r>
          <w:rPr>
            <w:sz w:val="18"/>
          </w:rPr>
          <w:t>Tabla 5.6. Proceso de</w:t>
        </w:r>
        <w:r>
          <w:rPr>
            <w:spacing w:val="-3"/>
            <w:sz w:val="18"/>
          </w:rPr>
          <w:t> </w:t>
        </w:r>
        <w:r>
          <w:rPr>
            <w:sz w:val="18"/>
          </w:rPr>
          <w:t>impresión</w:t>
        </w:r>
        <w:r>
          <w:rPr>
            <w:spacing w:val="-5"/>
            <w:sz w:val="18"/>
          </w:rPr>
          <w:t> </w:t>
        </w:r>
        <w:r>
          <w:rPr>
            <w:sz w:val="18"/>
          </w:rPr>
          <w:t>3D</w:t>
          <w:tab/>
          <w:t>187</w:t>
        </w:r>
      </w:hyperlink>
    </w:p>
    <w:p>
      <w:pPr>
        <w:tabs>
          <w:tab w:pos="8631" w:val="left" w:leader="dot"/>
        </w:tabs>
        <w:spacing w:line="362" w:lineRule="auto" w:before="101"/>
        <w:ind w:left="100" w:right="119" w:firstLine="0"/>
        <w:jc w:val="left"/>
        <w:rPr>
          <w:sz w:val="18"/>
        </w:rPr>
      </w:pPr>
      <w:hyperlink w:history="true" w:anchor="_bookmark163">
        <w:r>
          <w:rPr>
            <w:sz w:val="18"/>
          </w:rPr>
          <w:t>Tabla 5.7. Datos de equipo de impresión 3D RepRap, Facultad de Bellas Artes, Universidad de Barcelona,</w:t>
        </w:r>
      </w:hyperlink>
      <w:r>
        <w:rPr>
          <w:sz w:val="18"/>
        </w:rPr>
        <w:t> </w:t>
      </w:r>
      <w:hyperlink w:history="true" w:anchor="_bookmark163">
        <w:r>
          <w:rPr>
            <w:sz w:val="18"/>
          </w:rPr>
          <w:t>Taller de modelos</w:t>
        </w:r>
        <w:r>
          <w:rPr>
            <w:spacing w:val="-2"/>
            <w:sz w:val="18"/>
          </w:rPr>
          <w:t> </w:t>
        </w:r>
        <w:r>
          <w:rPr>
            <w:sz w:val="18"/>
          </w:rPr>
          <w:t>y</w:t>
        </w:r>
        <w:r>
          <w:rPr>
            <w:spacing w:val="-5"/>
            <w:sz w:val="18"/>
          </w:rPr>
          <w:t> </w:t>
        </w:r>
        <w:r>
          <w:rPr>
            <w:sz w:val="18"/>
          </w:rPr>
          <w:t>maquetas</w:t>
          <w:tab/>
          <w:t>188</w:t>
        </w:r>
      </w:hyperlink>
    </w:p>
    <w:p>
      <w:pPr>
        <w:tabs>
          <w:tab w:pos="8631" w:val="left" w:leader="dot"/>
        </w:tabs>
        <w:spacing w:line="206" w:lineRule="exact" w:before="0"/>
        <w:ind w:left="100" w:right="0" w:firstLine="0"/>
        <w:jc w:val="left"/>
        <w:rPr>
          <w:sz w:val="18"/>
        </w:rPr>
      </w:pPr>
      <w:hyperlink w:history="true" w:anchor="_bookmark168">
        <w:r>
          <w:rPr>
            <w:sz w:val="18"/>
          </w:rPr>
          <w:t>Tabla 5.8. Costos de la fabricación</w:t>
        </w:r>
        <w:r>
          <w:rPr>
            <w:spacing w:val="-10"/>
            <w:sz w:val="18"/>
          </w:rPr>
          <w:t> </w:t>
        </w:r>
        <w:r>
          <w:rPr>
            <w:sz w:val="18"/>
          </w:rPr>
          <w:t>en</w:t>
        </w:r>
        <w:r>
          <w:rPr>
            <w:spacing w:val="-1"/>
            <w:sz w:val="18"/>
          </w:rPr>
          <w:t> </w:t>
        </w:r>
        <w:r>
          <w:rPr>
            <w:sz w:val="18"/>
          </w:rPr>
          <w:t>FV.</w:t>
          <w:tab/>
          <w:t>191</w:t>
        </w:r>
      </w:hyperlink>
    </w:p>
    <w:p>
      <w:pPr>
        <w:tabs>
          <w:tab w:pos="8631" w:val="left" w:leader="dot"/>
        </w:tabs>
        <w:spacing w:before="105"/>
        <w:ind w:left="100" w:right="0" w:firstLine="0"/>
        <w:jc w:val="left"/>
        <w:rPr>
          <w:sz w:val="18"/>
        </w:rPr>
      </w:pPr>
      <w:hyperlink w:history="true" w:anchor="_bookmark169">
        <w:r>
          <w:rPr>
            <w:sz w:val="18"/>
          </w:rPr>
          <w:t>Tabla 5.9. Costos de</w:t>
        </w:r>
        <w:r>
          <w:rPr>
            <w:spacing w:val="-7"/>
            <w:sz w:val="18"/>
          </w:rPr>
          <w:t> </w:t>
        </w:r>
        <w:r>
          <w:rPr>
            <w:sz w:val="18"/>
          </w:rPr>
          <w:t>fabricación</w:t>
        </w:r>
        <w:r>
          <w:rPr>
            <w:spacing w:val="-1"/>
            <w:sz w:val="18"/>
          </w:rPr>
          <w:t> </w:t>
        </w:r>
        <w:r>
          <w:rPr>
            <w:sz w:val="18"/>
          </w:rPr>
          <w:t>artesanal</w:t>
          <w:tab/>
          <w:t>192</w:t>
        </w:r>
      </w:hyperlink>
    </w:p>
    <w:p>
      <w:pPr>
        <w:tabs>
          <w:tab w:pos="8631" w:val="left" w:leader="dot"/>
        </w:tabs>
        <w:spacing w:before="105"/>
        <w:ind w:left="100" w:right="0" w:firstLine="0"/>
        <w:jc w:val="left"/>
        <w:rPr>
          <w:sz w:val="18"/>
        </w:rPr>
      </w:pPr>
      <w:hyperlink w:history="true" w:anchor="_bookmark170">
        <w:r>
          <w:rPr>
            <w:sz w:val="18"/>
          </w:rPr>
          <w:t>Tabla 5.10.Costo de</w:t>
        </w:r>
        <w:r>
          <w:rPr>
            <w:spacing w:val="-4"/>
            <w:sz w:val="18"/>
          </w:rPr>
          <w:t> </w:t>
        </w:r>
        <w:r>
          <w:rPr>
            <w:sz w:val="18"/>
          </w:rPr>
          <w:t>impresión</w:t>
        </w:r>
        <w:r>
          <w:rPr>
            <w:spacing w:val="-4"/>
            <w:sz w:val="18"/>
          </w:rPr>
          <w:t> </w:t>
        </w:r>
        <w:r>
          <w:rPr>
            <w:sz w:val="18"/>
          </w:rPr>
          <w:t>3D</w:t>
          <w:tab/>
          <w:t>192</w:t>
        </w:r>
      </w:hyperlink>
    </w:p>
    <w:p>
      <w:pPr>
        <w:tabs>
          <w:tab w:pos="8631" w:val="left" w:leader="dot"/>
        </w:tabs>
        <w:spacing w:before="101"/>
        <w:ind w:left="100" w:right="0" w:firstLine="0"/>
        <w:jc w:val="left"/>
        <w:rPr>
          <w:sz w:val="18"/>
        </w:rPr>
      </w:pPr>
      <w:hyperlink w:history="true" w:anchor="_bookmark178">
        <w:r>
          <w:rPr>
            <w:sz w:val="18"/>
          </w:rPr>
          <w:t>Tabla 5.11. Tabla que muestra el equipo eléctrico utilizado en cada paso del proceso</w:t>
        </w:r>
        <w:r>
          <w:rPr>
            <w:spacing w:val="-22"/>
            <w:sz w:val="18"/>
          </w:rPr>
          <w:t> </w:t>
        </w:r>
        <w:r>
          <w:rPr>
            <w:sz w:val="18"/>
          </w:rPr>
          <w:t>de fabricación</w:t>
          <w:tab/>
          <w:t>196</w:t>
        </w:r>
      </w:hyperlink>
    </w:p>
    <w:p>
      <w:pPr>
        <w:tabs>
          <w:tab w:pos="8631" w:val="left" w:leader="dot"/>
        </w:tabs>
        <w:spacing w:before="105"/>
        <w:ind w:left="100" w:right="0" w:firstLine="0"/>
        <w:jc w:val="left"/>
        <w:rPr>
          <w:sz w:val="18"/>
        </w:rPr>
      </w:pPr>
      <w:hyperlink w:history="true" w:anchor="_bookmark179">
        <w:r>
          <w:rPr>
            <w:sz w:val="18"/>
          </w:rPr>
          <w:t>Tabla 5.12. . Muestra del material utilizado para fabricar la pieza artesanal con el</w:t>
        </w:r>
        <w:r>
          <w:rPr>
            <w:spacing w:val="-18"/>
            <w:sz w:val="18"/>
          </w:rPr>
          <w:t> </w:t>
        </w:r>
        <w:r>
          <w:rPr>
            <w:sz w:val="18"/>
          </w:rPr>
          <w:t>Proceso</w:t>
        </w:r>
        <w:r>
          <w:rPr>
            <w:spacing w:val="-5"/>
            <w:sz w:val="18"/>
          </w:rPr>
          <w:t> </w:t>
        </w:r>
        <w:r>
          <w:rPr>
            <w:sz w:val="18"/>
          </w:rPr>
          <w:t>Ecoinvent</w:t>
          <w:tab/>
          <w:t>197</w:t>
        </w:r>
      </w:hyperlink>
    </w:p>
    <w:p>
      <w:pPr>
        <w:tabs>
          <w:tab w:pos="8631" w:val="left" w:leader="dot"/>
        </w:tabs>
        <w:spacing w:line="357" w:lineRule="auto" w:before="105"/>
        <w:ind w:left="100" w:right="126" w:firstLine="0"/>
        <w:jc w:val="left"/>
        <w:rPr>
          <w:sz w:val="18"/>
        </w:rPr>
      </w:pPr>
      <w:hyperlink w:history="true" w:anchor="_bookmark180">
        <w:r>
          <w:rPr>
            <w:sz w:val="18"/>
          </w:rPr>
          <w:t>Tabla</w:t>
        </w:r>
        <w:r>
          <w:rPr>
            <w:spacing w:val="-1"/>
            <w:sz w:val="18"/>
          </w:rPr>
          <w:t> </w:t>
        </w:r>
        <w:r>
          <w:rPr>
            <w:sz w:val="18"/>
          </w:rPr>
          <w:t>5.13:</w:t>
        </w:r>
        <w:r>
          <w:rPr>
            <w:spacing w:val="1"/>
            <w:sz w:val="18"/>
          </w:rPr>
          <w:t> </w:t>
        </w:r>
        <w:r>
          <w:rPr>
            <w:sz w:val="18"/>
          </w:rPr>
          <w:t>Muestra</w:t>
        </w:r>
        <w:r>
          <w:rPr>
            <w:spacing w:val="-1"/>
            <w:sz w:val="18"/>
          </w:rPr>
          <w:t> </w:t>
        </w:r>
        <w:r>
          <w:rPr>
            <w:sz w:val="18"/>
          </w:rPr>
          <w:t>los</w:t>
        </w:r>
        <w:r>
          <w:rPr>
            <w:spacing w:val="1"/>
            <w:sz w:val="18"/>
          </w:rPr>
          <w:t> </w:t>
        </w:r>
        <w:r>
          <w:rPr>
            <w:sz w:val="18"/>
          </w:rPr>
          <w:t>residuos</w:t>
        </w:r>
        <w:r>
          <w:rPr>
            <w:spacing w:val="-3"/>
            <w:sz w:val="18"/>
          </w:rPr>
          <w:t> </w:t>
        </w:r>
        <w:r>
          <w:rPr>
            <w:sz w:val="18"/>
          </w:rPr>
          <w:t>producidos</w:t>
        </w:r>
        <w:r>
          <w:rPr>
            <w:spacing w:val="1"/>
            <w:sz w:val="18"/>
          </w:rPr>
          <w:t> </w:t>
        </w:r>
        <w:r>
          <w:rPr>
            <w:sz w:val="18"/>
          </w:rPr>
          <w:t>de</w:t>
        </w:r>
        <w:r>
          <w:rPr>
            <w:spacing w:val="-5"/>
            <w:sz w:val="18"/>
          </w:rPr>
          <w:t> </w:t>
        </w:r>
        <w:r>
          <w:rPr>
            <w:sz w:val="18"/>
          </w:rPr>
          <w:t>fabricar</w:t>
        </w:r>
        <w:r>
          <w:rPr>
            <w:spacing w:val="-1"/>
            <w:sz w:val="18"/>
          </w:rPr>
          <w:t> </w:t>
        </w:r>
        <w:r>
          <w:rPr>
            <w:sz w:val="18"/>
          </w:rPr>
          <w:t>en</w:t>
        </w:r>
        <w:r>
          <w:rPr>
            <w:spacing w:val="-1"/>
            <w:sz w:val="18"/>
          </w:rPr>
          <w:t> </w:t>
        </w:r>
        <w:r>
          <w:rPr>
            <w:sz w:val="18"/>
          </w:rPr>
          <w:t>resina</w:t>
        </w:r>
        <w:r>
          <w:rPr>
            <w:spacing w:val="-1"/>
            <w:sz w:val="18"/>
          </w:rPr>
          <w:t> </w:t>
        </w:r>
        <w:r>
          <w:rPr>
            <w:sz w:val="18"/>
          </w:rPr>
          <w:t>poliéster</w:t>
        </w:r>
        <w:r>
          <w:rPr>
            <w:spacing w:val="-5"/>
            <w:sz w:val="18"/>
          </w:rPr>
          <w:t> </w:t>
        </w:r>
        <w:r>
          <w:rPr>
            <w:sz w:val="18"/>
          </w:rPr>
          <w:t>y</w:t>
        </w:r>
        <w:r>
          <w:rPr>
            <w:spacing w:val="-7"/>
            <w:sz w:val="18"/>
          </w:rPr>
          <w:t> </w:t>
        </w:r>
        <w:r>
          <w:rPr>
            <w:sz w:val="18"/>
          </w:rPr>
          <w:t>fibra</w:t>
        </w:r>
        <w:r>
          <w:rPr>
            <w:spacing w:val="-1"/>
            <w:sz w:val="18"/>
          </w:rPr>
          <w:t> </w:t>
        </w:r>
        <w:r>
          <w:rPr>
            <w:sz w:val="18"/>
          </w:rPr>
          <w:t>de</w:t>
        </w:r>
        <w:r>
          <w:rPr>
            <w:spacing w:val="2"/>
            <w:sz w:val="18"/>
          </w:rPr>
          <w:t> </w:t>
        </w:r>
        <w:r>
          <w:rPr>
            <w:sz w:val="18"/>
          </w:rPr>
          <w:t>vidrio</w:t>
        </w:r>
        <w:r>
          <w:rPr>
            <w:spacing w:val="-1"/>
            <w:sz w:val="18"/>
          </w:rPr>
          <w:t> </w:t>
        </w:r>
        <w:r>
          <w:rPr>
            <w:sz w:val="18"/>
          </w:rPr>
          <w:t>en</w:t>
        </w:r>
        <w:r>
          <w:rPr>
            <w:spacing w:val="-5"/>
            <w:sz w:val="18"/>
          </w:rPr>
          <w:t> </w:t>
        </w:r>
        <w:r>
          <w:rPr>
            <w:sz w:val="18"/>
          </w:rPr>
          <w:t>cada</w:t>
        </w:r>
        <w:r>
          <w:rPr>
            <w:spacing w:val="-5"/>
            <w:sz w:val="18"/>
          </w:rPr>
          <w:t> </w:t>
        </w:r>
        <w:r>
          <w:rPr>
            <w:sz w:val="18"/>
          </w:rPr>
          <w:t>paso.</w:t>
        </w:r>
        <w:r>
          <w:rPr>
            <w:spacing w:val="-28"/>
            <w:sz w:val="18"/>
          </w:rPr>
          <w:t> </w:t>
        </w:r>
        <w:r>
          <w:rPr>
            <w:sz w:val="18"/>
          </w:rPr>
          <w:t>.</w:t>
        </w:r>
        <w:r>
          <w:rPr>
            <w:spacing w:val="-14"/>
            <w:sz w:val="18"/>
          </w:rPr>
          <w:t> </w:t>
        </w:r>
        <w:r>
          <w:rPr>
            <w:sz w:val="18"/>
          </w:rPr>
          <w:t>198</w:t>
        </w:r>
      </w:hyperlink>
      <w:r>
        <w:rPr>
          <w:sz w:val="18"/>
        </w:rPr>
        <w:t> </w:t>
      </w:r>
      <w:hyperlink w:history="true" w:anchor="_bookmark182">
        <w:r>
          <w:rPr>
            <w:sz w:val="18"/>
          </w:rPr>
          <w:t>Tabla 5.14.Consumo de energía utilizado en el proceso de</w:t>
        </w:r>
        <w:r>
          <w:rPr>
            <w:spacing w:val="-14"/>
            <w:sz w:val="18"/>
          </w:rPr>
          <w:t> </w:t>
        </w:r>
        <w:r>
          <w:rPr>
            <w:sz w:val="18"/>
          </w:rPr>
          <w:t>impresión</w:t>
        </w:r>
        <w:r>
          <w:rPr>
            <w:spacing w:val="-1"/>
            <w:sz w:val="18"/>
          </w:rPr>
          <w:t> </w:t>
        </w:r>
        <w:r>
          <w:rPr>
            <w:sz w:val="18"/>
          </w:rPr>
          <w:t>3D</w:t>
          <w:tab/>
          <w:t>198</w:t>
        </w:r>
      </w:hyperlink>
    </w:p>
    <w:p>
      <w:pPr>
        <w:tabs>
          <w:tab w:pos="8631" w:val="left" w:leader="dot"/>
        </w:tabs>
        <w:spacing w:before="6"/>
        <w:ind w:left="100" w:right="0" w:firstLine="0"/>
        <w:jc w:val="left"/>
        <w:rPr>
          <w:sz w:val="18"/>
        </w:rPr>
      </w:pPr>
      <w:hyperlink w:history="true" w:anchor="_bookmark183">
        <w:r>
          <w:rPr>
            <w:sz w:val="18"/>
          </w:rPr>
          <w:t>Tabla 5.15.Material utilizado en el proceso de</w:t>
        </w:r>
        <w:r>
          <w:rPr>
            <w:spacing w:val="-11"/>
            <w:sz w:val="18"/>
          </w:rPr>
          <w:t> </w:t>
        </w:r>
        <w:r>
          <w:rPr>
            <w:sz w:val="18"/>
          </w:rPr>
          <w:t>impresión</w:t>
        </w:r>
        <w:r>
          <w:rPr>
            <w:spacing w:val="-1"/>
            <w:sz w:val="18"/>
          </w:rPr>
          <w:t> </w:t>
        </w:r>
        <w:r>
          <w:rPr>
            <w:sz w:val="18"/>
          </w:rPr>
          <w:t>3D</w:t>
          <w:tab/>
          <w:t>199</w:t>
        </w:r>
      </w:hyperlink>
    </w:p>
    <w:p>
      <w:pPr>
        <w:tabs>
          <w:tab w:pos="8631" w:val="left" w:leader="dot"/>
        </w:tabs>
        <w:spacing w:before="101"/>
        <w:ind w:left="100" w:right="0" w:firstLine="0"/>
        <w:jc w:val="left"/>
        <w:rPr>
          <w:sz w:val="18"/>
        </w:rPr>
      </w:pPr>
      <w:hyperlink w:history="true" w:anchor="_bookmark185">
        <w:r>
          <w:rPr>
            <w:sz w:val="18"/>
          </w:rPr>
          <w:t>Tabla 5.16.Indicadores de la metodología de impacto CML</w:t>
        </w:r>
        <w:r>
          <w:rPr>
            <w:spacing w:val="-13"/>
            <w:sz w:val="18"/>
          </w:rPr>
          <w:t> </w:t>
        </w:r>
        <w:r>
          <w:rPr>
            <w:sz w:val="18"/>
          </w:rPr>
          <w:t>I-A</w:t>
        </w:r>
        <w:r>
          <w:rPr>
            <w:spacing w:val="-1"/>
            <w:sz w:val="18"/>
          </w:rPr>
          <w:t> </w:t>
        </w:r>
        <w:r>
          <w:rPr>
            <w:sz w:val="18"/>
          </w:rPr>
          <w:t>v.4.1.</w:t>
          <w:tab/>
          <w:t>199</w:t>
        </w:r>
      </w:hyperlink>
    </w:p>
    <w:p>
      <w:pPr>
        <w:tabs>
          <w:tab w:pos="8631" w:val="left" w:leader="dot"/>
        </w:tabs>
        <w:spacing w:before="105"/>
        <w:ind w:left="100" w:right="0" w:firstLine="0"/>
        <w:jc w:val="left"/>
        <w:rPr>
          <w:sz w:val="18"/>
        </w:rPr>
      </w:pPr>
      <w:hyperlink w:history="true" w:anchor="_bookmark186">
        <w:r>
          <w:rPr>
            <w:sz w:val="18"/>
          </w:rPr>
          <w:t>Tabla 5.17. De la metodología Ecoindicator 99</w:t>
        </w:r>
        <w:r>
          <w:rPr>
            <w:spacing w:val="-9"/>
            <w:sz w:val="18"/>
          </w:rPr>
          <w:t> </w:t>
        </w:r>
        <w:r>
          <w:rPr>
            <w:sz w:val="18"/>
          </w:rPr>
          <w:t>(H)</w:t>
        </w:r>
        <w:r>
          <w:rPr>
            <w:spacing w:val="-3"/>
            <w:sz w:val="18"/>
          </w:rPr>
          <w:t> </w:t>
        </w:r>
        <w:r>
          <w:rPr>
            <w:sz w:val="18"/>
          </w:rPr>
          <w:t>v2.10.</w:t>
          <w:tab/>
          <w:t>200</w:t>
        </w:r>
      </w:hyperlink>
    </w:p>
    <w:p>
      <w:pPr>
        <w:tabs>
          <w:tab w:pos="8631" w:val="left" w:leader="dot"/>
        </w:tabs>
        <w:spacing w:before="105"/>
        <w:ind w:left="100" w:right="0" w:firstLine="0"/>
        <w:jc w:val="left"/>
        <w:rPr>
          <w:sz w:val="18"/>
        </w:rPr>
      </w:pPr>
      <w:hyperlink w:history="true" w:anchor="_bookmark187">
        <w:r>
          <w:rPr>
            <w:sz w:val="18"/>
          </w:rPr>
          <w:t>Tabla 5.18. Tabla de significados</w:t>
        </w:r>
        <w:r>
          <w:rPr>
            <w:spacing w:val="-7"/>
            <w:sz w:val="18"/>
          </w:rPr>
          <w:t> </w:t>
        </w:r>
        <w:r>
          <w:rPr>
            <w:sz w:val="18"/>
          </w:rPr>
          <w:t>de</w:t>
        </w:r>
        <w:r>
          <w:rPr>
            <w:spacing w:val="-5"/>
            <w:sz w:val="18"/>
          </w:rPr>
          <w:t> </w:t>
        </w:r>
        <w:r>
          <w:rPr>
            <w:sz w:val="18"/>
          </w:rPr>
          <w:t>equivalencias</w:t>
          <w:tab/>
          <w:t>200</w:t>
        </w:r>
      </w:hyperlink>
    </w:p>
    <w:p>
      <w:pPr>
        <w:tabs>
          <w:tab w:pos="8631" w:val="left" w:leader="dot"/>
        </w:tabs>
        <w:spacing w:before="101"/>
        <w:ind w:left="100" w:right="0" w:firstLine="0"/>
        <w:jc w:val="left"/>
        <w:rPr>
          <w:sz w:val="18"/>
        </w:rPr>
      </w:pPr>
      <w:hyperlink w:history="true" w:anchor="_bookmark191">
        <w:r>
          <w:rPr>
            <w:sz w:val="18"/>
          </w:rPr>
          <w:t>Tabla 5.19. Comparación 10 indicadores</w:t>
        </w:r>
        <w:r>
          <w:rPr>
            <w:spacing w:val="-10"/>
            <w:sz w:val="18"/>
          </w:rPr>
          <w:t> </w:t>
        </w:r>
        <w:r>
          <w:rPr>
            <w:sz w:val="18"/>
          </w:rPr>
          <w:t>ambientales</w:t>
        </w:r>
        <w:r>
          <w:rPr>
            <w:spacing w:val="-1"/>
            <w:sz w:val="18"/>
          </w:rPr>
          <w:t> </w:t>
        </w:r>
        <w:r>
          <w:rPr>
            <w:sz w:val="18"/>
          </w:rPr>
          <w:t>CML.</w:t>
          <w:tab/>
          <w:t>202</w:t>
        </w:r>
      </w:hyperlink>
    </w:p>
    <w:p>
      <w:pPr>
        <w:tabs>
          <w:tab w:pos="8631" w:val="left" w:leader="dot"/>
        </w:tabs>
        <w:spacing w:before="105"/>
        <w:ind w:left="100" w:right="0" w:firstLine="0"/>
        <w:jc w:val="left"/>
        <w:rPr>
          <w:sz w:val="18"/>
        </w:rPr>
      </w:pPr>
      <w:hyperlink w:history="true" w:anchor="_bookmark197">
        <w:r>
          <w:rPr>
            <w:sz w:val="18"/>
          </w:rPr>
          <w:t>Tabla 5.20. Valores cualitativos con su valor numérico</w:t>
        </w:r>
        <w:r>
          <w:rPr>
            <w:spacing w:val="-13"/>
            <w:sz w:val="18"/>
          </w:rPr>
          <w:t> </w:t>
        </w:r>
        <w:r>
          <w:rPr>
            <w:sz w:val="18"/>
          </w:rPr>
          <w:t>para</w:t>
        </w:r>
        <w:r>
          <w:rPr>
            <w:spacing w:val="-5"/>
            <w:sz w:val="18"/>
          </w:rPr>
          <w:t> </w:t>
        </w:r>
        <w:r>
          <w:rPr>
            <w:sz w:val="18"/>
          </w:rPr>
          <w:t>calificar.</w:t>
          <w:tab/>
          <w:t>206</w:t>
        </w:r>
      </w:hyperlink>
    </w:p>
    <w:p>
      <w:pPr>
        <w:spacing w:after="0"/>
        <w:jc w:val="left"/>
        <w:rPr>
          <w:sz w:val="18"/>
        </w:rPr>
        <w:sectPr>
          <w:pgSz w:w="12240" w:h="15840"/>
          <w:pgMar w:header="0" w:footer="1031" w:top="1360" w:bottom="1220" w:left="1600" w:right="1580"/>
        </w:sectPr>
      </w:pPr>
    </w:p>
    <w:p>
      <w:pPr>
        <w:tabs>
          <w:tab w:pos="8931" w:val="right" w:leader="dot"/>
        </w:tabs>
        <w:spacing w:before="51"/>
        <w:ind w:left="100" w:right="0" w:firstLine="0"/>
        <w:jc w:val="left"/>
        <w:rPr>
          <w:sz w:val="18"/>
        </w:rPr>
      </w:pPr>
      <w:hyperlink w:history="true" w:anchor="_bookmark198">
        <w:r>
          <w:rPr>
            <w:sz w:val="18"/>
          </w:rPr>
          <w:t>Tabla 5.21. Tabla para obtener la calificación de la magnitud en las tablas</w:t>
        </w:r>
        <w:r>
          <w:rPr>
            <w:spacing w:val="-15"/>
            <w:sz w:val="18"/>
          </w:rPr>
          <w:t> </w:t>
        </w:r>
        <w:r>
          <w:rPr>
            <w:sz w:val="18"/>
          </w:rPr>
          <w:t>de</w:t>
        </w:r>
        <w:r>
          <w:rPr>
            <w:spacing w:val="-4"/>
            <w:sz w:val="18"/>
          </w:rPr>
          <w:t> </w:t>
        </w:r>
        <w:r>
          <w:rPr>
            <w:sz w:val="18"/>
          </w:rPr>
          <w:t>decisión.</w:t>
          <w:tab/>
          <w:t>206</w:t>
        </w:r>
      </w:hyperlink>
    </w:p>
    <w:p>
      <w:pPr>
        <w:tabs>
          <w:tab w:pos="8931" w:val="right" w:leader="dot"/>
        </w:tabs>
        <w:spacing w:before="105"/>
        <w:ind w:left="100" w:right="0" w:firstLine="0"/>
        <w:jc w:val="left"/>
        <w:rPr>
          <w:sz w:val="18"/>
        </w:rPr>
      </w:pPr>
      <w:hyperlink w:history="true" w:anchor="_bookmark199">
        <w:r>
          <w:rPr>
            <w:sz w:val="18"/>
          </w:rPr>
          <w:t>Tabla 5.22. Costos y su valor para calificar en los arboles</w:t>
        </w:r>
        <w:r>
          <w:rPr>
            <w:spacing w:val="-11"/>
            <w:sz w:val="18"/>
          </w:rPr>
          <w:t> </w:t>
        </w:r>
        <w:r>
          <w:rPr>
            <w:sz w:val="18"/>
          </w:rPr>
          <w:t>de</w:t>
        </w:r>
        <w:r>
          <w:rPr>
            <w:spacing w:val="6"/>
            <w:sz w:val="18"/>
          </w:rPr>
          <w:t> </w:t>
        </w:r>
        <w:r>
          <w:rPr>
            <w:sz w:val="18"/>
          </w:rPr>
          <w:t>decisiones</w:t>
          <w:tab/>
          <w:t>207</w:t>
        </w:r>
      </w:hyperlink>
    </w:p>
    <w:p>
      <w:pPr>
        <w:tabs>
          <w:tab w:pos="8931" w:val="right" w:leader="dot"/>
        </w:tabs>
        <w:spacing w:before="105"/>
        <w:ind w:left="100" w:right="0" w:firstLine="0"/>
        <w:jc w:val="left"/>
        <w:rPr>
          <w:sz w:val="18"/>
        </w:rPr>
      </w:pPr>
      <w:hyperlink w:history="true" w:anchor="_bookmark200">
        <w:r>
          <w:rPr>
            <w:sz w:val="18"/>
          </w:rPr>
          <w:t>Tabla 5.23. Árbol de decisión, primer escenario con ponderaciones</w:t>
        </w:r>
        <w:r>
          <w:rPr>
            <w:spacing w:val="-2"/>
            <w:sz w:val="18"/>
          </w:rPr>
          <w:t> </w:t>
        </w:r>
        <w:r>
          <w:rPr>
            <w:sz w:val="18"/>
          </w:rPr>
          <w:t>iguales</w:t>
          <w:tab/>
          <w:t>208</w:t>
        </w:r>
      </w:hyperlink>
    </w:p>
    <w:p>
      <w:pPr>
        <w:tabs>
          <w:tab w:pos="8931" w:val="right" w:leader="dot"/>
        </w:tabs>
        <w:spacing w:line="362" w:lineRule="auto" w:before="101"/>
        <w:ind w:left="100" w:right="103" w:firstLine="0"/>
        <w:jc w:val="left"/>
        <w:rPr>
          <w:sz w:val="18"/>
        </w:rPr>
      </w:pPr>
      <w:hyperlink w:history="true" w:anchor="_bookmark201">
        <w:r>
          <w:rPr>
            <w:sz w:val="18"/>
          </w:rPr>
          <w:t>Tabla 5.24. Árbol de decisión, segundo escenario con ponderación marcando mayor peso al aspecto</w:t>
        </w:r>
      </w:hyperlink>
      <w:r>
        <w:rPr>
          <w:sz w:val="18"/>
        </w:rPr>
        <w:t> </w:t>
      </w:r>
      <w:hyperlink w:history="true" w:anchor="_bookmark201">
        <w:r>
          <w:rPr>
            <w:sz w:val="18"/>
          </w:rPr>
          <w:t>ambiental.</w:t>
          <w:tab/>
          <w:t>210</w:t>
        </w:r>
      </w:hyperlink>
    </w:p>
    <w:p>
      <w:pPr>
        <w:tabs>
          <w:tab w:pos="8931" w:val="right" w:leader="dot"/>
        </w:tabs>
        <w:spacing w:before="3"/>
        <w:ind w:left="100" w:right="0" w:firstLine="0"/>
        <w:jc w:val="left"/>
        <w:rPr>
          <w:sz w:val="18"/>
        </w:rPr>
      </w:pPr>
      <w:hyperlink w:history="true" w:anchor="_bookmark202">
        <w:r>
          <w:rPr>
            <w:sz w:val="18"/>
          </w:rPr>
          <w:t>Tabla 5.25. Árbol de decisión, segundo escenario con ponderación marcando mayor peso a</w:t>
        </w:r>
        <w:r>
          <w:rPr>
            <w:spacing w:val="-24"/>
            <w:sz w:val="18"/>
          </w:rPr>
          <w:t> </w:t>
        </w:r>
        <w:r>
          <w:rPr>
            <w:sz w:val="18"/>
          </w:rPr>
          <w:t>lo</w:t>
        </w:r>
        <w:r>
          <w:rPr>
            <w:spacing w:val="-5"/>
            <w:sz w:val="18"/>
          </w:rPr>
          <w:t> </w:t>
        </w:r>
        <w:r>
          <w:rPr>
            <w:sz w:val="18"/>
          </w:rPr>
          <w:t>funcional.</w:t>
          <w:tab/>
          <w:t>212</w:t>
        </w:r>
      </w:hyperlink>
    </w:p>
    <w:p>
      <w:pPr>
        <w:tabs>
          <w:tab w:pos="8931" w:val="right" w:leader="dot"/>
        </w:tabs>
        <w:spacing w:before="101"/>
        <w:ind w:left="100" w:right="0" w:firstLine="0"/>
        <w:jc w:val="left"/>
        <w:rPr>
          <w:sz w:val="18"/>
        </w:rPr>
      </w:pPr>
      <w:hyperlink w:history="true" w:anchor="_bookmark204">
        <w:r>
          <w:rPr>
            <w:sz w:val="18"/>
          </w:rPr>
          <w:t>Tabla 5.26. Tabla de</w:t>
        </w:r>
        <w:r>
          <w:rPr>
            <w:spacing w:val="-4"/>
            <w:sz w:val="18"/>
          </w:rPr>
          <w:t> </w:t>
        </w:r>
        <w:r>
          <w:rPr>
            <w:sz w:val="18"/>
          </w:rPr>
          <w:t>resultados</w:t>
          <w:tab/>
          <w:t>214</w:t>
        </w:r>
      </w:hyperlink>
    </w:p>
    <w:sectPr>
      <w:pgSz w:w="12240" w:h="15840"/>
      <w:pgMar w:header="0" w:footer="1031" w:top="1360" w:bottom="1220" w:left="1600" w:right="1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Wingdings">
    <w:altName w:val="Wingdings"/>
    <w:charset w:val="2"/>
    <w:family w:val="auto"/>
    <w:pitch w:val="variable"/>
  </w:font>
  <w:font w:name="Courier New">
    <w:altName w:val="Courier New"/>
    <w:charset w:val="0"/>
    <w:family w:val="modern"/>
    <w:pitch w:val="fixed"/>
  </w:font>
  <w:font w:name="Franklin Gothic Medium">
    <w:altName w:val="Franklin Gothic Medium"/>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1.579987pt;margin-top:729.451233pt;width:17.5pt;height:14pt;mso-position-horizontal-relative:page;mso-position-vertical-relative:page;z-index:-28585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4.980011pt;margin-top:729.451233pt;width:23.8pt;height:14pt;mso-position-horizontal-relative:page;mso-position-vertical-relative:page;z-index:-28564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203</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8.824997pt;margin-top:549.451233pt;width:23.8pt;height:14pt;mso-position-horizontal-relative:page;mso-position-vertical-relative:page;z-index:-28561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208</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4.980011pt;margin-top:549.451233pt;width:23.8pt;height:14pt;mso-position-horizontal-relative:page;mso-position-vertical-relative:page;z-index:-28559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209</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025002pt;margin-top:729.451233pt;width:23.8pt;height:14pt;mso-position-horizontal-relative:page;mso-position-vertical-relative:page;z-index:-28556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214</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4.980011pt;margin-top:729.451233pt;width:23.8pt;height:14pt;mso-position-horizontal-relative:page;mso-position-vertical-relative:page;z-index:-28554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215</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025002pt;margin-top:729.451233pt;width:17.2pt;height:14pt;mso-position-horizontal-relative:page;mso-position-vertical-relative:page;z-index:-28583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025002pt;margin-top:729.451233pt;width:21.8pt;height:14pt;mso-position-horizontal-relative:page;mso-position-vertical-relative:page;z-index:-285808" type="#_x0000_t202" filled="false" stroked="false">
          <v:textbox inset="0,0,0,0">
            <w:txbxContent>
              <w:p>
                <w:pPr>
                  <w:pStyle w:val="BodyText"/>
                  <w:spacing w:line="265" w:lineRule="exact"/>
                  <w:ind w:left="20" w:right="-5"/>
                </w:pPr>
                <w:r>
                  <w:rPr/>
                  <w:t>100</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5.980011pt;margin-top:729.451233pt;width:21.8pt;height:14pt;mso-position-horizontal-relative:page;mso-position-vertical-relative:page;z-index:-285784" type="#_x0000_t202" filled="false" stroked="false">
          <v:textbox inset="0,0,0,0">
            <w:txbxContent>
              <w:p>
                <w:pPr>
                  <w:pStyle w:val="BodyText"/>
                  <w:spacing w:line="265" w:lineRule="exact"/>
                  <w:ind w:left="20" w:right="-5"/>
                </w:pPr>
                <w:r>
                  <w:rPr/>
                  <w:t>101</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025002pt;margin-top:729.451233pt;width:23.8pt;height:14pt;mso-position-horizontal-relative:page;mso-position-vertical-relative:page;z-index:-28576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102</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4.980011pt;margin-top:729.451233pt;width:23.9pt;height:14pt;mso-position-horizontal-relative:page;mso-position-vertical-relative:page;z-index:-28573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163</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025002pt;margin-top:729.451233pt;width:21.8pt;height:14pt;mso-position-horizontal-relative:page;mso-position-vertical-relative:page;z-index:-285712" type="#_x0000_t202" filled="false" stroked="false">
          <v:textbox inset="0,0,0,0">
            <w:txbxContent>
              <w:p>
                <w:pPr>
                  <w:pStyle w:val="BodyText"/>
                  <w:spacing w:line="265" w:lineRule="exact"/>
                  <w:ind w:left="20" w:right="-5"/>
                </w:pPr>
                <w:r>
                  <w:rPr/>
                  <w:t>200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5.980011pt;margin-top:729.451233pt;width:21.8pt;height:14pt;mso-position-horizontal-relative:page;mso-position-vertical-relative:page;z-index:-285688" type="#_x0000_t202" filled="false" stroked="false">
          <v:textbox inset="0,0,0,0">
            <w:txbxContent>
              <w:p>
                <w:pPr>
                  <w:pStyle w:val="BodyText"/>
                  <w:spacing w:line="265" w:lineRule="exact"/>
                  <w:ind w:left="20" w:right="-5"/>
                </w:pPr>
                <w:r>
                  <w:rPr/>
                  <w:t>201</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025002pt;margin-top:729.451233pt;width:23.8pt;height:14pt;mso-position-horizontal-relative:page;mso-position-vertical-relative:page;z-index:-28566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202</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1"/>
      <w:numFmt w:val="bullet"/>
      <w:lvlText w:val=""/>
      <w:lvlJc w:val="left"/>
      <w:pPr>
        <w:ind w:left="821" w:hanging="361"/>
      </w:pPr>
      <w:rPr>
        <w:rFonts w:hint="default" w:ascii="Symbol" w:hAnsi="Symbol" w:eastAsia="Symbol" w:cs="Symbol"/>
        <w:w w:val="100"/>
        <w:sz w:val="24"/>
        <w:szCs w:val="24"/>
      </w:rPr>
    </w:lvl>
    <w:lvl w:ilvl="1">
      <w:start w:val="1"/>
      <w:numFmt w:val="bullet"/>
      <w:lvlText w:val="•"/>
      <w:lvlJc w:val="left"/>
      <w:pPr>
        <w:ind w:left="1642" w:hanging="361"/>
      </w:pPr>
      <w:rPr>
        <w:rFonts w:hint="default"/>
      </w:rPr>
    </w:lvl>
    <w:lvl w:ilvl="2">
      <w:start w:val="1"/>
      <w:numFmt w:val="bullet"/>
      <w:lvlText w:val="•"/>
      <w:lvlJc w:val="left"/>
      <w:pPr>
        <w:ind w:left="2464" w:hanging="361"/>
      </w:pPr>
      <w:rPr>
        <w:rFonts w:hint="default"/>
      </w:rPr>
    </w:lvl>
    <w:lvl w:ilvl="3">
      <w:start w:val="1"/>
      <w:numFmt w:val="bullet"/>
      <w:lvlText w:val="•"/>
      <w:lvlJc w:val="left"/>
      <w:pPr>
        <w:ind w:left="3286" w:hanging="361"/>
      </w:pPr>
      <w:rPr>
        <w:rFonts w:hint="default"/>
      </w:rPr>
    </w:lvl>
    <w:lvl w:ilvl="4">
      <w:start w:val="1"/>
      <w:numFmt w:val="bullet"/>
      <w:lvlText w:val="•"/>
      <w:lvlJc w:val="left"/>
      <w:pPr>
        <w:ind w:left="4108" w:hanging="361"/>
      </w:pPr>
      <w:rPr>
        <w:rFonts w:hint="default"/>
      </w:rPr>
    </w:lvl>
    <w:lvl w:ilvl="5">
      <w:start w:val="1"/>
      <w:numFmt w:val="bullet"/>
      <w:lvlText w:val="•"/>
      <w:lvlJc w:val="left"/>
      <w:pPr>
        <w:ind w:left="4930" w:hanging="361"/>
      </w:pPr>
      <w:rPr>
        <w:rFonts w:hint="default"/>
      </w:rPr>
    </w:lvl>
    <w:lvl w:ilvl="6">
      <w:start w:val="1"/>
      <w:numFmt w:val="bullet"/>
      <w:lvlText w:val="•"/>
      <w:lvlJc w:val="left"/>
      <w:pPr>
        <w:ind w:left="5752" w:hanging="361"/>
      </w:pPr>
      <w:rPr>
        <w:rFonts w:hint="default"/>
      </w:rPr>
    </w:lvl>
    <w:lvl w:ilvl="7">
      <w:start w:val="1"/>
      <w:numFmt w:val="bullet"/>
      <w:lvlText w:val="•"/>
      <w:lvlJc w:val="left"/>
      <w:pPr>
        <w:ind w:left="6574" w:hanging="361"/>
      </w:pPr>
      <w:rPr>
        <w:rFonts w:hint="default"/>
      </w:rPr>
    </w:lvl>
    <w:lvl w:ilvl="8">
      <w:start w:val="1"/>
      <w:numFmt w:val="bullet"/>
      <w:lvlText w:val="•"/>
      <w:lvlJc w:val="left"/>
      <w:pPr>
        <w:ind w:left="7396" w:hanging="361"/>
      </w:pPr>
      <w:rPr>
        <w:rFonts w:hint="default"/>
      </w:rPr>
    </w:lvl>
  </w:abstractNum>
  <w:abstractNum w:abstractNumId="63">
    <w:multiLevelType w:val="hybridMultilevel"/>
    <w:lvl w:ilvl="0">
      <w:start w:val="5"/>
      <w:numFmt w:val="decimal"/>
      <w:lvlText w:val="%1"/>
      <w:lvlJc w:val="left"/>
      <w:pPr>
        <w:ind w:left="676" w:hanging="576"/>
        <w:jc w:val="left"/>
      </w:pPr>
      <w:rPr>
        <w:rFonts w:hint="default"/>
      </w:rPr>
    </w:lvl>
    <w:lvl w:ilvl="1">
      <w:start w:val="6"/>
      <w:numFmt w:val="decimal"/>
      <w:lvlText w:val="%1.%2."/>
      <w:lvlJc w:val="left"/>
      <w:pPr>
        <w:ind w:left="676" w:hanging="576"/>
        <w:jc w:val="left"/>
      </w:pPr>
      <w:rPr>
        <w:rFonts w:hint="default" w:ascii="Arial" w:hAnsi="Arial" w:eastAsia="Arial" w:cs="Arial"/>
        <w:spacing w:val="-2"/>
        <w:w w:val="100"/>
        <w:sz w:val="28"/>
        <w:szCs w:val="28"/>
      </w:rPr>
    </w:lvl>
    <w:lvl w:ilvl="2">
      <w:start w:val="1"/>
      <w:numFmt w:val="bullet"/>
      <w:lvlText w:val=""/>
      <w:lvlJc w:val="left"/>
      <w:pPr>
        <w:ind w:left="821" w:hanging="361"/>
      </w:pPr>
      <w:rPr>
        <w:rFonts w:hint="default" w:ascii="Wingdings" w:hAnsi="Wingdings" w:eastAsia="Wingdings" w:cs="Wingdings"/>
        <w:w w:val="99"/>
        <w:sz w:val="24"/>
        <w:szCs w:val="24"/>
      </w:rPr>
    </w:lvl>
    <w:lvl w:ilvl="3">
      <w:start w:val="1"/>
      <w:numFmt w:val="bullet"/>
      <w:lvlText w:val=""/>
      <w:lvlJc w:val="left"/>
      <w:pPr>
        <w:ind w:left="941" w:hanging="361"/>
      </w:pPr>
      <w:rPr>
        <w:rFonts w:hint="default" w:ascii="Wingdings" w:hAnsi="Wingdings" w:eastAsia="Wingdings" w:cs="Wingdings"/>
        <w:w w:val="99"/>
        <w:sz w:val="24"/>
        <w:szCs w:val="24"/>
      </w:rPr>
    </w:lvl>
    <w:lvl w:ilvl="4">
      <w:start w:val="1"/>
      <w:numFmt w:val="bullet"/>
      <w:lvlText w:val="•"/>
      <w:lvlJc w:val="left"/>
      <w:pPr>
        <w:ind w:left="2965" w:hanging="361"/>
      </w:pPr>
      <w:rPr>
        <w:rFonts w:hint="default"/>
      </w:rPr>
    </w:lvl>
    <w:lvl w:ilvl="5">
      <w:start w:val="1"/>
      <w:numFmt w:val="bullet"/>
      <w:lvlText w:val="•"/>
      <w:lvlJc w:val="left"/>
      <w:pPr>
        <w:ind w:left="3977" w:hanging="361"/>
      </w:pPr>
      <w:rPr>
        <w:rFonts w:hint="default"/>
      </w:rPr>
    </w:lvl>
    <w:lvl w:ilvl="6">
      <w:start w:val="1"/>
      <w:numFmt w:val="bullet"/>
      <w:lvlText w:val="•"/>
      <w:lvlJc w:val="left"/>
      <w:pPr>
        <w:ind w:left="4990" w:hanging="361"/>
      </w:pPr>
      <w:rPr>
        <w:rFonts w:hint="default"/>
      </w:rPr>
    </w:lvl>
    <w:lvl w:ilvl="7">
      <w:start w:val="1"/>
      <w:numFmt w:val="bullet"/>
      <w:lvlText w:val="•"/>
      <w:lvlJc w:val="left"/>
      <w:pPr>
        <w:ind w:left="6002" w:hanging="361"/>
      </w:pPr>
      <w:rPr>
        <w:rFonts w:hint="default"/>
      </w:rPr>
    </w:lvl>
    <w:lvl w:ilvl="8">
      <w:start w:val="1"/>
      <w:numFmt w:val="bullet"/>
      <w:lvlText w:val="•"/>
      <w:lvlJc w:val="left"/>
      <w:pPr>
        <w:ind w:left="7015" w:hanging="361"/>
      </w:pPr>
      <w:rPr>
        <w:rFonts w:hint="default"/>
      </w:rPr>
    </w:lvl>
  </w:abstractNum>
  <w:abstractNum w:abstractNumId="62">
    <w:multiLevelType w:val="hybridMultilevel"/>
    <w:lvl w:ilvl="0">
      <w:start w:val="5"/>
      <w:numFmt w:val="decimal"/>
      <w:lvlText w:val="%1"/>
      <w:lvlJc w:val="left"/>
      <w:pPr>
        <w:ind w:left="897" w:hanging="797"/>
        <w:jc w:val="left"/>
      </w:pPr>
      <w:rPr>
        <w:rFonts w:hint="default"/>
      </w:rPr>
    </w:lvl>
    <w:lvl w:ilvl="1">
      <w:start w:val="5"/>
      <w:numFmt w:val="decimal"/>
      <w:lvlText w:val="%1.%2"/>
      <w:lvlJc w:val="left"/>
      <w:pPr>
        <w:ind w:left="897" w:hanging="797"/>
        <w:jc w:val="left"/>
      </w:pPr>
      <w:rPr>
        <w:rFonts w:hint="default"/>
      </w:rPr>
    </w:lvl>
    <w:lvl w:ilvl="2">
      <w:start w:val="1"/>
      <w:numFmt w:val="decimal"/>
      <w:lvlText w:val="%1.%2.%3."/>
      <w:lvlJc w:val="left"/>
      <w:pPr>
        <w:ind w:left="897" w:hanging="797"/>
        <w:jc w:val="left"/>
      </w:pPr>
      <w:rPr>
        <w:rFonts w:hint="default" w:ascii="Arial" w:hAnsi="Arial" w:eastAsia="Arial" w:cs="Arial"/>
        <w:spacing w:val="-2"/>
        <w:w w:val="100"/>
        <w:sz w:val="28"/>
        <w:szCs w:val="28"/>
      </w:rPr>
    </w:lvl>
    <w:lvl w:ilvl="3">
      <w:start w:val="1"/>
      <w:numFmt w:val="decimal"/>
      <w:lvlText w:val="%1.%2.%3.%4."/>
      <w:lvlJc w:val="left"/>
      <w:pPr>
        <w:ind w:left="1517" w:hanging="1417"/>
        <w:jc w:val="right"/>
      </w:pPr>
      <w:rPr>
        <w:rFonts w:hint="default" w:ascii="Arial" w:hAnsi="Arial" w:eastAsia="Arial" w:cs="Arial"/>
        <w:spacing w:val="-2"/>
        <w:w w:val="99"/>
        <w:sz w:val="28"/>
        <w:szCs w:val="28"/>
      </w:rPr>
    </w:lvl>
    <w:lvl w:ilvl="4">
      <w:start w:val="1"/>
      <w:numFmt w:val="bullet"/>
      <w:lvlText w:val="•"/>
      <w:lvlJc w:val="left"/>
      <w:pPr>
        <w:ind w:left="4026" w:hanging="1417"/>
      </w:pPr>
      <w:rPr>
        <w:rFonts w:hint="default"/>
      </w:rPr>
    </w:lvl>
    <w:lvl w:ilvl="5">
      <w:start w:val="1"/>
      <w:numFmt w:val="bullet"/>
      <w:lvlText w:val="•"/>
      <w:lvlJc w:val="left"/>
      <w:pPr>
        <w:ind w:left="4862" w:hanging="1417"/>
      </w:pPr>
      <w:rPr>
        <w:rFonts w:hint="default"/>
      </w:rPr>
    </w:lvl>
    <w:lvl w:ilvl="6">
      <w:start w:val="1"/>
      <w:numFmt w:val="bullet"/>
      <w:lvlText w:val="•"/>
      <w:lvlJc w:val="left"/>
      <w:pPr>
        <w:ind w:left="5697" w:hanging="1417"/>
      </w:pPr>
      <w:rPr>
        <w:rFonts w:hint="default"/>
      </w:rPr>
    </w:lvl>
    <w:lvl w:ilvl="7">
      <w:start w:val="1"/>
      <w:numFmt w:val="bullet"/>
      <w:lvlText w:val="•"/>
      <w:lvlJc w:val="left"/>
      <w:pPr>
        <w:ind w:left="6533" w:hanging="1417"/>
      </w:pPr>
      <w:rPr>
        <w:rFonts w:hint="default"/>
      </w:rPr>
    </w:lvl>
    <w:lvl w:ilvl="8">
      <w:start w:val="1"/>
      <w:numFmt w:val="bullet"/>
      <w:lvlText w:val="•"/>
      <w:lvlJc w:val="left"/>
      <w:pPr>
        <w:ind w:left="7368" w:hanging="1417"/>
      </w:pPr>
      <w:rPr>
        <w:rFonts w:hint="default"/>
      </w:rPr>
    </w:lvl>
  </w:abstractNum>
  <w:abstractNum w:abstractNumId="61">
    <w:multiLevelType w:val="hybridMultilevel"/>
    <w:lvl w:ilvl="0">
      <w:start w:val="1"/>
      <w:numFmt w:val="bullet"/>
      <w:lvlText w:val=""/>
      <w:lvlJc w:val="left"/>
      <w:pPr>
        <w:ind w:left="901" w:hanging="361"/>
      </w:pPr>
      <w:rPr>
        <w:rFonts w:hint="default" w:ascii="Symbol" w:hAnsi="Symbol" w:eastAsia="Symbol" w:cs="Symbol"/>
        <w:w w:val="100"/>
        <w:sz w:val="24"/>
        <w:szCs w:val="24"/>
      </w:rPr>
    </w:lvl>
    <w:lvl w:ilvl="1">
      <w:start w:val="1"/>
      <w:numFmt w:val="bullet"/>
      <w:lvlText w:val="•"/>
      <w:lvlJc w:val="left"/>
      <w:pPr>
        <w:ind w:left="1730" w:hanging="361"/>
      </w:pPr>
      <w:rPr>
        <w:rFonts w:hint="default"/>
      </w:rPr>
    </w:lvl>
    <w:lvl w:ilvl="2">
      <w:start w:val="1"/>
      <w:numFmt w:val="bullet"/>
      <w:lvlText w:val="•"/>
      <w:lvlJc w:val="left"/>
      <w:pPr>
        <w:ind w:left="2560" w:hanging="361"/>
      </w:pPr>
      <w:rPr>
        <w:rFonts w:hint="default"/>
      </w:rPr>
    </w:lvl>
    <w:lvl w:ilvl="3">
      <w:start w:val="1"/>
      <w:numFmt w:val="bullet"/>
      <w:lvlText w:val="•"/>
      <w:lvlJc w:val="left"/>
      <w:pPr>
        <w:ind w:left="3390" w:hanging="361"/>
      </w:pPr>
      <w:rPr>
        <w:rFonts w:hint="default"/>
      </w:rPr>
    </w:lvl>
    <w:lvl w:ilvl="4">
      <w:start w:val="1"/>
      <w:numFmt w:val="bullet"/>
      <w:lvlText w:val="•"/>
      <w:lvlJc w:val="left"/>
      <w:pPr>
        <w:ind w:left="4220" w:hanging="361"/>
      </w:pPr>
      <w:rPr>
        <w:rFonts w:hint="default"/>
      </w:rPr>
    </w:lvl>
    <w:lvl w:ilvl="5">
      <w:start w:val="1"/>
      <w:numFmt w:val="bullet"/>
      <w:lvlText w:val="•"/>
      <w:lvlJc w:val="left"/>
      <w:pPr>
        <w:ind w:left="5050" w:hanging="361"/>
      </w:pPr>
      <w:rPr>
        <w:rFonts w:hint="default"/>
      </w:rPr>
    </w:lvl>
    <w:lvl w:ilvl="6">
      <w:start w:val="1"/>
      <w:numFmt w:val="bullet"/>
      <w:lvlText w:val="•"/>
      <w:lvlJc w:val="left"/>
      <w:pPr>
        <w:ind w:left="5880" w:hanging="361"/>
      </w:pPr>
      <w:rPr>
        <w:rFonts w:hint="default"/>
      </w:rPr>
    </w:lvl>
    <w:lvl w:ilvl="7">
      <w:start w:val="1"/>
      <w:numFmt w:val="bullet"/>
      <w:lvlText w:val="•"/>
      <w:lvlJc w:val="left"/>
      <w:pPr>
        <w:ind w:left="6710" w:hanging="361"/>
      </w:pPr>
      <w:rPr>
        <w:rFonts w:hint="default"/>
      </w:rPr>
    </w:lvl>
    <w:lvl w:ilvl="8">
      <w:start w:val="1"/>
      <w:numFmt w:val="bullet"/>
      <w:lvlText w:val="•"/>
      <w:lvlJc w:val="left"/>
      <w:pPr>
        <w:ind w:left="7540" w:hanging="361"/>
      </w:pPr>
      <w:rPr>
        <w:rFonts w:hint="default"/>
      </w:rPr>
    </w:lvl>
  </w:abstractNum>
  <w:abstractNum w:abstractNumId="60">
    <w:multiLevelType w:val="hybridMultilevel"/>
    <w:lvl w:ilvl="0">
      <w:start w:val="5"/>
      <w:numFmt w:val="decimal"/>
      <w:lvlText w:val="%1"/>
      <w:lvlJc w:val="left"/>
      <w:pPr>
        <w:ind w:left="1637" w:hanging="1497"/>
        <w:jc w:val="left"/>
      </w:pPr>
      <w:rPr>
        <w:rFonts w:hint="default"/>
      </w:rPr>
    </w:lvl>
    <w:lvl w:ilvl="1">
      <w:start w:val="4"/>
      <w:numFmt w:val="decimal"/>
      <w:lvlText w:val="%1.%2"/>
      <w:lvlJc w:val="left"/>
      <w:pPr>
        <w:ind w:left="1637" w:hanging="1497"/>
        <w:jc w:val="left"/>
      </w:pPr>
      <w:rPr>
        <w:rFonts w:hint="default"/>
      </w:rPr>
    </w:lvl>
    <w:lvl w:ilvl="2">
      <w:start w:val="3"/>
      <w:numFmt w:val="decimal"/>
      <w:lvlText w:val="%1.%2.%3"/>
      <w:lvlJc w:val="left"/>
      <w:pPr>
        <w:ind w:left="1637" w:hanging="1497"/>
        <w:jc w:val="left"/>
      </w:pPr>
      <w:rPr>
        <w:rFonts w:hint="default"/>
      </w:rPr>
    </w:lvl>
    <w:lvl w:ilvl="3">
      <w:start w:val="1"/>
      <w:numFmt w:val="decimal"/>
      <w:lvlText w:val="%1.%2.%3.%4."/>
      <w:lvlJc w:val="left"/>
      <w:pPr>
        <w:ind w:left="1637" w:hanging="1497"/>
        <w:jc w:val="left"/>
      </w:pPr>
      <w:rPr>
        <w:rFonts w:hint="default" w:ascii="Arial" w:hAnsi="Arial" w:eastAsia="Arial" w:cs="Arial"/>
        <w:spacing w:val="-2"/>
        <w:w w:val="99"/>
        <w:sz w:val="28"/>
        <w:szCs w:val="28"/>
      </w:rPr>
    </w:lvl>
    <w:lvl w:ilvl="4">
      <w:start w:val="1"/>
      <w:numFmt w:val="bullet"/>
      <w:lvlText w:val=""/>
      <w:lvlJc w:val="left"/>
      <w:pPr>
        <w:ind w:left="901" w:hanging="361"/>
      </w:pPr>
      <w:rPr>
        <w:rFonts w:hint="default" w:ascii="Symbol" w:hAnsi="Symbol" w:eastAsia="Symbol" w:cs="Symbol"/>
        <w:w w:val="100"/>
        <w:sz w:val="24"/>
        <w:szCs w:val="24"/>
      </w:rPr>
    </w:lvl>
    <w:lvl w:ilvl="5">
      <w:start w:val="1"/>
      <w:numFmt w:val="bullet"/>
      <w:lvlText w:val="•"/>
      <w:lvlJc w:val="left"/>
      <w:pPr>
        <w:ind w:left="4964" w:hanging="361"/>
      </w:pPr>
      <w:rPr>
        <w:rFonts w:hint="default"/>
      </w:rPr>
    </w:lvl>
    <w:lvl w:ilvl="6">
      <w:start w:val="1"/>
      <w:numFmt w:val="bullet"/>
      <w:lvlText w:val="•"/>
      <w:lvlJc w:val="left"/>
      <w:pPr>
        <w:ind w:left="5795" w:hanging="361"/>
      </w:pPr>
      <w:rPr>
        <w:rFonts w:hint="default"/>
      </w:rPr>
    </w:lvl>
    <w:lvl w:ilvl="7">
      <w:start w:val="1"/>
      <w:numFmt w:val="bullet"/>
      <w:lvlText w:val="•"/>
      <w:lvlJc w:val="left"/>
      <w:pPr>
        <w:ind w:left="6626" w:hanging="361"/>
      </w:pPr>
      <w:rPr>
        <w:rFonts w:hint="default"/>
      </w:rPr>
    </w:lvl>
    <w:lvl w:ilvl="8">
      <w:start w:val="1"/>
      <w:numFmt w:val="bullet"/>
      <w:lvlText w:val="•"/>
      <w:lvlJc w:val="left"/>
      <w:pPr>
        <w:ind w:left="7457" w:hanging="361"/>
      </w:pPr>
      <w:rPr>
        <w:rFonts w:hint="default"/>
      </w:rPr>
    </w:lvl>
  </w:abstractNum>
  <w:abstractNum w:abstractNumId="59">
    <w:multiLevelType w:val="hybridMultilevel"/>
    <w:lvl w:ilvl="0">
      <w:start w:val="1"/>
      <w:numFmt w:val="bullet"/>
      <w:lvlText w:val=""/>
      <w:lvlJc w:val="left"/>
      <w:pPr>
        <w:ind w:left="821" w:hanging="361"/>
      </w:pPr>
      <w:rPr>
        <w:rFonts w:hint="default" w:ascii="Symbol" w:hAnsi="Symbol" w:eastAsia="Symbol" w:cs="Symbol"/>
        <w:w w:val="100"/>
        <w:sz w:val="24"/>
        <w:szCs w:val="24"/>
      </w:rPr>
    </w:lvl>
    <w:lvl w:ilvl="1">
      <w:start w:val="1"/>
      <w:numFmt w:val="bullet"/>
      <w:lvlText w:val="•"/>
      <w:lvlJc w:val="left"/>
      <w:pPr>
        <w:ind w:left="1642" w:hanging="361"/>
      </w:pPr>
      <w:rPr>
        <w:rFonts w:hint="default"/>
      </w:rPr>
    </w:lvl>
    <w:lvl w:ilvl="2">
      <w:start w:val="1"/>
      <w:numFmt w:val="bullet"/>
      <w:lvlText w:val="•"/>
      <w:lvlJc w:val="left"/>
      <w:pPr>
        <w:ind w:left="2464" w:hanging="361"/>
      </w:pPr>
      <w:rPr>
        <w:rFonts w:hint="default"/>
      </w:rPr>
    </w:lvl>
    <w:lvl w:ilvl="3">
      <w:start w:val="1"/>
      <w:numFmt w:val="bullet"/>
      <w:lvlText w:val="•"/>
      <w:lvlJc w:val="left"/>
      <w:pPr>
        <w:ind w:left="3286" w:hanging="361"/>
      </w:pPr>
      <w:rPr>
        <w:rFonts w:hint="default"/>
      </w:rPr>
    </w:lvl>
    <w:lvl w:ilvl="4">
      <w:start w:val="1"/>
      <w:numFmt w:val="bullet"/>
      <w:lvlText w:val="•"/>
      <w:lvlJc w:val="left"/>
      <w:pPr>
        <w:ind w:left="4108" w:hanging="361"/>
      </w:pPr>
      <w:rPr>
        <w:rFonts w:hint="default"/>
      </w:rPr>
    </w:lvl>
    <w:lvl w:ilvl="5">
      <w:start w:val="1"/>
      <w:numFmt w:val="bullet"/>
      <w:lvlText w:val="•"/>
      <w:lvlJc w:val="left"/>
      <w:pPr>
        <w:ind w:left="4930" w:hanging="361"/>
      </w:pPr>
      <w:rPr>
        <w:rFonts w:hint="default"/>
      </w:rPr>
    </w:lvl>
    <w:lvl w:ilvl="6">
      <w:start w:val="1"/>
      <w:numFmt w:val="bullet"/>
      <w:lvlText w:val="•"/>
      <w:lvlJc w:val="left"/>
      <w:pPr>
        <w:ind w:left="5752" w:hanging="361"/>
      </w:pPr>
      <w:rPr>
        <w:rFonts w:hint="default"/>
      </w:rPr>
    </w:lvl>
    <w:lvl w:ilvl="7">
      <w:start w:val="1"/>
      <w:numFmt w:val="bullet"/>
      <w:lvlText w:val="•"/>
      <w:lvlJc w:val="left"/>
      <w:pPr>
        <w:ind w:left="6574" w:hanging="361"/>
      </w:pPr>
      <w:rPr>
        <w:rFonts w:hint="default"/>
      </w:rPr>
    </w:lvl>
    <w:lvl w:ilvl="8">
      <w:start w:val="1"/>
      <w:numFmt w:val="bullet"/>
      <w:lvlText w:val="•"/>
      <w:lvlJc w:val="left"/>
      <w:pPr>
        <w:ind w:left="7396" w:hanging="361"/>
      </w:pPr>
      <w:rPr>
        <w:rFonts w:hint="default"/>
      </w:rPr>
    </w:lvl>
  </w:abstractNum>
  <w:abstractNum w:abstractNumId="58">
    <w:multiLevelType w:val="hybridMultilevel"/>
    <w:lvl w:ilvl="0">
      <w:start w:val="5"/>
      <w:numFmt w:val="decimal"/>
      <w:lvlText w:val="%1"/>
      <w:lvlJc w:val="left"/>
      <w:pPr>
        <w:ind w:left="901" w:hanging="801"/>
        <w:jc w:val="left"/>
      </w:pPr>
      <w:rPr>
        <w:rFonts w:hint="default"/>
      </w:rPr>
    </w:lvl>
    <w:lvl w:ilvl="1">
      <w:start w:val="4"/>
      <w:numFmt w:val="decimal"/>
      <w:lvlText w:val="%1.%2"/>
      <w:lvlJc w:val="left"/>
      <w:pPr>
        <w:ind w:left="901" w:hanging="801"/>
        <w:jc w:val="left"/>
      </w:pPr>
      <w:rPr>
        <w:rFonts w:hint="default"/>
      </w:rPr>
    </w:lvl>
    <w:lvl w:ilvl="2">
      <w:start w:val="1"/>
      <w:numFmt w:val="decimal"/>
      <w:lvlText w:val="%1.%2.%3."/>
      <w:lvlJc w:val="left"/>
      <w:pPr>
        <w:ind w:left="901" w:hanging="801"/>
        <w:jc w:val="left"/>
      </w:pPr>
      <w:rPr>
        <w:rFonts w:hint="default" w:ascii="Arial" w:hAnsi="Arial" w:eastAsia="Arial" w:cs="Arial"/>
        <w:spacing w:val="-2"/>
        <w:w w:val="100"/>
        <w:sz w:val="28"/>
        <w:szCs w:val="28"/>
      </w:rPr>
    </w:lvl>
    <w:lvl w:ilvl="3">
      <w:start w:val="1"/>
      <w:numFmt w:val="bullet"/>
      <w:lvlText w:val="-"/>
      <w:lvlJc w:val="left"/>
      <w:pPr>
        <w:ind w:left="100" w:hanging="437"/>
      </w:pPr>
      <w:rPr>
        <w:rFonts w:hint="default" w:ascii="Franklin Gothic Medium" w:hAnsi="Franklin Gothic Medium" w:eastAsia="Franklin Gothic Medium" w:cs="Franklin Gothic Medium"/>
        <w:w w:val="120"/>
        <w:sz w:val="24"/>
        <w:szCs w:val="24"/>
      </w:rPr>
    </w:lvl>
    <w:lvl w:ilvl="4">
      <w:start w:val="1"/>
      <w:numFmt w:val="bullet"/>
      <w:lvlText w:val="•"/>
      <w:lvlJc w:val="left"/>
      <w:pPr>
        <w:ind w:left="3613" w:hanging="437"/>
      </w:pPr>
      <w:rPr>
        <w:rFonts w:hint="default"/>
      </w:rPr>
    </w:lvl>
    <w:lvl w:ilvl="5">
      <w:start w:val="1"/>
      <w:numFmt w:val="bullet"/>
      <w:lvlText w:val="•"/>
      <w:lvlJc w:val="left"/>
      <w:pPr>
        <w:ind w:left="4517" w:hanging="437"/>
      </w:pPr>
      <w:rPr>
        <w:rFonts w:hint="default"/>
      </w:rPr>
    </w:lvl>
    <w:lvl w:ilvl="6">
      <w:start w:val="1"/>
      <w:numFmt w:val="bullet"/>
      <w:lvlText w:val="•"/>
      <w:lvlJc w:val="left"/>
      <w:pPr>
        <w:ind w:left="5422" w:hanging="437"/>
      </w:pPr>
      <w:rPr>
        <w:rFonts w:hint="default"/>
      </w:rPr>
    </w:lvl>
    <w:lvl w:ilvl="7">
      <w:start w:val="1"/>
      <w:numFmt w:val="bullet"/>
      <w:lvlText w:val="•"/>
      <w:lvlJc w:val="left"/>
      <w:pPr>
        <w:ind w:left="6326" w:hanging="437"/>
      </w:pPr>
      <w:rPr>
        <w:rFonts w:hint="default"/>
      </w:rPr>
    </w:lvl>
    <w:lvl w:ilvl="8">
      <w:start w:val="1"/>
      <w:numFmt w:val="bullet"/>
      <w:lvlText w:val="•"/>
      <w:lvlJc w:val="left"/>
      <w:pPr>
        <w:ind w:left="7231" w:hanging="437"/>
      </w:pPr>
      <w:rPr>
        <w:rFonts w:hint="default"/>
      </w:rPr>
    </w:lvl>
  </w:abstractNum>
  <w:abstractNum w:abstractNumId="57">
    <w:multiLevelType w:val="hybridMultilevel"/>
    <w:lvl w:ilvl="0">
      <w:start w:val="1"/>
      <w:numFmt w:val="bullet"/>
      <w:lvlText w:val="•"/>
      <w:lvlJc w:val="left"/>
      <w:pPr>
        <w:ind w:left="821" w:hanging="361"/>
      </w:pPr>
      <w:rPr>
        <w:rFonts w:hint="default" w:ascii="Franklin Gothic Medium" w:hAnsi="Franklin Gothic Medium" w:eastAsia="Franklin Gothic Medium" w:cs="Franklin Gothic Medium"/>
        <w:w w:val="100"/>
        <w:sz w:val="24"/>
        <w:szCs w:val="24"/>
      </w:rPr>
    </w:lvl>
    <w:lvl w:ilvl="1">
      <w:start w:val="1"/>
      <w:numFmt w:val="bullet"/>
      <w:lvlText w:val="–"/>
      <w:lvlJc w:val="left"/>
      <w:pPr>
        <w:ind w:left="1021" w:hanging="200"/>
      </w:pPr>
      <w:rPr>
        <w:rFonts w:hint="default" w:ascii="Arial" w:hAnsi="Arial" w:eastAsia="Arial" w:cs="Arial"/>
        <w:w w:val="99"/>
        <w:sz w:val="24"/>
        <w:szCs w:val="24"/>
      </w:rPr>
    </w:lvl>
    <w:lvl w:ilvl="2">
      <w:start w:val="1"/>
      <w:numFmt w:val="bullet"/>
      <w:lvlText w:val="•"/>
      <w:lvlJc w:val="left"/>
      <w:pPr>
        <w:ind w:left="1911" w:hanging="200"/>
      </w:pPr>
      <w:rPr>
        <w:rFonts w:hint="default"/>
      </w:rPr>
    </w:lvl>
    <w:lvl w:ilvl="3">
      <w:start w:val="1"/>
      <w:numFmt w:val="bullet"/>
      <w:lvlText w:val="•"/>
      <w:lvlJc w:val="left"/>
      <w:pPr>
        <w:ind w:left="2802" w:hanging="200"/>
      </w:pPr>
      <w:rPr>
        <w:rFonts w:hint="default"/>
      </w:rPr>
    </w:lvl>
    <w:lvl w:ilvl="4">
      <w:start w:val="1"/>
      <w:numFmt w:val="bullet"/>
      <w:lvlText w:val="•"/>
      <w:lvlJc w:val="left"/>
      <w:pPr>
        <w:ind w:left="3693" w:hanging="200"/>
      </w:pPr>
      <w:rPr>
        <w:rFonts w:hint="default"/>
      </w:rPr>
    </w:lvl>
    <w:lvl w:ilvl="5">
      <w:start w:val="1"/>
      <w:numFmt w:val="bullet"/>
      <w:lvlText w:val="•"/>
      <w:lvlJc w:val="left"/>
      <w:pPr>
        <w:ind w:left="4584" w:hanging="200"/>
      </w:pPr>
      <w:rPr>
        <w:rFonts w:hint="default"/>
      </w:rPr>
    </w:lvl>
    <w:lvl w:ilvl="6">
      <w:start w:val="1"/>
      <w:numFmt w:val="bullet"/>
      <w:lvlText w:val="•"/>
      <w:lvlJc w:val="left"/>
      <w:pPr>
        <w:ind w:left="5475" w:hanging="200"/>
      </w:pPr>
      <w:rPr>
        <w:rFonts w:hint="default"/>
      </w:rPr>
    </w:lvl>
    <w:lvl w:ilvl="7">
      <w:start w:val="1"/>
      <w:numFmt w:val="bullet"/>
      <w:lvlText w:val="•"/>
      <w:lvlJc w:val="left"/>
      <w:pPr>
        <w:ind w:left="6366" w:hanging="200"/>
      </w:pPr>
      <w:rPr>
        <w:rFonts w:hint="default"/>
      </w:rPr>
    </w:lvl>
    <w:lvl w:ilvl="8">
      <w:start w:val="1"/>
      <w:numFmt w:val="bullet"/>
      <w:lvlText w:val="•"/>
      <w:lvlJc w:val="left"/>
      <w:pPr>
        <w:ind w:left="7257" w:hanging="200"/>
      </w:pPr>
      <w:rPr>
        <w:rFonts w:hint="default"/>
      </w:rPr>
    </w:lvl>
  </w:abstractNum>
  <w:abstractNum w:abstractNumId="56">
    <w:multiLevelType w:val="hybridMultilevel"/>
    <w:lvl w:ilvl="0">
      <w:start w:val="5"/>
      <w:numFmt w:val="decimal"/>
      <w:lvlText w:val="%1"/>
      <w:lvlJc w:val="left"/>
      <w:pPr>
        <w:ind w:left="676" w:hanging="576"/>
        <w:jc w:val="left"/>
      </w:pPr>
      <w:rPr>
        <w:rFonts w:hint="default"/>
      </w:rPr>
    </w:lvl>
    <w:lvl w:ilvl="1">
      <w:start w:val="3"/>
      <w:numFmt w:val="decimal"/>
      <w:lvlText w:val="%1.%2."/>
      <w:lvlJc w:val="left"/>
      <w:pPr>
        <w:ind w:left="676" w:hanging="576"/>
        <w:jc w:val="left"/>
      </w:pPr>
      <w:rPr>
        <w:rFonts w:hint="default" w:ascii="Arial" w:hAnsi="Arial" w:eastAsia="Arial" w:cs="Arial"/>
        <w:spacing w:val="-2"/>
        <w:w w:val="100"/>
        <w:sz w:val="28"/>
        <w:szCs w:val="28"/>
      </w:rPr>
    </w:lvl>
    <w:lvl w:ilvl="2">
      <w:start w:val="1"/>
      <w:numFmt w:val="bullet"/>
      <w:lvlText w:val=""/>
      <w:lvlJc w:val="left"/>
      <w:pPr>
        <w:ind w:left="244" w:hanging="577"/>
      </w:pPr>
      <w:rPr>
        <w:rFonts w:hint="default" w:ascii="Wingdings" w:hAnsi="Wingdings" w:eastAsia="Wingdings" w:cs="Wingdings"/>
        <w:w w:val="100"/>
        <w:sz w:val="24"/>
        <w:szCs w:val="24"/>
      </w:rPr>
    </w:lvl>
    <w:lvl w:ilvl="3">
      <w:start w:val="1"/>
      <w:numFmt w:val="bullet"/>
      <w:lvlText w:val="•"/>
      <w:lvlJc w:val="left"/>
      <w:pPr>
        <w:ind w:left="2542" w:hanging="577"/>
      </w:pPr>
      <w:rPr>
        <w:rFonts w:hint="default"/>
      </w:rPr>
    </w:lvl>
    <w:lvl w:ilvl="4">
      <w:start w:val="1"/>
      <w:numFmt w:val="bullet"/>
      <w:lvlText w:val="•"/>
      <w:lvlJc w:val="left"/>
      <w:pPr>
        <w:ind w:left="3473" w:hanging="577"/>
      </w:pPr>
      <w:rPr>
        <w:rFonts w:hint="default"/>
      </w:rPr>
    </w:lvl>
    <w:lvl w:ilvl="5">
      <w:start w:val="1"/>
      <w:numFmt w:val="bullet"/>
      <w:lvlText w:val="•"/>
      <w:lvlJc w:val="left"/>
      <w:pPr>
        <w:ind w:left="4404" w:hanging="577"/>
      </w:pPr>
      <w:rPr>
        <w:rFonts w:hint="default"/>
      </w:rPr>
    </w:lvl>
    <w:lvl w:ilvl="6">
      <w:start w:val="1"/>
      <w:numFmt w:val="bullet"/>
      <w:lvlText w:val="•"/>
      <w:lvlJc w:val="left"/>
      <w:pPr>
        <w:ind w:left="5335" w:hanging="577"/>
      </w:pPr>
      <w:rPr>
        <w:rFonts w:hint="default"/>
      </w:rPr>
    </w:lvl>
    <w:lvl w:ilvl="7">
      <w:start w:val="1"/>
      <w:numFmt w:val="bullet"/>
      <w:lvlText w:val="•"/>
      <w:lvlJc w:val="left"/>
      <w:pPr>
        <w:ind w:left="6266" w:hanging="577"/>
      </w:pPr>
      <w:rPr>
        <w:rFonts w:hint="default"/>
      </w:rPr>
    </w:lvl>
    <w:lvl w:ilvl="8">
      <w:start w:val="1"/>
      <w:numFmt w:val="bullet"/>
      <w:lvlText w:val="•"/>
      <w:lvlJc w:val="left"/>
      <w:pPr>
        <w:ind w:left="7197" w:hanging="577"/>
      </w:pPr>
      <w:rPr>
        <w:rFonts w:hint="default"/>
      </w:rPr>
    </w:lvl>
  </w:abstractNum>
  <w:abstractNum w:abstractNumId="55">
    <w:multiLevelType w:val="hybridMultilevel"/>
    <w:lvl w:ilvl="0">
      <w:start w:val="5"/>
      <w:numFmt w:val="decimal"/>
      <w:lvlText w:val="%1"/>
      <w:lvlJc w:val="left"/>
      <w:pPr>
        <w:ind w:left="676" w:hanging="576"/>
        <w:jc w:val="left"/>
      </w:pPr>
      <w:rPr>
        <w:rFonts w:hint="default"/>
      </w:rPr>
    </w:lvl>
    <w:lvl w:ilvl="1">
      <w:start w:val="1"/>
      <w:numFmt w:val="decimal"/>
      <w:lvlText w:val="%1.%2."/>
      <w:lvlJc w:val="left"/>
      <w:pPr>
        <w:ind w:left="676" w:hanging="576"/>
        <w:jc w:val="left"/>
      </w:pPr>
      <w:rPr>
        <w:rFonts w:hint="default" w:ascii="Arial" w:hAnsi="Arial" w:eastAsia="Arial" w:cs="Arial"/>
        <w:spacing w:val="-2"/>
        <w:w w:val="100"/>
        <w:sz w:val="28"/>
        <w:szCs w:val="28"/>
      </w:rPr>
    </w:lvl>
    <w:lvl w:ilvl="2">
      <w:start w:val="1"/>
      <w:numFmt w:val="decimal"/>
      <w:lvlText w:val="%1.%2.%3."/>
      <w:lvlJc w:val="left"/>
      <w:pPr>
        <w:ind w:left="897" w:hanging="797"/>
        <w:jc w:val="left"/>
      </w:pPr>
      <w:rPr>
        <w:rFonts w:hint="default" w:ascii="Arial" w:hAnsi="Arial" w:eastAsia="Arial" w:cs="Arial"/>
        <w:spacing w:val="-2"/>
        <w:w w:val="100"/>
        <w:sz w:val="28"/>
        <w:szCs w:val="28"/>
      </w:rPr>
    </w:lvl>
    <w:lvl w:ilvl="3">
      <w:start w:val="1"/>
      <w:numFmt w:val="bullet"/>
      <w:lvlText w:val="•"/>
      <w:lvlJc w:val="left"/>
      <w:pPr>
        <w:ind w:left="2713" w:hanging="797"/>
      </w:pPr>
      <w:rPr>
        <w:rFonts w:hint="default"/>
      </w:rPr>
    </w:lvl>
    <w:lvl w:ilvl="4">
      <w:start w:val="1"/>
      <w:numFmt w:val="bullet"/>
      <w:lvlText w:val="•"/>
      <w:lvlJc w:val="left"/>
      <w:pPr>
        <w:ind w:left="3620" w:hanging="797"/>
      </w:pPr>
      <w:rPr>
        <w:rFonts w:hint="default"/>
      </w:rPr>
    </w:lvl>
    <w:lvl w:ilvl="5">
      <w:start w:val="1"/>
      <w:numFmt w:val="bullet"/>
      <w:lvlText w:val="•"/>
      <w:lvlJc w:val="left"/>
      <w:pPr>
        <w:ind w:left="4526" w:hanging="797"/>
      </w:pPr>
      <w:rPr>
        <w:rFonts w:hint="default"/>
      </w:rPr>
    </w:lvl>
    <w:lvl w:ilvl="6">
      <w:start w:val="1"/>
      <w:numFmt w:val="bullet"/>
      <w:lvlText w:val="•"/>
      <w:lvlJc w:val="left"/>
      <w:pPr>
        <w:ind w:left="5433" w:hanging="797"/>
      </w:pPr>
      <w:rPr>
        <w:rFonts w:hint="default"/>
      </w:rPr>
    </w:lvl>
    <w:lvl w:ilvl="7">
      <w:start w:val="1"/>
      <w:numFmt w:val="bullet"/>
      <w:lvlText w:val="•"/>
      <w:lvlJc w:val="left"/>
      <w:pPr>
        <w:ind w:left="6340" w:hanging="797"/>
      </w:pPr>
      <w:rPr>
        <w:rFonts w:hint="default"/>
      </w:rPr>
    </w:lvl>
    <w:lvl w:ilvl="8">
      <w:start w:val="1"/>
      <w:numFmt w:val="bullet"/>
      <w:lvlText w:val="•"/>
      <w:lvlJc w:val="left"/>
      <w:pPr>
        <w:ind w:left="7246" w:hanging="797"/>
      </w:pPr>
      <w:rPr>
        <w:rFonts w:hint="default"/>
      </w:rPr>
    </w:lvl>
  </w:abstractNum>
  <w:abstractNum w:abstractNumId="54">
    <w:multiLevelType w:val="hybridMultilevel"/>
    <w:lvl w:ilvl="0">
      <w:start w:val="4"/>
      <w:numFmt w:val="decimal"/>
      <w:lvlText w:val="%1"/>
      <w:lvlJc w:val="left"/>
      <w:pPr>
        <w:ind w:left="676" w:hanging="576"/>
        <w:jc w:val="left"/>
      </w:pPr>
      <w:rPr>
        <w:rFonts w:hint="default"/>
      </w:rPr>
    </w:lvl>
    <w:lvl w:ilvl="1">
      <w:start w:val="4"/>
      <w:numFmt w:val="decimal"/>
      <w:lvlText w:val="%1.%2."/>
      <w:lvlJc w:val="left"/>
      <w:pPr>
        <w:ind w:left="676" w:hanging="576"/>
        <w:jc w:val="left"/>
      </w:pPr>
      <w:rPr>
        <w:rFonts w:hint="default" w:ascii="Arial" w:hAnsi="Arial" w:eastAsia="Arial" w:cs="Arial"/>
        <w:spacing w:val="-2"/>
        <w:w w:val="100"/>
        <w:sz w:val="28"/>
        <w:szCs w:val="28"/>
      </w:rPr>
    </w:lvl>
    <w:lvl w:ilvl="2">
      <w:start w:val="1"/>
      <w:numFmt w:val="bullet"/>
      <w:lvlText w:val=""/>
      <w:lvlJc w:val="left"/>
      <w:pPr>
        <w:ind w:left="821" w:hanging="361"/>
      </w:pPr>
      <w:rPr>
        <w:rFonts w:hint="default" w:ascii="Wingdings" w:hAnsi="Wingdings" w:eastAsia="Wingdings" w:cs="Wingdings"/>
        <w:w w:val="100"/>
        <w:sz w:val="24"/>
        <w:szCs w:val="24"/>
      </w:rPr>
    </w:lvl>
    <w:lvl w:ilvl="3">
      <w:start w:val="1"/>
      <w:numFmt w:val="bullet"/>
      <w:lvlText w:val="•"/>
      <w:lvlJc w:val="left"/>
      <w:pPr>
        <w:ind w:left="2646" w:hanging="361"/>
      </w:pPr>
      <w:rPr>
        <w:rFonts w:hint="default"/>
      </w:rPr>
    </w:lvl>
    <w:lvl w:ilvl="4">
      <w:start w:val="1"/>
      <w:numFmt w:val="bullet"/>
      <w:lvlText w:val="•"/>
      <w:lvlJc w:val="left"/>
      <w:pPr>
        <w:ind w:left="3560" w:hanging="361"/>
      </w:pPr>
      <w:rPr>
        <w:rFonts w:hint="default"/>
      </w:rPr>
    </w:lvl>
    <w:lvl w:ilvl="5">
      <w:start w:val="1"/>
      <w:numFmt w:val="bullet"/>
      <w:lvlText w:val="•"/>
      <w:lvlJc w:val="left"/>
      <w:pPr>
        <w:ind w:left="4473" w:hanging="361"/>
      </w:pPr>
      <w:rPr>
        <w:rFonts w:hint="default"/>
      </w:rPr>
    </w:lvl>
    <w:lvl w:ilvl="6">
      <w:start w:val="1"/>
      <w:numFmt w:val="bullet"/>
      <w:lvlText w:val="•"/>
      <w:lvlJc w:val="left"/>
      <w:pPr>
        <w:ind w:left="5386" w:hanging="361"/>
      </w:pPr>
      <w:rPr>
        <w:rFonts w:hint="default"/>
      </w:rPr>
    </w:lvl>
    <w:lvl w:ilvl="7">
      <w:start w:val="1"/>
      <w:numFmt w:val="bullet"/>
      <w:lvlText w:val="•"/>
      <w:lvlJc w:val="left"/>
      <w:pPr>
        <w:ind w:left="6300" w:hanging="361"/>
      </w:pPr>
      <w:rPr>
        <w:rFonts w:hint="default"/>
      </w:rPr>
    </w:lvl>
    <w:lvl w:ilvl="8">
      <w:start w:val="1"/>
      <w:numFmt w:val="bullet"/>
      <w:lvlText w:val="•"/>
      <w:lvlJc w:val="left"/>
      <w:pPr>
        <w:ind w:left="7213" w:hanging="361"/>
      </w:pPr>
      <w:rPr>
        <w:rFonts w:hint="default"/>
      </w:rPr>
    </w:lvl>
  </w:abstractNum>
  <w:abstractNum w:abstractNumId="53">
    <w:multiLevelType w:val="hybridMultilevel"/>
    <w:lvl w:ilvl="0">
      <w:start w:val="4"/>
      <w:numFmt w:val="decimal"/>
      <w:lvlText w:val="%1"/>
      <w:lvlJc w:val="left"/>
      <w:pPr>
        <w:ind w:left="821" w:hanging="721"/>
        <w:jc w:val="left"/>
      </w:pPr>
      <w:rPr>
        <w:rFonts w:hint="default"/>
      </w:rPr>
    </w:lvl>
    <w:lvl w:ilvl="1">
      <w:start w:val="3"/>
      <w:numFmt w:val="decimal"/>
      <w:lvlText w:val="%1.%2"/>
      <w:lvlJc w:val="left"/>
      <w:pPr>
        <w:ind w:left="821" w:hanging="721"/>
        <w:jc w:val="left"/>
      </w:pPr>
      <w:rPr>
        <w:rFonts w:hint="default"/>
      </w:rPr>
    </w:lvl>
    <w:lvl w:ilvl="2">
      <w:start w:val="1"/>
      <w:numFmt w:val="decimal"/>
      <w:lvlText w:val="%1.%2.%3."/>
      <w:lvlJc w:val="left"/>
      <w:pPr>
        <w:ind w:left="821" w:hanging="721"/>
        <w:jc w:val="right"/>
      </w:pPr>
      <w:rPr>
        <w:rFonts w:hint="default" w:ascii="Arial" w:hAnsi="Arial" w:eastAsia="Arial" w:cs="Arial"/>
        <w:spacing w:val="-2"/>
        <w:w w:val="100"/>
        <w:sz w:val="28"/>
        <w:szCs w:val="28"/>
      </w:rPr>
    </w:lvl>
    <w:lvl w:ilvl="3">
      <w:start w:val="1"/>
      <w:numFmt w:val="bullet"/>
      <w:lvlText w:val="•"/>
      <w:lvlJc w:val="left"/>
      <w:pPr>
        <w:ind w:left="3286" w:hanging="721"/>
      </w:pPr>
      <w:rPr>
        <w:rFonts w:hint="default"/>
      </w:rPr>
    </w:lvl>
    <w:lvl w:ilvl="4">
      <w:start w:val="1"/>
      <w:numFmt w:val="bullet"/>
      <w:lvlText w:val="•"/>
      <w:lvlJc w:val="left"/>
      <w:pPr>
        <w:ind w:left="4108" w:hanging="721"/>
      </w:pPr>
      <w:rPr>
        <w:rFonts w:hint="default"/>
      </w:rPr>
    </w:lvl>
    <w:lvl w:ilvl="5">
      <w:start w:val="1"/>
      <w:numFmt w:val="bullet"/>
      <w:lvlText w:val="•"/>
      <w:lvlJc w:val="left"/>
      <w:pPr>
        <w:ind w:left="4930" w:hanging="721"/>
      </w:pPr>
      <w:rPr>
        <w:rFonts w:hint="default"/>
      </w:rPr>
    </w:lvl>
    <w:lvl w:ilvl="6">
      <w:start w:val="1"/>
      <w:numFmt w:val="bullet"/>
      <w:lvlText w:val="•"/>
      <w:lvlJc w:val="left"/>
      <w:pPr>
        <w:ind w:left="5752" w:hanging="721"/>
      </w:pPr>
      <w:rPr>
        <w:rFonts w:hint="default"/>
      </w:rPr>
    </w:lvl>
    <w:lvl w:ilvl="7">
      <w:start w:val="1"/>
      <w:numFmt w:val="bullet"/>
      <w:lvlText w:val="•"/>
      <w:lvlJc w:val="left"/>
      <w:pPr>
        <w:ind w:left="6574" w:hanging="721"/>
      </w:pPr>
      <w:rPr>
        <w:rFonts w:hint="default"/>
      </w:rPr>
    </w:lvl>
    <w:lvl w:ilvl="8">
      <w:start w:val="1"/>
      <w:numFmt w:val="bullet"/>
      <w:lvlText w:val="•"/>
      <w:lvlJc w:val="left"/>
      <w:pPr>
        <w:ind w:left="7396" w:hanging="721"/>
      </w:pPr>
      <w:rPr>
        <w:rFonts w:hint="default"/>
      </w:rPr>
    </w:lvl>
  </w:abstractNum>
  <w:abstractNum w:abstractNumId="52">
    <w:multiLevelType w:val="hybridMultilevel"/>
    <w:lvl w:ilvl="0">
      <w:start w:val="4"/>
      <w:numFmt w:val="decimal"/>
      <w:lvlText w:val="%1"/>
      <w:lvlJc w:val="left"/>
      <w:pPr>
        <w:ind w:left="676" w:hanging="576"/>
        <w:jc w:val="left"/>
      </w:pPr>
      <w:rPr>
        <w:rFonts w:hint="default"/>
      </w:rPr>
    </w:lvl>
    <w:lvl w:ilvl="1">
      <w:start w:val="1"/>
      <w:numFmt w:val="decimal"/>
      <w:lvlText w:val="%1.%2."/>
      <w:lvlJc w:val="left"/>
      <w:pPr>
        <w:ind w:left="676" w:hanging="576"/>
        <w:jc w:val="left"/>
      </w:pPr>
      <w:rPr>
        <w:rFonts w:hint="default" w:ascii="Arial" w:hAnsi="Arial" w:eastAsia="Arial" w:cs="Arial"/>
        <w:spacing w:val="-2"/>
        <w:w w:val="100"/>
        <w:sz w:val="28"/>
        <w:szCs w:val="28"/>
      </w:rPr>
    </w:lvl>
    <w:lvl w:ilvl="2">
      <w:start w:val="1"/>
      <w:numFmt w:val="bullet"/>
      <w:lvlText w:val=""/>
      <w:lvlJc w:val="left"/>
      <w:pPr>
        <w:ind w:left="821" w:hanging="361"/>
      </w:pPr>
      <w:rPr>
        <w:rFonts w:hint="default" w:ascii="Symbol" w:hAnsi="Symbol" w:eastAsia="Symbol" w:cs="Symbol"/>
        <w:w w:val="100"/>
        <w:sz w:val="24"/>
        <w:szCs w:val="24"/>
      </w:rPr>
    </w:lvl>
    <w:lvl w:ilvl="3">
      <w:start w:val="1"/>
      <w:numFmt w:val="bullet"/>
      <w:lvlText w:val="•"/>
      <w:lvlJc w:val="left"/>
      <w:pPr>
        <w:ind w:left="2646" w:hanging="361"/>
      </w:pPr>
      <w:rPr>
        <w:rFonts w:hint="default"/>
      </w:rPr>
    </w:lvl>
    <w:lvl w:ilvl="4">
      <w:start w:val="1"/>
      <w:numFmt w:val="bullet"/>
      <w:lvlText w:val="•"/>
      <w:lvlJc w:val="left"/>
      <w:pPr>
        <w:ind w:left="3560" w:hanging="361"/>
      </w:pPr>
      <w:rPr>
        <w:rFonts w:hint="default"/>
      </w:rPr>
    </w:lvl>
    <w:lvl w:ilvl="5">
      <w:start w:val="1"/>
      <w:numFmt w:val="bullet"/>
      <w:lvlText w:val="•"/>
      <w:lvlJc w:val="left"/>
      <w:pPr>
        <w:ind w:left="4473" w:hanging="361"/>
      </w:pPr>
      <w:rPr>
        <w:rFonts w:hint="default"/>
      </w:rPr>
    </w:lvl>
    <w:lvl w:ilvl="6">
      <w:start w:val="1"/>
      <w:numFmt w:val="bullet"/>
      <w:lvlText w:val="•"/>
      <w:lvlJc w:val="left"/>
      <w:pPr>
        <w:ind w:left="5386" w:hanging="361"/>
      </w:pPr>
      <w:rPr>
        <w:rFonts w:hint="default"/>
      </w:rPr>
    </w:lvl>
    <w:lvl w:ilvl="7">
      <w:start w:val="1"/>
      <w:numFmt w:val="bullet"/>
      <w:lvlText w:val="•"/>
      <w:lvlJc w:val="left"/>
      <w:pPr>
        <w:ind w:left="6300" w:hanging="361"/>
      </w:pPr>
      <w:rPr>
        <w:rFonts w:hint="default"/>
      </w:rPr>
    </w:lvl>
    <w:lvl w:ilvl="8">
      <w:start w:val="1"/>
      <w:numFmt w:val="bullet"/>
      <w:lvlText w:val="•"/>
      <w:lvlJc w:val="left"/>
      <w:pPr>
        <w:ind w:left="7213" w:hanging="361"/>
      </w:pPr>
      <w:rPr>
        <w:rFonts w:hint="default"/>
      </w:rPr>
    </w:lvl>
  </w:abstractNum>
  <w:abstractNum w:abstractNumId="51">
    <w:multiLevelType w:val="hybridMultilevel"/>
    <w:lvl w:ilvl="0">
      <w:start w:val="1"/>
      <w:numFmt w:val="decimal"/>
      <w:lvlText w:val="%1."/>
      <w:lvlJc w:val="left"/>
      <w:pPr>
        <w:ind w:left="821" w:hanging="361"/>
        <w:jc w:val="left"/>
      </w:pPr>
      <w:rPr>
        <w:rFonts w:hint="default" w:ascii="Arial" w:hAnsi="Arial" w:eastAsia="Arial" w:cs="Arial"/>
        <w:spacing w:val="-2"/>
        <w:w w:val="99"/>
        <w:sz w:val="24"/>
        <w:szCs w:val="24"/>
      </w:rPr>
    </w:lvl>
    <w:lvl w:ilvl="1">
      <w:start w:val="4"/>
      <w:numFmt w:val="decimal"/>
      <w:lvlText w:val="%2."/>
      <w:lvlJc w:val="left"/>
      <w:pPr>
        <w:ind w:left="781" w:hanging="433"/>
        <w:jc w:val="right"/>
      </w:pPr>
      <w:rPr>
        <w:rFonts w:hint="default" w:ascii="Arial" w:hAnsi="Arial" w:eastAsia="Arial" w:cs="Arial"/>
        <w:spacing w:val="-35"/>
        <w:w w:val="99"/>
        <w:sz w:val="28"/>
        <w:szCs w:val="28"/>
      </w:rPr>
    </w:lvl>
    <w:lvl w:ilvl="2">
      <w:start w:val="1"/>
      <w:numFmt w:val="bullet"/>
      <w:lvlText w:val="•"/>
      <w:lvlJc w:val="left"/>
      <w:pPr>
        <w:ind w:left="1720" w:hanging="433"/>
      </w:pPr>
      <w:rPr>
        <w:rFonts w:hint="default"/>
      </w:rPr>
    </w:lvl>
    <w:lvl w:ilvl="3">
      <w:start w:val="1"/>
      <w:numFmt w:val="bullet"/>
      <w:lvlText w:val="•"/>
      <w:lvlJc w:val="left"/>
      <w:pPr>
        <w:ind w:left="2620" w:hanging="433"/>
      </w:pPr>
      <w:rPr>
        <w:rFonts w:hint="default"/>
      </w:rPr>
    </w:lvl>
    <w:lvl w:ilvl="4">
      <w:start w:val="1"/>
      <w:numFmt w:val="bullet"/>
      <w:lvlText w:val="•"/>
      <w:lvlJc w:val="left"/>
      <w:pPr>
        <w:ind w:left="3520" w:hanging="433"/>
      </w:pPr>
      <w:rPr>
        <w:rFonts w:hint="default"/>
      </w:rPr>
    </w:lvl>
    <w:lvl w:ilvl="5">
      <w:start w:val="1"/>
      <w:numFmt w:val="bullet"/>
      <w:lvlText w:val="•"/>
      <w:lvlJc w:val="left"/>
      <w:pPr>
        <w:ind w:left="4420" w:hanging="433"/>
      </w:pPr>
      <w:rPr>
        <w:rFonts w:hint="default"/>
      </w:rPr>
    </w:lvl>
    <w:lvl w:ilvl="6">
      <w:start w:val="1"/>
      <w:numFmt w:val="bullet"/>
      <w:lvlText w:val="•"/>
      <w:lvlJc w:val="left"/>
      <w:pPr>
        <w:ind w:left="5320" w:hanging="433"/>
      </w:pPr>
      <w:rPr>
        <w:rFonts w:hint="default"/>
      </w:rPr>
    </w:lvl>
    <w:lvl w:ilvl="7">
      <w:start w:val="1"/>
      <w:numFmt w:val="bullet"/>
      <w:lvlText w:val="•"/>
      <w:lvlJc w:val="left"/>
      <w:pPr>
        <w:ind w:left="6220" w:hanging="433"/>
      </w:pPr>
      <w:rPr>
        <w:rFonts w:hint="default"/>
      </w:rPr>
    </w:lvl>
    <w:lvl w:ilvl="8">
      <w:start w:val="1"/>
      <w:numFmt w:val="bullet"/>
      <w:lvlText w:val="•"/>
      <w:lvlJc w:val="left"/>
      <w:pPr>
        <w:ind w:left="7120" w:hanging="433"/>
      </w:pPr>
      <w:rPr>
        <w:rFonts w:hint="default"/>
      </w:rPr>
    </w:lvl>
  </w:abstractNum>
  <w:abstractNum w:abstractNumId="50">
    <w:multiLevelType w:val="hybridMultilevel"/>
    <w:lvl w:ilvl="0">
      <w:start w:val="1"/>
      <w:numFmt w:val="decimal"/>
      <w:lvlText w:val="%1."/>
      <w:lvlJc w:val="left"/>
      <w:pPr>
        <w:ind w:left="821" w:hanging="361"/>
        <w:jc w:val="left"/>
      </w:pPr>
      <w:rPr>
        <w:rFonts w:hint="default" w:ascii="Arial" w:hAnsi="Arial" w:eastAsia="Arial" w:cs="Arial"/>
        <w:spacing w:val="-26"/>
        <w:w w:val="99"/>
        <w:sz w:val="24"/>
        <w:szCs w:val="24"/>
      </w:rPr>
    </w:lvl>
    <w:lvl w:ilvl="1">
      <w:start w:val="1"/>
      <w:numFmt w:val="bullet"/>
      <w:lvlText w:val="•"/>
      <w:lvlJc w:val="left"/>
      <w:pPr>
        <w:ind w:left="1642" w:hanging="361"/>
      </w:pPr>
      <w:rPr>
        <w:rFonts w:hint="default"/>
      </w:rPr>
    </w:lvl>
    <w:lvl w:ilvl="2">
      <w:start w:val="1"/>
      <w:numFmt w:val="bullet"/>
      <w:lvlText w:val="•"/>
      <w:lvlJc w:val="left"/>
      <w:pPr>
        <w:ind w:left="2464" w:hanging="361"/>
      </w:pPr>
      <w:rPr>
        <w:rFonts w:hint="default"/>
      </w:rPr>
    </w:lvl>
    <w:lvl w:ilvl="3">
      <w:start w:val="1"/>
      <w:numFmt w:val="bullet"/>
      <w:lvlText w:val="•"/>
      <w:lvlJc w:val="left"/>
      <w:pPr>
        <w:ind w:left="3286" w:hanging="361"/>
      </w:pPr>
      <w:rPr>
        <w:rFonts w:hint="default"/>
      </w:rPr>
    </w:lvl>
    <w:lvl w:ilvl="4">
      <w:start w:val="1"/>
      <w:numFmt w:val="bullet"/>
      <w:lvlText w:val="•"/>
      <w:lvlJc w:val="left"/>
      <w:pPr>
        <w:ind w:left="4108" w:hanging="361"/>
      </w:pPr>
      <w:rPr>
        <w:rFonts w:hint="default"/>
      </w:rPr>
    </w:lvl>
    <w:lvl w:ilvl="5">
      <w:start w:val="1"/>
      <w:numFmt w:val="bullet"/>
      <w:lvlText w:val="•"/>
      <w:lvlJc w:val="left"/>
      <w:pPr>
        <w:ind w:left="4930" w:hanging="361"/>
      </w:pPr>
      <w:rPr>
        <w:rFonts w:hint="default"/>
      </w:rPr>
    </w:lvl>
    <w:lvl w:ilvl="6">
      <w:start w:val="1"/>
      <w:numFmt w:val="bullet"/>
      <w:lvlText w:val="•"/>
      <w:lvlJc w:val="left"/>
      <w:pPr>
        <w:ind w:left="5752" w:hanging="361"/>
      </w:pPr>
      <w:rPr>
        <w:rFonts w:hint="default"/>
      </w:rPr>
    </w:lvl>
    <w:lvl w:ilvl="7">
      <w:start w:val="1"/>
      <w:numFmt w:val="bullet"/>
      <w:lvlText w:val="•"/>
      <w:lvlJc w:val="left"/>
      <w:pPr>
        <w:ind w:left="6574" w:hanging="361"/>
      </w:pPr>
      <w:rPr>
        <w:rFonts w:hint="default"/>
      </w:rPr>
    </w:lvl>
    <w:lvl w:ilvl="8">
      <w:start w:val="1"/>
      <w:numFmt w:val="bullet"/>
      <w:lvlText w:val="•"/>
      <w:lvlJc w:val="left"/>
      <w:pPr>
        <w:ind w:left="7396" w:hanging="361"/>
      </w:pPr>
      <w:rPr>
        <w:rFonts w:hint="default"/>
      </w:rPr>
    </w:lvl>
  </w:abstractNum>
  <w:abstractNum w:abstractNumId="49">
    <w:multiLevelType w:val="hybridMultilevel"/>
    <w:lvl w:ilvl="0">
      <w:start w:val="1"/>
      <w:numFmt w:val="bullet"/>
      <w:lvlText w:val=""/>
      <w:lvlJc w:val="left"/>
      <w:pPr>
        <w:ind w:left="701" w:hanging="361"/>
      </w:pPr>
      <w:rPr>
        <w:rFonts w:hint="default" w:ascii="Wingdings" w:hAnsi="Wingdings" w:eastAsia="Wingdings" w:cs="Wingdings"/>
        <w:w w:val="99"/>
        <w:sz w:val="24"/>
        <w:szCs w:val="24"/>
      </w:rPr>
    </w:lvl>
    <w:lvl w:ilvl="1">
      <w:start w:val="1"/>
      <w:numFmt w:val="bullet"/>
      <w:lvlText w:val="-"/>
      <w:lvlJc w:val="left"/>
      <w:pPr>
        <w:ind w:left="821" w:hanging="361"/>
      </w:pPr>
      <w:rPr>
        <w:rFonts w:hint="default" w:ascii="Arial" w:hAnsi="Arial" w:eastAsia="Arial" w:cs="Arial"/>
        <w:spacing w:val="-4"/>
        <w:w w:val="99"/>
        <w:sz w:val="24"/>
        <w:szCs w:val="24"/>
      </w:rPr>
    </w:lvl>
    <w:lvl w:ilvl="2">
      <w:start w:val="1"/>
      <w:numFmt w:val="bullet"/>
      <w:lvlText w:val="•"/>
      <w:lvlJc w:val="left"/>
      <w:pPr>
        <w:ind w:left="1720" w:hanging="361"/>
      </w:pPr>
      <w:rPr>
        <w:rFonts w:hint="default"/>
      </w:rPr>
    </w:lvl>
    <w:lvl w:ilvl="3">
      <w:start w:val="1"/>
      <w:numFmt w:val="bullet"/>
      <w:lvlText w:val="•"/>
      <w:lvlJc w:val="left"/>
      <w:pPr>
        <w:ind w:left="2620" w:hanging="361"/>
      </w:pPr>
      <w:rPr>
        <w:rFonts w:hint="default"/>
      </w:rPr>
    </w:lvl>
    <w:lvl w:ilvl="4">
      <w:start w:val="1"/>
      <w:numFmt w:val="bullet"/>
      <w:lvlText w:val="•"/>
      <w:lvlJc w:val="left"/>
      <w:pPr>
        <w:ind w:left="3520" w:hanging="361"/>
      </w:pPr>
      <w:rPr>
        <w:rFonts w:hint="default"/>
      </w:rPr>
    </w:lvl>
    <w:lvl w:ilvl="5">
      <w:start w:val="1"/>
      <w:numFmt w:val="bullet"/>
      <w:lvlText w:val="•"/>
      <w:lvlJc w:val="left"/>
      <w:pPr>
        <w:ind w:left="4420" w:hanging="361"/>
      </w:pPr>
      <w:rPr>
        <w:rFonts w:hint="default"/>
      </w:rPr>
    </w:lvl>
    <w:lvl w:ilvl="6">
      <w:start w:val="1"/>
      <w:numFmt w:val="bullet"/>
      <w:lvlText w:val="•"/>
      <w:lvlJc w:val="left"/>
      <w:pPr>
        <w:ind w:left="5320" w:hanging="361"/>
      </w:pPr>
      <w:rPr>
        <w:rFonts w:hint="default"/>
      </w:rPr>
    </w:lvl>
    <w:lvl w:ilvl="7">
      <w:start w:val="1"/>
      <w:numFmt w:val="bullet"/>
      <w:lvlText w:val="•"/>
      <w:lvlJc w:val="left"/>
      <w:pPr>
        <w:ind w:left="6220" w:hanging="361"/>
      </w:pPr>
      <w:rPr>
        <w:rFonts w:hint="default"/>
      </w:rPr>
    </w:lvl>
    <w:lvl w:ilvl="8">
      <w:start w:val="1"/>
      <w:numFmt w:val="bullet"/>
      <w:lvlText w:val="•"/>
      <w:lvlJc w:val="left"/>
      <w:pPr>
        <w:ind w:left="7120" w:hanging="361"/>
      </w:pPr>
      <w:rPr>
        <w:rFonts w:hint="default"/>
      </w:rPr>
    </w:lvl>
  </w:abstractNum>
  <w:abstractNum w:abstractNumId="48">
    <w:multiLevelType w:val="hybridMultilevel"/>
    <w:lvl w:ilvl="0">
      <w:start w:val="1"/>
      <w:numFmt w:val="bullet"/>
      <w:lvlText w:val=""/>
      <w:lvlJc w:val="left"/>
      <w:pPr>
        <w:ind w:left="821" w:hanging="361"/>
      </w:pPr>
      <w:rPr>
        <w:rFonts w:hint="default" w:ascii="Wingdings" w:hAnsi="Wingdings" w:eastAsia="Wingdings" w:cs="Wingdings"/>
        <w:w w:val="99"/>
        <w:sz w:val="24"/>
        <w:szCs w:val="24"/>
      </w:rPr>
    </w:lvl>
    <w:lvl w:ilvl="1">
      <w:start w:val="1"/>
      <w:numFmt w:val="bullet"/>
      <w:lvlText w:val="•"/>
      <w:lvlJc w:val="left"/>
      <w:pPr>
        <w:ind w:left="1642" w:hanging="361"/>
      </w:pPr>
      <w:rPr>
        <w:rFonts w:hint="default"/>
      </w:rPr>
    </w:lvl>
    <w:lvl w:ilvl="2">
      <w:start w:val="1"/>
      <w:numFmt w:val="bullet"/>
      <w:lvlText w:val="•"/>
      <w:lvlJc w:val="left"/>
      <w:pPr>
        <w:ind w:left="2464" w:hanging="361"/>
      </w:pPr>
      <w:rPr>
        <w:rFonts w:hint="default"/>
      </w:rPr>
    </w:lvl>
    <w:lvl w:ilvl="3">
      <w:start w:val="1"/>
      <w:numFmt w:val="bullet"/>
      <w:lvlText w:val="•"/>
      <w:lvlJc w:val="left"/>
      <w:pPr>
        <w:ind w:left="3286" w:hanging="361"/>
      </w:pPr>
      <w:rPr>
        <w:rFonts w:hint="default"/>
      </w:rPr>
    </w:lvl>
    <w:lvl w:ilvl="4">
      <w:start w:val="1"/>
      <w:numFmt w:val="bullet"/>
      <w:lvlText w:val="•"/>
      <w:lvlJc w:val="left"/>
      <w:pPr>
        <w:ind w:left="4108" w:hanging="361"/>
      </w:pPr>
      <w:rPr>
        <w:rFonts w:hint="default"/>
      </w:rPr>
    </w:lvl>
    <w:lvl w:ilvl="5">
      <w:start w:val="1"/>
      <w:numFmt w:val="bullet"/>
      <w:lvlText w:val="•"/>
      <w:lvlJc w:val="left"/>
      <w:pPr>
        <w:ind w:left="4930" w:hanging="361"/>
      </w:pPr>
      <w:rPr>
        <w:rFonts w:hint="default"/>
      </w:rPr>
    </w:lvl>
    <w:lvl w:ilvl="6">
      <w:start w:val="1"/>
      <w:numFmt w:val="bullet"/>
      <w:lvlText w:val="•"/>
      <w:lvlJc w:val="left"/>
      <w:pPr>
        <w:ind w:left="5752" w:hanging="361"/>
      </w:pPr>
      <w:rPr>
        <w:rFonts w:hint="default"/>
      </w:rPr>
    </w:lvl>
    <w:lvl w:ilvl="7">
      <w:start w:val="1"/>
      <w:numFmt w:val="bullet"/>
      <w:lvlText w:val="•"/>
      <w:lvlJc w:val="left"/>
      <w:pPr>
        <w:ind w:left="6574" w:hanging="361"/>
      </w:pPr>
      <w:rPr>
        <w:rFonts w:hint="default"/>
      </w:rPr>
    </w:lvl>
    <w:lvl w:ilvl="8">
      <w:start w:val="1"/>
      <w:numFmt w:val="bullet"/>
      <w:lvlText w:val="•"/>
      <w:lvlJc w:val="left"/>
      <w:pPr>
        <w:ind w:left="7396" w:hanging="361"/>
      </w:pPr>
      <w:rPr>
        <w:rFonts w:hint="default"/>
      </w:rPr>
    </w:lvl>
  </w:abstractNum>
  <w:abstractNum w:abstractNumId="47">
    <w:multiLevelType w:val="hybridMultilevel"/>
    <w:lvl w:ilvl="0">
      <w:start w:val="1"/>
      <w:numFmt w:val="bullet"/>
      <w:lvlText w:val="o"/>
      <w:lvlJc w:val="left"/>
      <w:pPr>
        <w:ind w:left="100" w:hanging="200"/>
      </w:pPr>
      <w:rPr>
        <w:rFonts w:hint="default" w:ascii="Arial" w:hAnsi="Arial" w:eastAsia="Arial" w:cs="Arial"/>
        <w:w w:val="99"/>
        <w:sz w:val="24"/>
        <w:szCs w:val="24"/>
      </w:rPr>
    </w:lvl>
    <w:lvl w:ilvl="1">
      <w:start w:val="1"/>
      <w:numFmt w:val="bullet"/>
      <w:lvlText w:val=""/>
      <w:lvlJc w:val="left"/>
      <w:pPr>
        <w:ind w:left="100" w:hanging="361"/>
      </w:pPr>
      <w:rPr>
        <w:rFonts w:hint="default" w:ascii="Wingdings" w:hAnsi="Wingdings" w:eastAsia="Wingdings" w:cs="Wingdings"/>
        <w:w w:val="99"/>
        <w:sz w:val="24"/>
        <w:szCs w:val="24"/>
      </w:rPr>
    </w:lvl>
    <w:lvl w:ilvl="2">
      <w:start w:val="1"/>
      <w:numFmt w:val="bullet"/>
      <w:lvlText w:val="•"/>
      <w:lvlJc w:val="left"/>
      <w:pPr>
        <w:ind w:left="1888" w:hanging="361"/>
      </w:pPr>
      <w:rPr>
        <w:rFonts w:hint="default"/>
      </w:rPr>
    </w:lvl>
    <w:lvl w:ilvl="3">
      <w:start w:val="1"/>
      <w:numFmt w:val="bullet"/>
      <w:lvlText w:val="•"/>
      <w:lvlJc w:val="left"/>
      <w:pPr>
        <w:ind w:left="2782" w:hanging="361"/>
      </w:pPr>
      <w:rPr>
        <w:rFonts w:hint="default"/>
      </w:rPr>
    </w:lvl>
    <w:lvl w:ilvl="4">
      <w:start w:val="1"/>
      <w:numFmt w:val="bullet"/>
      <w:lvlText w:val="•"/>
      <w:lvlJc w:val="left"/>
      <w:pPr>
        <w:ind w:left="3676" w:hanging="361"/>
      </w:pPr>
      <w:rPr>
        <w:rFonts w:hint="default"/>
      </w:rPr>
    </w:lvl>
    <w:lvl w:ilvl="5">
      <w:start w:val="1"/>
      <w:numFmt w:val="bullet"/>
      <w:lvlText w:val="•"/>
      <w:lvlJc w:val="left"/>
      <w:pPr>
        <w:ind w:left="4570" w:hanging="361"/>
      </w:pPr>
      <w:rPr>
        <w:rFonts w:hint="default"/>
      </w:rPr>
    </w:lvl>
    <w:lvl w:ilvl="6">
      <w:start w:val="1"/>
      <w:numFmt w:val="bullet"/>
      <w:lvlText w:val="•"/>
      <w:lvlJc w:val="left"/>
      <w:pPr>
        <w:ind w:left="5464" w:hanging="361"/>
      </w:pPr>
      <w:rPr>
        <w:rFonts w:hint="default"/>
      </w:rPr>
    </w:lvl>
    <w:lvl w:ilvl="7">
      <w:start w:val="1"/>
      <w:numFmt w:val="bullet"/>
      <w:lvlText w:val="•"/>
      <w:lvlJc w:val="left"/>
      <w:pPr>
        <w:ind w:left="6358" w:hanging="361"/>
      </w:pPr>
      <w:rPr>
        <w:rFonts w:hint="default"/>
      </w:rPr>
    </w:lvl>
    <w:lvl w:ilvl="8">
      <w:start w:val="1"/>
      <w:numFmt w:val="bullet"/>
      <w:lvlText w:val="•"/>
      <w:lvlJc w:val="left"/>
      <w:pPr>
        <w:ind w:left="7252" w:hanging="361"/>
      </w:pPr>
      <w:rPr>
        <w:rFonts w:hint="default"/>
      </w:rPr>
    </w:lvl>
  </w:abstractNum>
  <w:abstractNum w:abstractNumId="46">
    <w:multiLevelType w:val="hybridMultilevel"/>
    <w:lvl w:ilvl="0">
      <w:start w:val="1"/>
      <w:numFmt w:val="bullet"/>
      <w:lvlText w:val=""/>
      <w:lvlJc w:val="left"/>
      <w:pPr>
        <w:ind w:left="100" w:hanging="361"/>
      </w:pPr>
      <w:rPr>
        <w:rFonts w:hint="default" w:ascii="Wingdings" w:hAnsi="Wingdings" w:eastAsia="Wingdings" w:cs="Wingdings"/>
        <w:w w:val="99"/>
        <w:sz w:val="24"/>
        <w:szCs w:val="24"/>
      </w:rPr>
    </w:lvl>
    <w:lvl w:ilvl="1">
      <w:start w:val="1"/>
      <w:numFmt w:val="bullet"/>
      <w:lvlText w:val="•"/>
      <w:lvlJc w:val="left"/>
      <w:pPr>
        <w:ind w:left="994" w:hanging="361"/>
      </w:pPr>
      <w:rPr>
        <w:rFonts w:hint="default"/>
      </w:rPr>
    </w:lvl>
    <w:lvl w:ilvl="2">
      <w:start w:val="1"/>
      <w:numFmt w:val="bullet"/>
      <w:lvlText w:val="•"/>
      <w:lvlJc w:val="left"/>
      <w:pPr>
        <w:ind w:left="1888" w:hanging="361"/>
      </w:pPr>
      <w:rPr>
        <w:rFonts w:hint="default"/>
      </w:rPr>
    </w:lvl>
    <w:lvl w:ilvl="3">
      <w:start w:val="1"/>
      <w:numFmt w:val="bullet"/>
      <w:lvlText w:val="•"/>
      <w:lvlJc w:val="left"/>
      <w:pPr>
        <w:ind w:left="2782" w:hanging="361"/>
      </w:pPr>
      <w:rPr>
        <w:rFonts w:hint="default"/>
      </w:rPr>
    </w:lvl>
    <w:lvl w:ilvl="4">
      <w:start w:val="1"/>
      <w:numFmt w:val="bullet"/>
      <w:lvlText w:val="•"/>
      <w:lvlJc w:val="left"/>
      <w:pPr>
        <w:ind w:left="3676" w:hanging="361"/>
      </w:pPr>
      <w:rPr>
        <w:rFonts w:hint="default"/>
      </w:rPr>
    </w:lvl>
    <w:lvl w:ilvl="5">
      <w:start w:val="1"/>
      <w:numFmt w:val="bullet"/>
      <w:lvlText w:val="•"/>
      <w:lvlJc w:val="left"/>
      <w:pPr>
        <w:ind w:left="4570" w:hanging="361"/>
      </w:pPr>
      <w:rPr>
        <w:rFonts w:hint="default"/>
      </w:rPr>
    </w:lvl>
    <w:lvl w:ilvl="6">
      <w:start w:val="1"/>
      <w:numFmt w:val="bullet"/>
      <w:lvlText w:val="•"/>
      <w:lvlJc w:val="left"/>
      <w:pPr>
        <w:ind w:left="5464" w:hanging="361"/>
      </w:pPr>
      <w:rPr>
        <w:rFonts w:hint="default"/>
      </w:rPr>
    </w:lvl>
    <w:lvl w:ilvl="7">
      <w:start w:val="1"/>
      <w:numFmt w:val="bullet"/>
      <w:lvlText w:val="•"/>
      <w:lvlJc w:val="left"/>
      <w:pPr>
        <w:ind w:left="6358" w:hanging="361"/>
      </w:pPr>
      <w:rPr>
        <w:rFonts w:hint="default"/>
      </w:rPr>
    </w:lvl>
    <w:lvl w:ilvl="8">
      <w:start w:val="1"/>
      <w:numFmt w:val="bullet"/>
      <w:lvlText w:val="•"/>
      <w:lvlJc w:val="left"/>
      <w:pPr>
        <w:ind w:left="7252" w:hanging="361"/>
      </w:pPr>
      <w:rPr>
        <w:rFonts w:hint="default"/>
      </w:rPr>
    </w:lvl>
  </w:abstractNum>
  <w:abstractNum w:abstractNumId="45">
    <w:multiLevelType w:val="hybridMultilevel"/>
    <w:lvl w:ilvl="0">
      <w:start w:val="1"/>
      <w:numFmt w:val="bullet"/>
      <w:lvlText w:val=""/>
      <w:lvlJc w:val="left"/>
      <w:pPr>
        <w:ind w:left="821" w:hanging="361"/>
      </w:pPr>
      <w:rPr>
        <w:rFonts w:hint="default" w:ascii="Symbol" w:hAnsi="Symbol" w:eastAsia="Symbol" w:cs="Symbol"/>
        <w:w w:val="100"/>
        <w:sz w:val="24"/>
        <w:szCs w:val="24"/>
      </w:rPr>
    </w:lvl>
    <w:lvl w:ilvl="1">
      <w:start w:val="1"/>
      <w:numFmt w:val="bullet"/>
      <w:lvlText w:val="•"/>
      <w:lvlJc w:val="left"/>
      <w:pPr>
        <w:ind w:left="1642" w:hanging="361"/>
      </w:pPr>
      <w:rPr>
        <w:rFonts w:hint="default"/>
      </w:rPr>
    </w:lvl>
    <w:lvl w:ilvl="2">
      <w:start w:val="1"/>
      <w:numFmt w:val="bullet"/>
      <w:lvlText w:val="•"/>
      <w:lvlJc w:val="left"/>
      <w:pPr>
        <w:ind w:left="2464" w:hanging="361"/>
      </w:pPr>
      <w:rPr>
        <w:rFonts w:hint="default"/>
      </w:rPr>
    </w:lvl>
    <w:lvl w:ilvl="3">
      <w:start w:val="1"/>
      <w:numFmt w:val="bullet"/>
      <w:lvlText w:val="•"/>
      <w:lvlJc w:val="left"/>
      <w:pPr>
        <w:ind w:left="3286" w:hanging="361"/>
      </w:pPr>
      <w:rPr>
        <w:rFonts w:hint="default"/>
      </w:rPr>
    </w:lvl>
    <w:lvl w:ilvl="4">
      <w:start w:val="1"/>
      <w:numFmt w:val="bullet"/>
      <w:lvlText w:val="•"/>
      <w:lvlJc w:val="left"/>
      <w:pPr>
        <w:ind w:left="4108" w:hanging="361"/>
      </w:pPr>
      <w:rPr>
        <w:rFonts w:hint="default"/>
      </w:rPr>
    </w:lvl>
    <w:lvl w:ilvl="5">
      <w:start w:val="1"/>
      <w:numFmt w:val="bullet"/>
      <w:lvlText w:val="•"/>
      <w:lvlJc w:val="left"/>
      <w:pPr>
        <w:ind w:left="4930" w:hanging="361"/>
      </w:pPr>
      <w:rPr>
        <w:rFonts w:hint="default"/>
      </w:rPr>
    </w:lvl>
    <w:lvl w:ilvl="6">
      <w:start w:val="1"/>
      <w:numFmt w:val="bullet"/>
      <w:lvlText w:val="•"/>
      <w:lvlJc w:val="left"/>
      <w:pPr>
        <w:ind w:left="5752" w:hanging="361"/>
      </w:pPr>
      <w:rPr>
        <w:rFonts w:hint="default"/>
      </w:rPr>
    </w:lvl>
    <w:lvl w:ilvl="7">
      <w:start w:val="1"/>
      <w:numFmt w:val="bullet"/>
      <w:lvlText w:val="•"/>
      <w:lvlJc w:val="left"/>
      <w:pPr>
        <w:ind w:left="6574" w:hanging="361"/>
      </w:pPr>
      <w:rPr>
        <w:rFonts w:hint="default"/>
      </w:rPr>
    </w:lvl>
    <w:lvl w:ilvl="8">
      <w:start w:val="1"/>
      <w:numFmt w:val="bullet"/>
      <w:lvlText w:val="•"/>
      <w:lvlJc w:val="left"/>
      <w:pPr>
        <w:ind w:left="7396" w:hanging="361"/>
      </w:pPr>
      <w:rPr>
        <w:rFonts w:hint="default"/>
      </w:rPr>
    </w:lvl>
  </w:abstractNum>
  <w:abstractNum w:abstractNumId="44">
    <w:multiLevelType w:val="hybridMultilevel"/>
    <w:lvl w:ilvl="0">
      <w:start w:val="1"/>
      <w:numFmt w:val="bullet"/>
      <w:lvlText w:val=""/>
      <w:lvlJc w:val="left"/>
      <w:pPr>
        <w:ind w:left="821" w:hanging="361"/>
      </w:pPr>
      <w:rPr>
        <w:rFonts w:hint="default" w:ascii="Wingdings" w:hAnsi="Wingdings" w:eastAsia="Wingdings" w:cs="Wingdings"/>
        <w:w w:val="99"/>
        <w:sz w:val="24"/>
        <w:szCs w:val="24"/>
      </w:rPr>
    </w:lvl>
    <w:lvl w:ilvl="1">
      <w:start w:val="1"/>
      <w:numFmt w:val="bullet"/>
      <w:lvlText w:val="•"/>
      <w:lvlJc w:val="left"/>
      <w:pPr>
        <w:ind w:left="1642" w:hanging="361"/>
      </w:pPr>
      <w:rPr>
        <w:rFonts w:hint="default"/>
      </w:rPr>
    </w:lvl>
    <w:lvl w:ilvl="2">
      <w:start w:val="1"/>
      <w:numFmt w:val="bullet"/>
      <w:lvlText w:val="•"/>
      <w:lvlJc w:val="left"/>
      <w:pPr>
        <w:ind w:left="2464" w:hanging="361"/>
      </w:pPr>
      <w:rPr>
        <w:rFonts w:hint="default"/>
      </w:rPr>
    </w:lvl>
    <w:lvl w:ilvl="3">
      <w:start w:val="1"/>
      <w:numFmt w:val="bullet"/>
      <w:lvlText w:val="•"/>
      <w:lvlJc w:val="left"/>
      <w:pPr>
        <w:ind w:left="3286" w:hanging="361"/>
      </w:pPr>
      <w:rPr>
        <w:rFonts w:hint="default"/>
      </w:rPr>
    </w:lvl>
    <w:lvl w:ilvl="4">
      <w:start w:val="1"/>
      <w:numFmt w:val="bullet"/>
      <w:lvlText w:val="•"/>
      <w:lvlJc w:val="left"/>
      <w:pPr>
        <w:ind w:left="4108" w:hanging="361"/>
      </w:pPr>
      <w:rPr>
        <w:rFonts w:hint="default"/>
      </w:rPr>
    </w:lvl>
    <w:lvl w:ilvl="5">
      <w:start w:val="1"/>
      <w:numFmt w:val="bullet"/>
      <w:lvlText w:val="•"/>
      <w:lvlJc w:val="left"/>
      <w:pPr>
        <w:ind w:left="4930" w:hanging="361"/>
      </w:pPr>
      <w:rPr>
        <w:rFonts w:hint="default"/>
      </w:rPr>
    </w:lvl>
    <w:lvl w:ilvl="6">
      <w:start w:val="1"/>
      <w:numFmt w:val="bullet"/>
      <w:lvlText w:val="•"/>
      <w:lvlJc w:val="left"/>
      <w:pPr>
        <w:ind w:left="5752" w:hanging="361"/>
      </w:pPr>
      <w:rPr>
        <w:rFonts w:hint="default"/>
      </w:rPr>
    </w:lvl>
    <w:lvl w:ilvl="7">
      <w:start w:val="1"/>
      <w:numFmt w:val="bullet"/>
      <w:lvlText w:val="•"/>
      <w:lvlJc w:val="left"/>
      <w:pPr>
        <w:ind w:left="6574" w:hanging="361"/>
      </w:pPr>
      <w:rPr>
        <w:rFonts w:hint="default"/>
      </w:rPr>
    </w:lvl>
    <w:lvl w:ilvl="8">
      <w:start w:val="1"/>
      <w:numFmt w:val="bullet"/>
      <w:lvlText w:val="•"/>
      <w:lvlJc w:val="left"/>
      <w:pPr>
        <w:ind w:left="7396" w:hanging="361"/>
      </w:pPr>
      <w:rPr>
        <w:rFonts w:hint="default"/>
      </w:rPr>
    </w:lvl>
  </w:abstractNum>
  <w:abstractNum w:abstractNumId="43">
    <w:multiLevelType w:val="hybridMultilevel"/>
    <w:lvl w:ilvl="0">
      <w:start w:val="1"/>
      <w:numFmt w:val="bullet"/>
      <w:lvlText w:val=""/>
      <w:lvlJc w:val="left"/>
      <w:pPr>
        <w:ind w:left="821" w:hanging="361"/>
      </w:pPr>
      <w:rPr>
        <w:rFonts w:hint="default" w:ascii="Symbol" w:hAnsi="Symbol" w:eastAsia="Symbol" w:cs="Symbol"/>
        <w:w w:val="100"/>
        <w:sz w:val="24"/>
        <w:szCs w:val="24"/>
      </w:rPr>
    </w:lvl>
    <w:lvl w:ilvl="1">
      <w:start w:val="1"/>
      <w:numFmt w:val="bullet"/>
      <w:lvlText w:val=""/>
      <w:lvlJc w:val="left"/>
      <w:pPr>
        <w:ind w:left="965" w:hanging="361"/>
      </w:pPr>
      <w:rPr>
        <w:rFonts w:hint="default" w:ascii="Wingdings" w:hAnsi="Wingdings" w:eastAsia="Wingdings" w:cs="Wingdings"/>
        <w:w w:val="99"/>
        <w:sz w:val="24"/>
        <w:szCs w:val="24"/>
      </w:rPr>
    </w:lvl>
    <w:lvl w:ilvl="2">
      <w:start w:val="1"/>
      <w:numFmt w:val="bullet"/>
      <w:lvlText w:val="•"/>
      <w:lvlJc w:val="left"/>
      <w:pPr>
        <w:ind w:left="1857" w:hanging="361"/>
      </w:pPr>
      <w:rPr>
        <w:rFonts w:hint="default"/>
      </w:rPr>
    </w:lvl>
    <w:lvl w:ilvl="3">
      <w:start w:val="1"/>
      <w:numFmt w:val="bullet"/>
      <w:lvlText w:val="•"/>
      <w:lvlJc w:val="left"/>
      <w:pPr>
        <w:ind w:left="2755" w:hanging="361"/>
      </w:pPr>
      <w:rPr>
        <w:rFonts w:hint="default"/>
      </w:rPr>
    </w:lvl>
    <w:lvl w:ilvl="4">
      <w:start w:val="1"/>
      <w:numFmt w:val="bullet"/>
      <w:lvlText w:val="•"/>
      <w:lvlJc w:val="left"/>
      <w:pPr>
        <w:ind w:left="3653" w:hanging="361"/>
      </w:pPr>
      <w:rPr>
        <w:rFonts w:hint="default"/>
      </w:rPr>
    </w:lvl>
    <w:lvl w:ilvl="5">
      <w:start w:val="1"/>
      <w:numFmt w:val="bullet"/>
      <w:lvlText w:val="•"/>
      <w:lvlJc w:val="left"/>
      <w:pPr>
        <w:ind w:left="4551" w:hanging="361"/>
      </w:pPr>
      <w:rPr>
        <w:rFonts w:hint="default"/>
      </w:rPr>
    </w:lvl>
    <w:lvl w:ilvl="6">
      <w:start w:val="1"/>
      <w:numFmt w:val="bullet"/>
      <w:lvlText w:val="•"/>
      <w:lvlJc w:val="left"/>
      <w:pPr>
        <w:ind w:left="5448" w:hanging="361"/>
      </w:pPr>
      <w:rPr>
        <w:rFonts w:hint="default"/>
      </w:rPr>
    </w:lvl>
    <w:lvl w:ilvl="7">
      <w:start w:val="1"/>
      <w:numFmt w:val="bullet"/>
      <w:lvlText w:val="•"/>
      <w:lvlJc w:val="left"/>
      <w:pPr>
        <w:ind w:left="6346" w:hanging="361"/>
      </w:pPr>
      <w:rPr>
        <w:rFonts w:hint="default"/>
      </w:rPr>
    </w:lvl>
    <w:lvl w:ilvl="8">
      <w:start w:val="1"/>
      <w:numFmt w:val="bullet"/>
      <w:lvlText w:val="•"/>
      <w:lvlJc w:val="left"/>
      <w:pPr>
        <w:ind w:left="7244" w:hanging="361"/>
      </w:pPr>
      <w:rPr>
        <w:rFonts w:hint="default"/>
      </w:rPr>
    </w:lvl>
  </w:abstractNum>
  <w:abstractNum w:abstractNumId="42">
    <w:multiLevelType w:val="hybridMultilevel"/>
    <w:lvl w:ilvl="0">
      <w:start w:val="1"/>
      <w:numFmt w:val="bullet"/>
      <w:lvlText w:val=""/>
      <w:lvlJc w:val="left"/>
      <w:pPr>
        <w:ind w:left="821" w:hanging="361"/>
      </w:pPr>
      <w:rPr>
        <w:rFonts w:hint="default" w:ascii="Symbol" w:hAnsi="Symbol" w:eastAsia="Symbol" w:cs="Symbol"/>
        <w:w w:val="100"/>
        <w:sz w:val="24"/>
        <w:szCs w:val="24"/>
      </w:rPr>
    </w:lvl>
    <w:lvl w:ilvl="1">
      <w:start w:val="1"/>
      <w:numFmt w:val="bullet"/>
      <w:lvlText w:val="•"/>
      <w:lvlJc w:val="left"/>
      <w:pPr>
        <w:ind w:left="1642" w:hanging="361"/>
      </w:pPr>
      <w:rPr>
        <w:rFonts w:hint="default"/>
      </w:rPr>
    </w:lvl>
    <w:lvl w:ilvl="2">
      <w:start w:val="1"/>
      <w:numFmt w:val="bullet"/>
      <w:lvlText w:val="•"/>
      <w:lvlJc w:val="left"/>
      <w:pPr>
        <w:ind w:left="2464" w:hanging="361"/>
      </w:pPr>
      <w:rPr>
        <w:rFonts w:hint="default"/>
      </w:rPr>
    </w:lvl>
    <w:lvl w:ilvl="3">
      <w:start w:val="1"/>
      <w:numFmt w:val="bullet"/>
      <w:lvlText w:val="•"/>
      <w:lvlJc w:val="left"/>
      <w:pPr>
        <w:ind w:left="3286" w:hanging="361"/>
      </w:pPr>
      <w:rPr>
        <w:rFonts w:hint="default"/>
      </w:rPr>
    </w:lvl>
    <w:lvl w:ilvl="4">
      <w:start w:val="1"/>
      <w:numFmt w:val="bullet"/>
      <w:lvlText w:val="•"/>
      <w:lvlJc w:val="left"/>
      <w:pPr>
        <w:ind w:left="4108" w:hanging="361"/>
      </w:pPr>
      <w:rPr>
        <w:rFonts w:hint="default"/>
      </w:rPr>
    </w:lvl>
    <w:lvl w:ilvl="5">
      <w:start w:val="1"/>
      <w:numFmt w:val="bullet"/>
      <w:lvlText w:val="•"/>
      <w:lvlJc w:val="left"/>
      <w:pPr>
        <w:ind w:left="4930" w:hanging="361"/>
      </w:pPr>
      <w:rPr>
        <w:rFonts w:hint="default"/>
      </w:rPr>
    </w:lvl>
    <w:lvl w:ilvl="6">
      <w:start w:val="1"/>
      <w:numFmt w:val="bullet"/>
      <w:lvlText w:val="•"/>
      <w:lvlJc w:val="left"/>
      <w:pPr>
        <w:ind w:left="5752" w:hanging="361"/>
      </w:pPr>
      <w:rPr>
        <w:rFonts w:hint="default"/>
      </w:rPr>
    </w:lvl>
    <w:lvl w:ilvl="7">
      <w:start w:val="1"/>
      <w:numFmt w:val="bullet"/>
      <w:lvlText w:val="•"/>
      <w:lvlJc w:val="left"/>
      <w:pPr>
        <w:ind w:left="6574" w:hanging="361"/>
      </w:pPr>
      <w:rPr>
        <w:rFonts w:hint="default"/>
      </w:rPr>
    </w:lvl>
    <w:lvl w:ilvl="8">
      <w:start w:val="1"/>
      <w:numFmt w:val="bullet"/>
      <w:lvlText w:val="•"/>
      <w:lvlJc w:val="left"/>
      <w:pPr>
        <w:ind w:left="7396" w:hanging="361"/>
      </w:pPr>
      <w:rPr>
        <w:rFonts w:hint="default"/>
      </w:rPr>
    </w:lvl>
  </w:abstractNum>
  <w:abstractNum w:abstractNumId="41">
    <w:multiLevelType w:val="hybridMultilevel"/>
    <w:lvl w:ilvl="0">
      <w:start w:val="1"/>
      <w:numFmt w:val="bullet"/>
      <w:lvlText w:val=""/>
      <w:lvlJc w:val="left"/>
      <w:pPr>
        <w:ind w:left="821" w:hanging="361"/>
      </w:pPr>
      <w:rPr>
        <w:rFonts w:hint="default" w:ascii="Symbol" w:hAnsi="Symbol" w:eastAsia="Symbol" w:cs="Symbol"/>
        <w:w w:val="100"/>
        <w:sz w:val="24"/>
        <w:szCs w:val="24"/>
      </w:rPr>
    </w:lvl>
    <w:lvl w:ilvl="1">
      <w:start w:val="1"/>
      <w:numFmt w:val="bullet"/>
      <w:lvlText w:val="•"/>
      <w:lvlJc w:val="left"/>
      <w:pPr>
        <w:ind w:left="1642" w:hanging="361"/>
      </w:pPr>
      <w:rPr>
        <w:rFonts w:hint="default"/>
      </w:rPr>
    </w:lvl>
    <w:lvl w:ilvl="2">
      <w:start w:val="1"/>
      <w:numFmt w:val="bullet"/>
      <w:lvlText w:val="•"/>
      <w:lvlJc w:val="left"/>
      <w:pPr>
        <w:ind w:left="2464" w:hanging="361"/>
      </w:pPr>
      <w:rPr>
        <w:rFonts w:hint="default"/>
      </w:rPr>
    </w:lvl>
    <w:lvl w:ilvl="3">
      <w:start w:val="1"/>
      <w:numFmt w:val="bullet"/>
      <w:lvlText w:val="•"/>
      <w:lvlJc w:val="left"/>
      <w:pPr>
        <w:ind w:left="3286" w:hanging="361"/>
      </w:pPr>
      <w:rPr>
        <w:rFonts w:hint="default"/>
      </w:rPr>
    </w:lvl>
    <w:lvl w:ilvl="4">
      <w:start w:val="1"/>
      <w:numFmt w:val="bullet"/>
      <w:lvlText w:val="•"/>
      <w:lvlJc w:val="left"/>
      <w:pPr>
        <w:ind w:left="4108" w:hanging="361"/>
      </w:pPr>
      <w:rPr>
        <w:rFonts w:hint="default"/>
      </w:rPr>
    </w:lvl>
    <w:lvl w:ilvl="5">
      <w:start w:val="1"/>
      <w:numFmt w:val="bullet"/>
      <w:lvlText w:val="•"/>
      <w:lvlJc w:val="left"/>
      <w:pPr>
        <w:ind w:left="4930" w:hanging="361"/>
      </w:pPr>
      <w:rPr>
        <w:rFonts w:hint="default"/>
      </w:rPr>
    </w:lvl>
    <w:lvl w:ilvl="6">
      <w:start w:val="1"/>
      <w:numFmt w:val="bullet"/>
      <w:lvlText w:val="•"/>
      <w:lvlJc w:val="left"/>
      <w:pPr>
        <w:ind w:left="5752" w:hanging="361"/>
      </w:pPr>
      <w:rPr>
        <w:rFonts w:hint="default"/>
      </w:rPr>
    </w:lvl>
    <w:lvl w:ilvl="7">
      <w:start w:val="1"/>
      <w:numFmt w:val="bullet"/>
      <w:lvlText w:val="•"/>
      <w:lvlJc w:val="left"/>
      <w:pPr>
        <w:ind w:left="6574" w:hanging="361"/>
      </w:pPr>
      <w:rPr>
        <w:rFonts w:hint="default"/>
      </w:rPr>
    </w:lvl>
    <w:lvl w:ilvl="8">
      <w:start w:val="1"/>
      <w:numFmt w:val="bullet"/>
      <w:lvlText w:val="•"/>
      <w:lvlJc w:val="left"/>
      <w:pPr>
        <w:ind w:left="7396" w:hanging="361"/>
      </w:pPr>
      <w:rPr>
        <w:rFonts w:hint="default"/>
      </w:rPr>
    </w:lvl>
  </w:abstractNum>
  <w:abstractNum w:abstractNumId="40">
    <w:multiLevelType w:val="hybridMultilevel"/>
    <w:lvl w:ilvl="0">
      <w:start w:val="1"/>
      <w:numFmt w:val="bullet"/>
      <w:lvlText w:val=""/>
      <w:lvlJc w:val="left"/>
      <w:pPr>
        <w:ind w:left="889" w:hanging="361"/>
      </w:pPr>
      <w:rPr>
        <w:rFonts w:hint="default" w:ascii="Symbol" w:hAnsi="Symbol" w:eastAsia="Symbol" w:cs="Symbol"/>
        <w:w w:val="100"/>
        <w:sz w:val="24"/>
        <w:szCs w:val="24"/>
      </w:rPr>
    </w:lvl>
    <w:lvl w:ilvl="1">
      <w:start w:val="1"/>
      <w:numFmt w:val="bullet"/>
      <w:lvlText w:val="•"/>
      <w:lvlJc w:val="left"/>
      <w:pPr>
        <w:ind w:left="1696" w:hanging="361"/>
      </w:pPr>
      <w:rPr>
        <w:rFonts w:hint="default"/>
      </w:rPr>
    </w:lvl>
    <w:lvl w:ilvl="2">
      <w:start w:val="1"/>
      <w:numFmt w:val="bullet"/>
      <w:lvlText w:val="•"/>
      <w:lvlJc w:val="left"/>
      <w:pPr>
        <w:ind w:left="2512" w:hanging="361"/>
      </w:pPr>
      <w:rPr>
        <w:rFonts w:hint="default"/>
      </w:rPr>
    </w:lvl>
    <w:lvl w:ilvl="3">
      <w:start w:val="1"/>
      <w:numFmt w:val="bullet"/>
      <w:lvlText w:val="•"/>
      <w:lvlJc w:val="left"/>
      <w:pPr>
        <w:ind w:left="3328" w:hanging="361"/>
      </w:pPr>
      <w:rPr>
        <w:rFonts w:hint="default"/>
      </w:rPr>
    </w:lvl>
    <w:lvl w:ilvl="4">
      <w:start w:val="1"/>
      <w:numFmt w:val="bullet"/>
      <w:lvlText w:val="•"/>
      <w:lvlJc w:val="left"/>
      <w:pPr>
        <w:ind w:left="4144" w:hanging="361"/>
      </w:pPr>
      <w:rPr>
        <w:rFonts w:hint="default"/>
      </w:rPr>
    </w:lvl>
    <w:lvl w:ilvl="5">
      <w:start w:val="1"/>
      <w:numFmt w:val="bullet"/>
      <w:lvlText w:val="•"/>
      <w:lvlJc w:val="left"/>
      <w:pPr>
        <w:ind w:left="4960" w:hanging="361"/>
      </w:pPr>
      <w:rPr>
        <w:rFonts w:hint="default"/>
      </w:rPr>
    </w:lvl>
    <w:lvl w:ilvl="6">
      <w:start w:val="1"/>
      <w:numFmt w:val="bullet"/>
      <w:lvlText w:val="•"/>
      <w:lvlJc w:val="left"/>
      <w:pPr>
        <w:ind w:left="5776" w:hanging="361"/>
      </w:pPr>
      <w:rPr>
        <w:rFonts w:hint="default"/>
      </w:rPr>
    </w:lvl>
    <w:lvl w:ilvl="7">
      <w:start w:val="1"/>
      <w:numFmt w:val="bullet"/>
      <w:lvlText w:val="•"/>
      <w:lvlJc w:val="left"/>
      <w:pPr>
        <w:ind w:left="6592" w:hanging="361"/>
      </w:pPr>
      <w:rPr>
        <w:rFonts w:hint="default"/>
      </w:rPr>
    </w:lvl>
    <w:lvl w:ilvl="8">
      <w:start w:val="1"/>
      <w:numFmt w:val="bullet"/>
      <w:lvlText w:val="•"/>
      <w:lvlJc w:val="left"/>
      <w:pPr>
        <w:ind w:left="7408" w:hanging="361"/>
      </w:pPr>
      <w:rPr>
        <w:rFonts w:hint="default"/>
      </w:rPr>
    </w:lvl>
  </w:abstractNum>
  <w:abstractNum w:abstractNumId="39">
    <w:multiLevelType w:val="hybridMultilevel"/>
    <w:lvl w:ilvl="0">
      <w:start w:val="1"/>
      <w:numFmt w:val="bullet"/>
      <w:lvlText w:val=""/>
      <w:lvlJc w:val="left"/>
      <w:pPr>
        <w:ind w:left="821" w:hanging="361"/>
      </w:pPr>
      <w:rPr>
        <w:rFonts w:hint="default" w:ascii="Wingdings" w:hAnsi="Wingdings" w:eastAsia="Wingdings" w:cs="Wingdings"/>
        <w:w w:val="99"/>
        <w:sz w:val="24"/>
        <w:szCs w:val="24"/>
      </w:rPr>
    </w:lvl>
    <w:lvl w:ilvl="1">
      <w:start w:val="1"/>
      <w:numFmt w:val="bullet"/>
      <w:lvlText w:val="•"/>
      <w:lvlJc w:val="left"/>
      <w:pPr>
        <w:ind w:left="1642" w:hanging="361"/>
      </w:pPr>
      <w:rPr>
        <w:rFonts w:hint="default"/>
      </w:rPr>
    </w:lvl>
    <w:lvl w:ilvl="2">
      <w:start w:val="1"/>
      <w:numFmt w:val="bullet"/>
      <w:lvlText w:val="•"/>
      <w:lvlJc w:val="left"/>
      <w:pPr>
        <w:ind w:left="2464" w:hanging="361"/>
      </w:pPr>
      <w:rPr>
        <w:rFonts w:hint="default"/>
      </w:rPr>
    </w:lvl>
    <w:lvl w:ilvl="3">
      <w:start w:val="1"/>
      <w:numFmt w:val="bullet"/>
      <w:lvlText w:val="•"/>
      <w:lvlJc w:val="left"/>
      <w:pPr>
        <w:ind w:left="3286" w:hanging="361"/>
      </w:pPr>
      <w:rPr>
        <w:rFonts w:hint="default"/>
      </w:rPr>
    </w:lvl>
    <w:lvl w:ilvl="4">
      <w:start w:val="1"/>
      <w:numFmt w:val="bullet"/>
      <w:lvlText w:val="•"/>
      <w:lvlJc w:val="left"/>
      <w:pPr>
        <w:ind w:left="4108" w:hanging="361"/>
      </w:pPr>
      <w:rPr>
        <w:rFonts w:hint="default"/>
      </w:rPr>
    </w:lvl>
    <w:lvl w:ilvl="5">
      <w:start w:val="1"/>
      <w:numFmt w:val="bullet"/>
      <w:lvlText w:val="•"/>
      <w:lvlJc w:val="left"/>
      <w:pPr>
        <w:ind w:left="4930" w:hanging="361"/>
      </w:pPr>
      <w:rPr>
        <w:rFonts w:hint="default"/>
      </w:rPr>
    </w:lvl>
    <w:lvl w:ilvl="6">
      <w:start w:val="1"/>
      <w:numFmt w:val="bullet"/>
      <w:lvlText w:val="•"/>
      <w:lvlJc w:val="left"/>
      <w:pPr>
        <w:ind w:left="5752" w:hanging="361"/>
      </w:pPr>
      <w:rPr>
        <w:rFonts w:hint="default"/>
      </w:rPr>
    </w:lvl>
    <w:lvl w:ilvl="7">
      <w:start w:val="1"/>
      <w:numFmt w:val="bullet"/>
      <w:lvlText w:val="•"/>
      <w:lvlJc w:val="left"/>
      <w:pPr>
        <w:ind w:left="6574" w:hanging="361"/>
      </w:pPr>
      <w:rPr>
        <w:rFonts w:hint="default"/>
      </w:rPr>
    </w:lvl>
    <w:lvl w:ilvl="8">
      <w:start w:val="1"/>
      <w:numFmt w:val="bullet"/>
      <w:lvlText w:val="•"/>
      <w:lvlJc w:val="left"/>
      <w:pPr>
        <w:ind w:left="7396" w:hanging="361"/>
      </w:pPr>
      <w:rPr>
        <w:rFonts w:hint="default"/>
      </w:rPr>
    </w:lvl>
  </w:abstractNum>
  <w:abstractNum w:abstractNumId="38">
    <w:multiLevelType w:val="hybridMultilevel"/>
    <w:lvl w:ilvl="0">
      <w:start w:val="1"/>
      <w:numFmt w:val="bullet"/>
      <w:lvlText w:val="o"/>
      <w:lvlJc w:val="left"/>
      <w:pPr>
        <w:ind w:left="821" w:hanging="361"/>
      </w:pPr>
      <w:rPr>
        <w:rFonts w:hint="default" w:ascii="Courier New" w:hAnsi="Courier New" w:eastAsia="Courier New" w:cs="Courier New"/>
        <w:spacing w:val="-4"/>
        <w:w w:val="99"/>
        <w:sz w:val="24"/>
        <w:szCs w:val="24"/>
      </w:rPr>
    </w:lvl>
    <w:lvl w:ilvl="1">
      <w:start w:val="1"/>
      <w:numFmt w:val="bullet"/>
      <w:lvlText w:val="•"/>
      <w:lvlJc w:val="left"/>
      <w:pPr>
        <w:ind w:left="1642" w:hanging="361"/>
      </w:pPr>
      <w:rPr>
        <w:rFonts w:hint="default"/>
      </w:rPr>
    </w:lvl>
    <w:lvl w:ilvl="2">
      <w:start w:val="1"/>
      <w:numFmt w:val="bullet"/>
      <w:lvlText w:val="•"/>
      <w:lvlJc w:val="left"/>
      <w:pPr>
        <w:ind w:left="2464" w:hanging="361"/>
      </w:pPr>
      <w:rPr>
        <w:rFonts w:hint="default"/>
      </w:rPr>
    </w:lvl>
    <w:lvl w:ilvl="3">
      <w:start w:val="1"/>
      <w:numFmt w:val="bullet"/>
      <w:lvlText w:val="•"/>
      <w:lvlJc w:val="left"/>
      <w:pPr>
        <w:ind w:left="3286" w:hanging="361"/>
      </w:pPr>
      <w:rPr>
        <w:rFonts w:hint="default"/>
      </w:rPr>
    </w:lvl>
    <w:lvl w:ilvl="4">
      <w:start w:val="1"/>
      <w:numFmt w:val="bullet"/>
      <w:lvlText w:val="•"/>
      <w:lvlJc w:val="left"/>
      <w:pPr>
        <w:ind w:left="4108" w:hanging="361"/>
      </w:pPr>
      <w:rPr>
        <w:rFonts w:hint="default"/>
      </w:rPr>
    </w:lvl>
    <w:lvl w:ilvl="5">
      <w:start w:val="1"/>
      <w:numFmt w:val="bullet"/>
      <w:lvlText w:val="•"/>
      <w:lvlJc w:val="left"/>
      <w:pPr>
        <w:ind w:left="4930" w:hanging="361"/>
      </w:pPr>
      <w:rPr>
        <w:rFonts w:hint="default"/>
      </w:rPr>
    </w:lvl>
    <w:lvl w:ilvl="6">
      <w:start w:val="1"/>
      <w:numFmt w:val="bullet"/>
      <w:lvlText w:val="•"/>
      <w:lvlJc w:val="left"/>
      <w:pPr>
        <w:ind w:left="5752" w:hanging="361"/>
      </w:pPr>
      <w:rPr>
        <w:rFonts w:hint="default"/>
      </w:rPr>
    </w:lvl>
    <w:lvl w:ilvl="7">
      <w:start w:val="1"/>
      <w:numFmt w:val="bullet"/>
      <w:lvlText w:val="•"/>
      <w:lvlJc w:val="left"/>
      <w:pPr>
        <w:ind w:left="6574" w:hanging="361"/>
      </w:pPr>
      <w:rPr>
        <w:rFonts w:hint="default"/>
      </w:rPr>
    </w:lvl>
    <w:lvl w:ilvl="8">
      <w:start w:val="1"/>
      <w:numFmt w:val="bullet"/>
      <w:lvlText w:val="•"/>
      <w:lvlJc w:val="left"/>
      <w:pPr>
        <w:ind w:left="7396" w:hanging="361"/>
      </w:pPr>
      <w:rPr>
        <w:rFonts w:hint="default"/>
      </w:rPr>
    </w:lvl>
  </w:abstractNum>
  <w:abstractNum w:abstractNumId="37">
    <w:multiLevelType w:val="hybridMultilevel"/>
    <w:lvl w:ilvl="0">
      <w:start w:val="1"/>
      <w:numFmt w:val="bullet"/>
      <w:lvlText w:val=""/>
      <w:lvlJc w:val="left"/>
      <w:pPr>
        <w:ind w:left="821" w:hanging="361"/>
      </w:pPr>
      <w:rPr>
        <w:rFonts w:hint="default" w:ascii="Symbol" w:hAnsi="Symbol" w:eastAsia="Symbol" w:cs="Symbol"/>
        <w:w w:val="100"/>
        <w:sz w:val="24"/>
        <w:szCs w:val="24"/>
      </w:rPr>
    </w:lvl>
    <w:lvl w:ilvl="1">
      <w:start w:val="1"/>
      <w:numFmt w:val="bullet"/>
      <w:lvlText w:val="•"/>
      <w:lvlJc w:val="left"/>
      <w:pPr>
        <w:ind w:left="1644" w:hanging="361"/>
      </w:pPr>
      <w:rPr>
        <w:rFonts w:hint="default"/>
      </w:rPr>
    </w:lvl>
    <w:lvl w:ilvl="2">
      <w:start w:val="1"/>
      <w:numFmt w:val="bullet"/>
      <w:lvlText w:val="•"/>
      <w:lvlJc w:val="left"/>
      <w:pPr>
        <w:ind w:left="2468" w:hanging="361"/>
      </w:pPr>
      <w:rPr>
        <w:rFonts w:hint="default"/>
      </w:rPr>
    </w:lvl>
    <w:lvl w:ilvl="3">
      <w:start w:val="1"/>
      <w:numFmt w:val="bullet"/>
      <w:lvlText w:val="•"/>
      <w:lvlJc w:val="left"/>
      <w:pPr>
        <w:ind w:left="3292" w:hanging="361"/>
      </w:pPr>
      <w:rPr>
        <w:rFonts w:hint="default"/>
      </w:rPr>
    </w:lvl>
    <w:lvl w:ilvl="4">
      <w:start w:val="1"/>
      <w:numFmt w:val="bullet"/>
      <w:lvlText w:val="•"/>
      <w:lvlJc w:val="left"/>
      <w:pPr>
        <w:ind w:left="4116" w:hanging="361"/>
      </w:pPr>
      <w:rPr>
        <w:rFonts w:hint="default"/>
      </w:rPr>
    </w:lvl>
    <w:lvl w:ilvl="5">
      <w:start w:val="1"/>
      <w:numFmt w:val="bullet"/>
      <w:lvlText w:val="•"/>
      <w:lvlJc w:val="left"/>
      <w:pPr>
        <w:ind w:left="4940" w:hanging="361"/>
      </w:pPr>
      <w:rPr>
        <w:rFonts w:hint="default"/>
      </w:rPr>
    </w:lvl>
    <w:lvl w:ilvl="6">
      <w:start w:val="1"/>
      <w:numFmt w:val="bullet"/>
      <w:lvlText w:val="•"/>
      <w:lvlJc w:val="left"/>
      <w:pPr>
        <w:ind w:left="5764" w:hanging="361"/>
      </w:pPr>
      <w:rPr>
        <w:rFonts w:hint="default"/>
      </w:rPr>
    </w:lvl>
    <w:lvl w:ilvl="7">
      <w:start w:val="1"/>
      <w:numFmt w:val="bullet"/>
      <w:lvlText w:val="•"/>
      <w:lvlJc w:val="left"/>
      <w:pPr>
        <w:ind w:left="6588" w:hanging="361"/>
      </w:pPr>
      <w:rPr>
        <w:rFonts w:hint="default"/>
      </w:rPr>
    </w:lvl>
    <w:lvl w:ilvl="8">
      <w:start w:val="1"/>
      <w:numFmt w:val="bullet"/>
      <w:lvlText w:val="•"/>
      <w:lvlJc w:val="left"/>
      <w:pPr>
        <w:ind w:left="7412" w:hanging="361"/>
      </w:pPr>
      <w:rPr>
        <w:rFonts w:hint="default"/>
      </w:rPr>
    </w:lvl>
  </w:abstractNum>
  <w:abstractNum w:abstractNumId="36">
    <w:multiLevelType w:val="hybridMultilevel"/>
    <w:lvl w:ilvl="0">
      <w:start w:val="1"/>
      <w:numFmt w:val="bullet"/>
      <w:lvlText w:val=""/>
      <w:lvlJc w:val="left"/>
      <w:pPr>
        <w:ind w:left="821" w:hanging="361"/>
      </w:pPr>
      <w:rPr>
        <w:rFonts w:hint="default" w:ascii="Symbol" w:hAnsi="Symbol" w:eastAsia="Symbol" w:cs="Symbol"/>
        <w:w w:val="100"/>
        <w:sz w:val="24"/>
        <w:szCs w:val="24"/>
      </w:rPr>
    </w:lvl>
    <w:lvl w:ilvl="1">
      <w:start w:val="1"/>
      <w:numFmt w:val="bullet"/>
      <w:lvlText w:val="•"/>
      <w:lvlJc w:val="left"/>
      <w:pPr>
        <w:ind w:left="1642" w:hanging="361"/>
      </w:pPr>
      <w:rPr>
        <w:rFonts w:hint="default"/>
      </w:rPr>
    </w:lvl>
    <w:lvl w:ilvl="2">
      <w:start w:val="1"/>
      <w:numFmt w:val="bullet"/>
      <w:lvlText w:val="•"/>
      <w:lvlJc w:val="left"/>
      <w:pPr>
        <w:ind w:left="2464" w:hanging="361"/>
      </w:pPr>
      <w:rPr>
        <w:rFonts w:hint="default"/>
      </w:rPr>
    </w:lvl>
    <w:lvl w:ilvl="3">
      <w:start w:val="1"/>
      <w:numFmt w:val="bullet"/>
      <w:lvlText w:val="•"/>
      <w:lvlJc w:val="left"/>
      <w:pPr>
        <w:ind w:left="3286" w:hanging="361"/>
      </w:pPr>
      <w:rPr>
        <w:rFonts w:hint="default"/>
      </w:rPr>
    </w:lvl>
    <w:lvl w:ilvl="4">
      <w:start w:val="1"/>
      <w:numFmt w:val="bullet"/>
      <w:lvlText w:val="•"/>
      <w:lvlJc w:val="left"/>
      <w:pPr>
        <w:ind w:left="4108" w:hanging="361"/>
      </w:pPr>
      <w:rPr>
        <w:rFonts w:hint="default"/>
      </w:rPr>
    </w:lvl>
    <w:lvl w:ilvl="5">
      <w:start w:val="1"/>
      <w:numFmt w:val="bullet"/>
      <w:lvlText w:val="•"/>
      <w:lvlJc w:val="left"/>
      <w:pPr>
        <w:ind w:left="4930" w:hanging="361"/>
      </w:pPr>
      <w:rPr>
        <w:rFonts w:hint="default"/>
      </w:rPr>
    </w:lvl>
    <w:lvl w:ilvl="6">
      <w:start w:val="1"/>
      <w:numFmt w:val="bullet"/>
      <w:lvlText w:val="•"/>
      <w:lvlJc w:val="left"/>
      <w:pPr>
        <w:ind w:left="5752" w:hanging="361"/>
      </w:pPr>
      <w:rPr>
        <w:rFonts w:hint="default"/>
      </w:rPr>
    </w:lvl>
    <w:lvl w:ilvl="7">
      <w:start w:val="1"/>
      <w:numFmt w:val="bullet"/>
      <w:lvlText w:val="•"/>
      <w:lvlJc w:val="left"/>
      <w:pPr>
        <w:ind w:left="6574" w:hanging="361"/>
      </w:pPr>
      <w:rPr>
        <w:rFonts w:hint="default"/>
      </w:rPr>
    </w:lvl>
    <w:lvl w:ilvl="8">
      <w:start w:val="1"/>
      <w:numFmt w:val="bullet"/>
      <w:lvlText w:val="•"/>
      <w:lvlJc w:val="left"/>
      <w:pPr>
        <w:ind w:left="7396" w:hanging="361"/>
      </w:pPr>
      <w:rPr>
        <w:rFonts w:hint="default"/>
      </w:rPr>
    </w:lvl>
  </w:abstractNum>
  <w:abstractNum w:abstractNumId="35">
    <w:multiLevelType w:val="hybridMultilevel"/>
    <w:lvl w:ilvl="0">
      <w:start w:val="1"/>
      <w:numFmt w:val="bullet"/>
      <w:lvlText w:val="•"/>
      <w:lvlJc w:val="left"/>
      <w:pPr>
        <w:ind w:left="219" w:hanging="116"/>
      </w:pPr>
      <w:rPr>
        <w:rFonts w:hint="default" w:ascii="Arial" w:hAnsi="Arial" w:eastAsia="Arial" w:cs="Arial"/>
        <w:w w:val="99"/>
        <w:sz w:val="18"/>
        <w:szCs w:val="18"/>
      </w:rPr>
    </w:lvl>
    <w:lvl w:ilvl="1">
      <w:start w:val="1"/>
      <w:numFmt w:val="bullet"/>
      <w:lvlText w:val="•"/>
      <w:lvlJc w:val="left"/>
      <w:pPr>
        <w:ind w:left="701" w:hanging="116"/>
      </w:pPr>
      <w:rPr>
        <w:rFonts w:hint="default"/>
      </w:rPr>
    </w:lvl>
    <w:lvl w:ilvl="2">
      <w:start w:val="1"/>
      <w:numFmt w:val="bullet"/>
      <w:lvlText w:val="•"/>
      <w:lvlJc w:val="left"/>
      <w:pPr>
        <w:ind w:left="1183" w:hanging="116"/>
      </w:pPr>
      <w:rPr>
        <w:rFonts w:hint="default"/>
      </w:rPr>
    </w:lvl>
    <w:lvl w:ilvl="3">
      <w:start w:val="1"/>
      <w:numFmt w:val="bullet"/>
      <w:lvlText w:val="•"/>
      <w:lvlJc w:val="left"/>
      <w:pPr>
        <w:ind w:left="1665" w:hanging="116"/>
      </w:pPr>
      <w:rPr>
        <w:rFonts w:hint="default"/>
      </w:rPr>
    </w:lvl>
    <w:lvl w:ilvl="4">
      <w:start w:val="1"/>
      <w:numFmt w:val="bullet"/>
      <w:lvlText w:val="•"/>
      <w:lvlJc w:val="left"/>
      <w:pPr>
        <w:ind w:left="2147" w:hanging="116"/>
      </w:pPr>
      <w:rPr>
        <w:rFonts w:hint="default"/>
      </w:rPr>
    </w:lvl>
    <w:lvl w:ilvl="5">
      <w:start w:val="1"/>
      <w:numFmt w:val="bullet"/>
      <w:lvlText w:val="•"/>
      <w:lvlJc w:val="left"/>
      <w:pPr>
        <w:ind w:left="2628" w:hanging="116"/>
      </w:pPr>
      <w:rPr>
        <w:rFonts w:hint="default"/>
      </w:rPr>
    </w:lvl>
    <w:lvl w:ilvl="6">
      <w:start w:val="1"/>
      <w:numFmt w:val="bullet"/>
      <w:lvlText w:val="•"/>
      <w:lvlJc w:val="left"/>
      <w:pPr>
        <w:ind w:left="3110" w:hanging="116"/>
      </w:pPr>
      <w:rPr>
        <w:rFonts w:hint="default"/>
      </w:rPr>
    </w:lvl>
    <w:lvl w:ilvl="7">
      <w:start w:val="1"/>
      <w:numFmt w:val="bullet"/>
      <w:lvlText w:val="•"/>
      <w:lvlJc w:val="left"/>
      <w:pPr>
        <w:ind w:left="3592" w:hanging="116"/>
      </w:pPr>
      <w:rPr>
        <w:rFonts w:hint="default"/>
      </w:rPr>
    </w:lvl>
    <w:lvl w:ilvl="8">
      <w:start w:val="1"/>
      <w:numFmt w:val="bullet"/>
      <w:lvlText w:val="•"/>
      <w:lvlJc w:val="left"/>
      <w:pPr>
        <w:ind w:left="4074" w:hanging="116"/>
      </w:pPr>
      <w:rPr>
        <w:rFonts w:hint="default"/>
      </w:rPr>
    </w:lvl>
  </w:abstractNum>
  <w:abstractNum w:abstractNumId="34">
    <w:multiLevelType w:val="hybridMultilevel"/>
    <w:lvl w:ilvl="0">
      <w:start w:val="1"/>
      <w:numFmt w:val="bullet"/>
      <w:lvlText w:val="•"/>
      <w:lvlJc w:val="left"/>
      <w:pPr>
        <w:ind w:left="104" w:hanging="116"/>
      </w:pPr>
      <w:rPr>
        <w:rFonts w:hint="default" w:ascii="Arial" w:hAnsi="Arial" w:eastAsia="Arial" w:cs="Arial"/>
        <w:w w:val="99"/>
        <w:sz w:val="18"/>
        <w:szCs w:val="18"/>
      </w:rPr>
    </w:lvl>
    <w:lvl w:ilvl="1">
      <w:start w:val="1"/>
      <w:numFmt w:val="bullet"/>
      <w:lvlText w:val="•"/>
      <w:lvlJc w:val="left"/>
      <w:pPr>
        <w:ind w:left="593" w:hanging="116"/>
      </w:pPr>
      <w:rPr>
        <w:rFonts w:hint="default"/>
      </w:rPr>
    </w:lvl>
    <w:lvl w:ilvl="2">
      <w:start w:val="1"/>
      <w:numFmt w:val="bullet"/>
      <w:lvlText w:val="•"/>
      <w:lvlJc w:val="left"/>
      <w:pPr>
        <w:ind w:left="1087" w:hanging="116"/>
      </w:pPr>
      <w:rPr>
        <w:rFonts w:hint="default"/>
      </w:rPr>
    </w:lvl>
    <w:lvl w:ilvl="3">
      <w:start w:val="1"/>
      <w:numFmt w:val="bullet"/>
      <w:lvlText w:val="•"/>
      <w:lvlJc w:val="left"/>
      <w:pPr>
        <w:ind w:left="1581" w:hanging="116"/>
      </w:pPr>
      <w:rPr>
        <w:rFonts w:hint="default"/>
      </w:rPr>
    </w:lvl>
    <w:lvl w:ilvl="4">
      <w:start w:val="1"/>
      <w:numFmt w:val="bullet"/>
      <w:lvlText w:val="•"/>
      <w:lvlJc w:val="left"/>
      <w:pPr>
        <w:ind w:left="2075" w:hanging="116"/>
      </w:pPr>
      <w:rPr>
        <w:rFonts w:hint="default"/>
      </w:rPr>
    </w:lvl>
    <w:lvl w:ilvl="5">
      <w:start w:val="1"/>
      <w:numFmt w:val="bullet"/>
      <w:lvlText w:val="•"/>
      <w:lvlJc w:val="left"/>
      <w:pPr>
        <w:ind w:left="2568" w:hanging="116"/>
      </w:pPr>
      <w:rPr>
        <w:rFonts w:hint="default"/>
      </w:rPr>
    </w:lvl>
    <w:lvl w:ilvl="6">
      <w:start w:val="1"/>
      <w:numFmt w:val="bullet"/>
      <w:lvlText w:val="•"/>
      <w:lvlJc w:val="left"/>
      <w:pPr>
        <w:ind w:left="3062" w:hanging="116"/>
      </w:pPr>
      <w:rPr>
        <w:rFonts w:hint="default"/>
      </w:rPr>
    </w:lvl>
    <w:lvl w:ilvl="7">
      <w:start w:val="1"/>
      <w:numFmt w:val="bullet"/>
      <w:lvlText w:val="•"/>
      <w:lvlJc w:val="left"/>
      <w:pPr>
        <w:ind w:left="3556" w:hanging="116"/>
      </w:pPr>
      <w:rPr>
        <w:rFonts w:hint="default"/>
      </w:rPr>
    </w:lvl>
    <w:lvl w:ilvl="8">
      <w:start w:val="1"/>
      <w:numFmt w:val="bullet"/>
      <w:lvlText w:val="•"/>
      <w:lvlJc w:val="left"/>
      <w:pPr>
        <w:ind w:left="4050" w:hanging="116"/>
      </w:pPr>
      <w:rPr>
        <w:rFonts w:hint="default"/>
      </w:rPr>
    </w:lvl>
  </w:abstractNum>
  <w:abstractNum w:abstractNumId="33">
    <w:multiLevelType w:val="hybridMultilevel"/>
    <w:lvl w:ilvl="0">
      <w:start w:val="1"/>
      <w:numFmt w:val="bullet"/>
      <w:lvlText w:val="•"/>
      <w:lvlJc w:val="left"/>
      <w:pPr>
        <w:ind w:left="104" w:hanging="116"/>
      </w:pPr>
      <w:rPr>
        <w:rFonts w:hint="default" w:ascii="Arial" w:hAnsi="Arial" w:eastAsia="Arial" w:cs="Arial"/>
        <w:w w:val="99"/>
        <w:sz w:val="18"/>
        <w:szCs w:val="18"/>
      </w:rPr>
    </w:lvl>
    <w:lvl w:ilvl="1">
      <w:start w:val="1"/>
      <w:numFmt w:val="bullet"/>
      <w:lvlText w:val="•"/>
      <w:lvlJc w:val="left"/>
      <w:pPr>
        <w:ind w:left="593" w:hanging="116"/>
      </w:pPr>
      <w:rPr>
        <w:rFonts w:hint="default"/>
      </w:rPr>
    </w:lvl>
    <w:lvl w:ilvl="2">
      <w:start w:val="1"/>
      <w:numFmt w:val="bullet"/>
      <w:lvlText w:val="•"/>
      <w:lvlJc w:val="left"/>
      <w:pPr>
        <w:ind w:left="1087" w:hanging="116"/>
      </w:pPr>
      <w:rPr>
        <w:rFonts w:hint="default"/>
      </w:rPr>
    </w:lvl>
    <w:lvl w:ilvl="3">
      <w:start w:val="1"/>
      <w:numFmt w:val="bullet"/>
      <w:lvlText w:val="•"/>
      <w:lvlJc w:val="left"/>
      <w:pPr>
        <w:ind w:left="1581" w:hanging="116"/>
      </w:pPr>
      <w:rPr>
        <w:rFonts w:hint="default"/>
      </w:rPr>
    </w:lvl>
    <w:lvl w:ilvl="4">
      <w:start w:val="1"/>
      <w:numFmt w:val="bullet"/>
      <w:lvlText w:val="•"/>
      <w:lvlJc w:val="left"/>
      <w:pPr>
        <w:ind w:left="2075" w:hanging="116"/>
      </w:pPr>
      <w:rPr>
        <w:rFonts w:hint="default"/>
      </w:rPr>
    </w:lvl>
    <w:lvl w:ilvl="5">
      <w:start w:val="1"/>
      <w:numFmt w:val="bullet"/>
      <w:lvlText w:val="•"/>
      <w:lvlJc w:val="left"/>
      <w:pPr>
        <w:ind w:left="2568" w:hanging="116"/>
      </w:pPr>
      <w:rPr>
        <w:rFonts w:hint="default"/>
      </w:rPr>
    </w:lvl>
    <w:lvl w:ilvl="6">
      <w:start w:val="1"/>
      <w:numFmt w:val="bullet"/>
      <w:lvlText w:val="•"/>
      <w:lvlJc w:val="left"/>
      <w:pPr>
        <w:ind w:left="3062" w:hanging="116"/>
      </w:pPr>
      <w:rPr>
        <w:rFonts w:hint="default"/>
      </w:rPr>
    </w:lvl>
    <w:lvl w:ilvl="7">
      <w:start w:val="1"/>
      <w:numFmt w:val="bullet"/>
      <w:lvlText w:val="•"/>
      <w:lvlJc w:val="left"/>
      <w:pPr>
        <w:ind w:left="3556" w:hanging="116"/>
      </w:pPr>
      <w:rPr>
        <w:rFonts w:hint="default"/>
      </w:rPr>
    </w:lvl>
    <w:lvl w:ilvl="8">
      <w:start w:val="1"/>
      <w:numFmt w:val="bullet"/>
      <w:lvlText w:val="•"/>
      <w:lvlJc w:val="left"/>
      <w:pPr>
        <w:ind w:left="4050" w:hanging="116"/>
      </w:pPr>
      <w:rPr>
        <w:rFonts w:hint="default"/>
      </w:rPr>
    </w:lvl>
  </w:abstractNum>
  <w:abstractNum w:abstractNumId="32">
    <w:multiLevelType w:val="hybridMultilevel"/>
    <w:lvl w:ilvl="0">
      <w:start w:val="1"/>
      <w:numFmt w:val="bullet"/>
      <w:lvlText w:val="•"/>
      <w:lvlJc w:val="left"/>
      <w:pPr>
        <w:ind w:left="219" w:hanging="116"/>
      </w:pPr>
      <w:rPr>
        <w:rFonts w:hint="default" w:ascii="Arial" w:hAnsi="Arial" w:eastAsia="Arial" w:cs="Arial"/>
        <w:w w:val="99"/>
        <w:sz w:val="18"/>
        <w:szCs w:val="18"/>
      </w:rPr>
    </w:lvl>
    <w:lvl w:ilvl="1">
      <w:start w:val="1"/>
      <w:numFmt w:val="bullet"/>
      <w:lvlText w:val="•"/>
      <w:lvlJc w:val="left"/>
      <w:pPr>
        <w:ind w:left="701" w:hanging="116"/>
      </w:pPr>
      <w:rPr>
        <w:rFonts w:hint="default"/>
      </w:rPr>
    </w:lvl>
    <w:lvl w:ilvl="2">
      <w:start w:val="1"/>
      <w:numFmt w:val="bullet"/>
      <w:lvlText w:val="•"/>
      <w:lvlJc w:val="left"/>
      <w:pPr>
        <w:ind w:left="1183" w:hanging="116"/>
      </w:pPr>
      <w:rPr>
        <w:rFonts w:hint="default"/>
      </w:rPr>
    </w:lvl>
    <w:lvl w:ilvl="3">
      <w:start w:val="1"/>
      <w:numFmt w:val="bullet"/>
      <w:lvlText w:val="•"/>
      <w:lvlJc w:val="left"/>
      <w:pPr>
        <w:ind w:left="1665" w:hanging="116"/>
      </w:pPr>
      <w:rPr>
        <w:rFonts w:hint="default"/>
      </w:rPr>
    </w:lvl>
    <w:lvl w:ilvl="4">
      <w:start w:val="1"/>
      <w:numFmt w:val="bullet"/>
      <w:lvlText w:val="•"/>
      <w:lvlJc w:val="left"/>
      <w:pPr>
        <w:ind w:left="2147" w:hanging="116"/>
      </w:pPr>
      <w:rPr>
        <w:rFonts w:hint="default"/>
      </w:rPr>
    </w:lvl>
    <w:lvl w:ilvl="5">
      <w:start w:val="1"/>
      <w:numFmt w:val="bullet"/>
      <w:lvlText w:val="•"/>
      <w:lvlJc w:val="left"/>
      <w:pPr>
        <w:ind w:left="2628" w:hanging="116"/>
      </w:pPr>
      <w:rPr>
        <w:rFonts w:hint="default"/>
      </w:rPr>
    </w:lvl>
    <w:lvl w:ilvl="6">
      <w:start w:val="1"/>
      <w:numFmt w:val="bullet"/>
      <w:lvlText w:val="•"/>
      <w:lvlJc w:val="left"/>
      <w:pPr>
        <w:ind w:left="3110" w:hanging="116"/>
      </w:pPr>
      <w:rPr>
        <w:rFonts w:hint="default"/>
      </w:rPr>
    </w:lvl>
    <w:lvl w:ilvl="7">
      <w:start w:val="1"/>
      <w:numFmt w:val="bullet"/>
      <w:lvlText w:val="•"/>
      <w:lvlJc w:val="left"/>
      <w:pPr>
        <w:ind w:left="3592" w:hanging="116"/>
      </w:pPr>
      <w:rPr>
        <w:rFonts w:hint="default"/>
      </w:rPr>
    </w:lvl>
    <w:lvl w:ilvl="8">
      <w:start w:val="1"/>
      <w:numFmt w:val="bullet"/>
      <w:lvlText w:val="•"/>
      <w:lvlJc w:val="left"/>
      <w:pPr>
        <w:ind w:left="4074" w:hanging="116"/>
      </w:pPr>
      <w:rPr>
        <w:rFonts w:hint="default"/>
      </w:rPr>
    </w:lvl>
  </w:abstractNum>
  <w:abstractNum w:abstractNumId="31">
    <w:multiLevelType w:val="hybridMultilevel"/>
    <w:lvl w:ilvl="0">
      <w:start w:val="3"/>
      <w:numFmt w:val="decimal"/>
      <w:lvlText w:val="%1"/>
      <w:lvlJc w:val="left"/>
      <w:pPr>
        <w:ind w:left="676" w:hanging="576"/>
        <w:jc w:val="left"/>
      </w:pPr>
      <w:rPr>
        <w:rFonts w:hint="default"/>
      </w:rPr>
    </w:lvl>
    <w:lvl w:ilvl="1">
      <w:start w:val="1"/>
      <w:numFmt w:val="decimal"/>
      <w:lvlText w:val="%1.%2."/>
      <w:lvlJc w:val="left"/>
      <w:pPr>
        <w:ind w:left="676" w:hanging="576"/>
        <w:jc w:val="left"/>
      </w:pPr>
      <w:rPr>
        <w:rFonts w:hint="default" w:ascii="Arial" w:hAnsi="Arial" w:eastAsia="Arial" w:cs="Arial"/>
        <w:spacing w:val="-2"/>
        <w:w w:val="100"/>
        <w:sz w:val="28"/>
        <w:szCs w:val="28"/>
      </w:rPr>
    </w:lvl>
    <w:lvl w:ilvl="2">
      <w:start w:val="1"/>
      <w:numFmt w:val="decimal"/>
      <w:lvlText w:val="%1.%2.%3."/>
      <w:lvlJc w:val="left"/>
      <w:pPr>
        <w:ind w:left="821" w:hanging="721"/>
        <w:jc w:val="right"/>
      </w:pPr>
      <w:rPr>
        <w:rFonts w:hint="default" w:ascii="Arial" w:hAnsi="Arial" w:eastAsia="Arial" w:cs="Arial"/>
        <w:spacing w:val="-2"/>
        <w:w w:val="100"/>
        <w:sz w:val="28"/>
        <w:szCs w:val="28"/>
      </w:rPr>
    </w:lvl>
    <w:lvl w:ilvl="3">
      <w:start w:val="1"/>
      <w:numFmt w:val="bullet"/>
      <w:lvlText w:val=""/>
      <w:lvlJc w:val="left"/>
      <w:pPr>
        <w:ind w:left="821" w:hanging="361"/>
      </w:pPr>
      <w:rPr>
        <w:rFonts w:hint="default" w:ascii="Wingdings" w:hAnsi="Wingdings" w:eastAsia="Wingdings" w:cs="Wingdings"/>
        <w:w w:val="100"/>
        <w:sz w:val="24"/>
        <w:szCs w:val="24"/>
      </w:rPr>
    </w:lvl>
    <w:lvl w:ilvl="4">
      <w:start w:val="1"/>
      <w:numFmt w:val="bullet"/>
      <w:lvlText w:val="•"/>
      <w:lvlJc w:val="left"/>
      <w:pPr>
        <w:ind w:left="2935" w:hanging="361"/>
      </w:pPr>
      <w:rPr>
        <w:rFonts w:hint="default"/>
      </w:rPr>
    </w:lvl>
    <w:lvl w:ilvl="5">
      <w:start w:val="1"/>
      <w:numFmt w:val="bullet"/>
      <w:lvlText w:val="•"/>
      <w:lvlJc w:val="left"/>
      <w:pPr>
        <w:ind w:left="3952" w:hanging="361"/>
      </w:pPr>
      <w:rPr>
        <w:rFonts w:hint="default"/>
      </w:rPr>
    </w:lvl>
    <w:lvl w:ilvl="6">
      <w:start w:val="1"/>
      <w:numFmt w:val="bullet"/>
      <w:lvlText w:val="•"/>
      <w:lvlJc w:val="left"/>
      <w:pPr>
        <w:ind w:left="4970" w:hanging="361"/>
      </w:pPr>
      <w:rPr>
        <w:rFonts w:hint="default"/>
      </w:rPr>
    </w:lvl>
    <w:lvl w:ilvl="7">
      <w:start w:val="1"/>
      <w:numFmt w:val="bullet"/>
      <w:lvlText w:val="•"/>
      <w:lvlJc w:val="left"/>
      <w:pPr>
        <w:ind w:left="5987" w:hanging="361"/>
      </w:pPr>
      <w:rPr>
        <w:rFonts w:hint="default"/>
      </w:rPr>
    </w:lvl>
    <w:lvl w:ilvl="8">
      <w:start w:val="1"/>
      <w:numFmt w:val="bullet"/>
      <w:lvlText w:val="•"/>
      <w:lvlJc w:val="left"/>
      <w:pPr>
        <w:ind w:left="7005" w:hanging="361"/>
      </w:pPr>
      <w:rPr>
        <w:rFonts w:hint="default"/>
      </w:rPr>
    </w:lvl>
  </w:abstractNum>
  <w:abstractNum w:abstractNumId="30">
    <w:multiLevelType w:val="hybridMultilevel"/>
    <w:lvl w:ilvl="0">
      <w:start w:val="1"/>
      <w:numFmt w:val="bullet"/>
      <w:lvlText w:val=""/>
      <w:lvlJc w:val="left"/>
      <w:pPr>
        <w:ind w:left="701" w:hanging="361"/>
      </w:pPr>
      <w:rPr>
        <w:rFonts w:hint="default" w:ascii="Wingdings" w:hAnsi="Wingdings" w:eastAsia="Wingdings" w:cs="Wingdings"/>
        <w:w w:val="100"/>
        <w:sz w:val="24"/>
        <w:szCs w:val="24"/>
      </w:rPr>
    </w:lvl>
    <w:lvl w:ilvl="1">
      <w:start w:val="1"/>
      <w:numFmt w:val="bullet"/>
      <w:lvlText w:val=""/>
      <w:lvlJc w:val="left"/>
      <w:pPr>
        <w:ind w:left="821" w:hanging="361"/>
      </w:pPr>
      <w:rPr>
        <w:rFonts w:hint="default" w:ascii="Wingdings" w:hAnsi="Wingdings" w:eastAsia="Wingdings" w:cs="Wingdings"/>
        <w:w w:val="100"/>
        <w:sz w:val="24"/>
        <w:szCs w:val="24"/>
      </w:rPr>
    </w:lvl>
    <w:lvl w:ilvl="2">
      <w:start w:val="1"/>
      <w:numFmt w:val="bullet"/>
      <w:lvlText w:val="•"/>
      <w:lvlJc w:val="left"/>
      <w:pPr>
        <w:ind w:left="1720" w:hanging="361"/>
      </w:pPr>
      <w:rPr>
        <w:rFonts w:hint="default"/>
      </w:rPr>
    </w:lvl>
    <w:lvl w:ilvl="3">
      <w:start w:val="1"/>
      <w:numFmt w:val="bullet"/>
      <w:lvlText w:val="•"/>
      <w:lvlJc w:val="left"/>
      <w:pPr>
        <w:ind w:left="2620" w:hanging="361"/>
      </w:pPr>
      <w:rPr>
        <w:rFonts w:hint="default"/>
      </w:rPr>
    </w:lvl>
    <w:lvl w:ilvl="4">
      <w:start w:val="1"/>
      <w:numFmt w:val="bullet"/>
      <w:lvlText w:val="•"/>
      <w:lvlJc w:val="left"/>
      <w:pPr>
        <w:ind w:left="3520" w:hanging="361"/>
      </w:pPr>
      <w:rPr>
        <w:rFonts w:hint="default"/>
      </w:rPr>
    </w:lvl>
    <w:lvl w:ilvl="5">
      <w:start w:val="1"/>
      <w:numFmt w:val="bullet"/>
      <w:lvlText w:val="•"/>
      <w:lvlJc w:val="left"/>
      <w:pPr>
        <w:ind w:left="4420" w:hanging="361"/>
      </w:pPr>
      <w:rPr>
        <w:rFonts w:hint="default"/>
      </w:rPr>
    </w:lvl>
    <w:lvl w:ilvl="6">
      <w:start w:val="1"/>
      <w:numFmt w:val="bullet"/>
      <w:lvlText w:val="•"/>
      <w:lvlJc w:val="left"/>
      <w:pPr>
        <w:ind w:left="5320" w:hanging="361"/>
      </w:pPr>
      <w:rPr>
        <w:rFonts w:hint="default"/>
      </w:rPr>
    </w:lvl>
    <w:lvl w:ilvl="7">
      <w:start w:val="1"/>
      <w:numFmt w:val="bullet"/>
      <w:lvlText w:val="•"/>
      <w:lvlJc w:val="left"/>
      <w:pPr>
        <w:ind w:left="6220" w:hanging="361"/>
      </w:pPr>
      <w:rPr>
        <w:rFonts w:hint="default"/>
      </w:rPr>
    </w:lvl>
    <w:lvl w:ilvl="8">
      <w:start w:val="1"/>
      <w:numFmt w:val="bullet"/>
      <w:lvlText w:val="•"/>
      <w:lvlJc w:val="left"/>
      <w:pPr>
        <w:ind w:left="7120" w:hanging="361"/>
      </w:pPr>
      <w:rPr>
        <w:rFonts w:hint="default"/>
      </w:rPr>
    </w:lvl>
  </w:abstractNum>
  <w:abstractNum w:abstractNumId="29">
    <w:multiLevelType w:val="hybridMultilevel"/>
    <w:lvl w:ilvl="0">
      <w:start w:val="2"/>
      <w:numFmt w:val="decimal"/>
      <w:lvlText w:val="%1"/>
      <w:lvlJc w:val="left"/>
      <w:pPr>
        <w:ind w:left="676" w:hanging="576"/>
        <w:jc w:val="left"/>
      </w:pPr>
      <w:rPr>
        <w:rFonts w:hint="default"/>
      </w:rPr>
    </w:lvl>
    <w:lvl w:ilvl="1">
      <w:start w:val="8"/>
      <w:numFmt w:val="decimal"/>
      <w:lvlText w:val="%1.%2."/>
      <w:lvlJc w:val="left"/>
      <w:pPr>
        <w:ind w:left="676" w:hanging="576"/>
        <w:jc w:val="left"/>
      </w:pPr>
      <w:rPr>
        <w:rFonts w:hint="default" w:ascii="Arial" w:hAnsi="Arial" w:eastAsia="Arial" w:cs="Arial"/>
        <w:spacing w:val="-2"/>
        <w:w w:val="100"/>
        <w:sz w:val="28"/>
        <w:szCs w:val="28"/>
      </w:rPr>
    </w:lvl>
    <w:lvl w:ilvl="2">
      <w:start w:val="1"/>
      <w:numFmt w:val="bullet"/>
      <w:lvlText w:val=""/>
      <w:lvlJc w:val="left"/>
      <w:pPr>
        <w:ind w:left="821" w:hanging="361"/>
      </w:pPr>
      <w:rPr>
        <w:rFonts w:hint="default" w:ascii="Wingdings" w:hAnsi="Wingdings" w:eastAsia="Wingdings" w:cs="Wingdings"/>
        <w:w w:val="100"/>
        <w:sz w:val="24"/>
        <w:szCs w:val="24"/>
      </w:rPr>
    </w:lvl>
    <w:lvl w:ilvl="3">
      <w:start w:val="1"/>
      <w:numFmt w:val="bullet"/>
      <w:lvlText w:val="•"/>
      <w:lvlJc w:val="left"/>
      <w:pPr>
        <w:ind w:left="2651" w:hanging="361"/>
      </w:pPr>
      <w:rPr>
        <w:rFonts w:hint="default"/>
      </w:rPr>
    </w:lvl>
    <w:lvl w:ilvl="4">
      <w:start w:val="1"/>
      <w:numFmt w:val="bullet"/>
      <w:lvlText w:val="•"/>
      <w:lvlJc w:val="left"/>
      <w:pPr>
        <w:ind w:left="3566" w:hanging="361"/>
      </w:pPr>
      <w:rPr>
        <w:rFonts w:hint="default"/>
      </w:rPr>
    </w:lvl>
    <w:lvl w:ilvl="5">
      <w:start w:val="1"/>
      <w:numFmt w:val="bullet"/>
      <w:lvlText w:val="•"/>
      <w:lvlJc w:val="left"/>
      <w:pPr>
        <w:ind w:left="4482" w:hanging="361"/>
      </w:pPr>
      <w:rPr>
        <w:rFonts w:hint="default"/>
      </w:rPr>
    </w:lvl>
    <w:lvl w:ilvl="6">
      <w:start w:val="1"/>
      <w:numFmt w:val="bullet"/>
      <w:lvlText w:val="•"/>
      <w:lvlJc w:val="left"/>
      <w:pPr>
        <w:ind w:left="5397" w:hanging="361"/>
      </w:pPr>
      <w:rPr>
        <w:rFonts w:hint="default"/>
      </w:rPr>
    </w:lvl>
    <w:lvl w:ilvl="7">
      <w:start w:val="1"/>
      <w:numFmt w:val="bullet"/>
      <w:lvlText w:val="•"/>
      <w:lvlJc w:val="left"/>
      <w:pPr>
        <w:ind w:left="6313" w:hanging="361"/>
      </w:pPr>
      <w:rPr>
        <w:rFonts w:hint="default"/>
      </w:rPr>
    </w:lvl>
    <w:lvl w:ilvl="8">
      <w:start w:val="1"/>
      <w:numFmt w:val="bullet"/>
      <w:lvlText w:val="•"/>
      <w:lvlJc w:val="left"/>
      <w:pPr>
        <w:ind w:left="7228" w:hanging="361"/>
      </w:pPr>
      <w:rPr>
        <w:rFonts w:hint="default"/>
      </w:rPr>
    </w:lvl>
  </w:abstractNum>
  <w:abstractNum w:abstractNumId="28">
    <w:multiLevelType w:val="hybridMultilevel"/>
    <w:lvl w:ilvl="0">
      <w:start w:val="1"/>
      <w:numFmt w:val="bullet"/>
      <w:lvlText w:val="•"/>
      <w:lvlJc w:val="left"/>
      <w:pPr>
        <w:ind w:left="100" w:hanging="172"/>
      </w:pPr>
      <w:rPr>
        <w:rFonts w:hint="default" w:ascii="Arial" w:hAnsi="Arial" w:eastAsia="Arial" w:cs="Arial"/>
        <w:w w:val="99"/>
        <w:sz w:val="24"/>
        <w:szCs w:val="24"/>
      </w:rPr>
    </w:lvl>
    <w:lvl w:ilvl="1">
      <w:start w:val="1"/>
      <w:numFmt w:val="bullet"/>
      <w:lvlText w:val=""/>
      <w:lvlJc w:val="left"/>
      <w:pPr>
        <w:ind w:left="821" w:hanging="361"/>
      </w:pPr>
      <w:rPr>
        <w:rFonts w:hint="default" w:ascii="Symbol" w:hAnsi="Symbol" w:eastAsia="Symbol" w:cs="Symbol"/>
        <w:w w:val="100"/>
        <w:sz w:val="24"/>
        <w:szCs w:val="24"/>
      </w:rPr>
    </w:lvl>
    <w:lvl w:ilvl="2">
      <w:start w:val="1"/>
      <w:numFmt w:val="bullet"/>
      <w:lvlText w:val="•"/>
      <w:lvlJc w:val="left"/>
      <w:pPr>
        <w:ind w:left="1735" w:hanging="361"/>
      </w:pPr>
      <w:rPr>
        <w:rFonts w:hint="default"/>
      </w:rPr>
    </w:lvl>
    <w:lvl w:ilvl="3">
      <w:start w:val="1"/>
      <w:numFmt w:val="bullet"/>
      <w:lvlText w:val="•"/>
      <w:lvlJc w:val="left"/>
      <w:pPr>
        <w:ind w:left="2651" w:hanging="361"/>
      </w:pPr>
      <w:rPr>
        <w:rFonts w:hint="default"/>
      </w:rPr>
    </w:lvl>
    <w:lvl w:ilvl="4">
      <w:start w:val="1"/>
      <w:numFmt w:val="bullet"/>
      <w:lvlText w:val="•"/>
      <w:lvlJc w:val="left"/>
      <w:pPr>
        <w:ind w:left="3566" w:hanging="361"/>
      </w:pPr>
      <w:rPr>
        <w:rFonts w:hint="default"/>
      </w:rPr>
    </w:lvl>
    <w:lvl w:ilvl="5">
      <w:start w:val="1"/>
      <w:numFmt w:val="bullet"/>
      <w:lvlText w:val="•"/>
      <w:lvlJc w:val="left"/>
      <w:pPr>
        <w:ind w:left="4482" w:hanging="361"/>
      </w:pPr>
      <w:rPr>
        <w:rFonts w:hint="default"/>
      </w:rPr>
    </w:lvl>
    <w:lvl w:ilvl="6">
      <w:start w:val="1"/>
      <w:numFmt w:val="bullet"/>
      <w:lvlText w:val="•"/>
      <w:lvlJc w:val="left"/>
      <w:pPr>
        <w:ind w:left="5397" w:hanging="361"/>
      </w:pPr>
      <w:rPr>
        <w:rFonts w:hint="default"/>
      </w:rPr>
    </w:lvl>
    <w:lvl w:ilvl="7">
      <w:start w:val="1"/>
      <w:numFmt w:val="bullet"/>
      <w:lvlText w:val="•"/>
      <w:lvlJc w:val="left"/>
      <w:pPr>
        <w:ind w:left="6313" w:hanging="361"/>
      </w:pPr>
      <w:rPr>
        <w:rFonts w:hint="default"/>
      </w:rPr>
    </w:lvl>
    <w:lvl w:ilvl="8">
      <w:start w:val="1"/>
      <w:numFmt w:val="bullet"/>
      <w:lvlText w:val="•"/>
      <w:lvlJc w:val="left"/>
      <w:pPr>
        <w:ind w:left="7228" w:hanging="361"/>
      </w:pPr>
      <w:rPr>
        <w:rFonts w:hint="default"/>
      </w:rPr>
    </w:lvl>
  </w:abstractNum>
  <w:abstractNum w:abstractNumId="27">
    <w:multiLevelType w:val="hybridMultilevel"/>
    <w:lvl w:ilvl="0">
      <w:start w:val="1"/>
      <w:numFmt w:val="bullet"/>
      <w:lvlText w:val="•"/>
      <w:lvlJc w:val="left"/>
      <w:pPr>
        <w:ind w:left="100" w:hanging="180"/>
      </w:pPr>
      <w:rPr>
        <w:rFonts w:hint="default" w:ascii="Arial" w:hAnsi="Arial" w:eastAsia="Arial" w:cs="Arial"/>
        <w:b/>
        <w:bCs/>
        <w:w w:val="99"/>
        <w:sz w:val="24"/>
        <w:szCs w:val="24"/>
      </w:rPr>
    </w:lvl>
    <w:lvl w:ilvl="1">
      <w:start w:val="1"/>
      <w:numFmt w:val="bullet"/>
      <w:lvlText w:val="•"/>
      <w:lvlJc w:val="left"/>
      <w:pPr>
        <w:ind w:left="996" w:hanging="180"/>
      </w:pPr>
      <w:rPr>
        <w:rFonts w:hint="default"/>
      </w:rPr>
    </w:lvl>
    <w:lvl w:ilvl="2">
      <w:start w:val="1"/>
      <w:numFmt w:val="bullet"/>
      <w:lvlText w:val="•"/>
      <w:lvlJc w:val="left"/>
      <w:pPr>
        <w:ind w:left="1892" w:hanging="180"/>
      </w:pPr>
      <w:rPr>
        <w:rFonts w:hint="default"/>
      </w:rPr>
    </w:lvl>
    <w:lvl w:ilvl="3">
      <w:start w:val="1"/>
      <w:numFmt w:val="bullet"/>
      <w:lvlText w:val="•"/>
      <w:lvlJc w:val="left"/>
      <w:pPr>
        <w:ind w:left="2788" w:hanging="180"/>
      </w:pPr>
      <w:rPr>
        <w:rFonts w:hint="default"/>
      </w:rPr>
    </w:lvl>
    <w:lvl w:ilvl="4">
      <w:start w:val="1"/>
      <w:numFmt w:val="bullet"/>
      <w:lvlText w:val="•"/>
      <w:lvlJc w:val="left"/>
      <w:pPr>
        <w:ind w:left="3684" w:hanging="180"/>
      </w:pPr>
      <w:rPr>
        <w:rFonts w:hint="default"/>
      </w:rPr>
    </w:lvl>
    <w:lvl w:ilvl="5">
      <w:start w:val="1"/>
      <w:numFmt w:val="bullet"/>
      <w:lvlText w:val="•"/>
      <w:lvlJc w:val="left"/>
      <w:pPr>
        <w:ind w:left="4580" w:hanging="180"/>
      </w:pPr>
      <w:rPr>
        <w:rFonts w:hint="default"/>
      </w:rPr>
    </w:lvl>
    <w:lvl w:ilvl="6">
      <w:start w:val="1"/>
      <w:numFmt w:val="bullet"/>
      <w:lvlText w:val="•"/>
      <w:lvlJc w:val="left"/>
      <w:pPr>
        <w:ind w:left="5476" w:hanging="180"/>
      </w:pPr>
      <w:rPr>
        <w:rFonts w:hint="default"/>
      </w:rPr>
    </w:lvl>
    <w:lvl w:ilvl="7">
      <w:start w:val="1"/>
      <w:numFmt w:val="bullet"/>
      <w:lvlText w:val="•"/>
      <w:lvlJc w:val="left"/>
      <w:pPr>
        <w:ind w:left="6372" w:hanging="180"/>
      </w:pPr>
      <w:rPr>
        <w:rFonts w:hint="default"/>
      </w:rPr>
    </w:lvl>
    <w:lvl w:ilvl="8">
      <w:start w:val="1"/>
      <w:numFmt w:val="bullet"/>
      <w:lvlText w:val="•"/>
      <w:lvlJc w:val="left"/>
      <w:pPr>
        <w:ind w:left="7268" w:hanging="180"/>
      </w:pPr>
      <w:rPr>
        <w:rFonts w:hint="default"/>
      </w:rPr>
    </w:lvl>
  </w:abstractNum>
  <w:abstractNum w:abstractNumId="26">
    <w:multiLevelType w:val="hybridMultilevel"/>
    <w:lvl w:ilvl="0">
      <w:start w:val="1"/>
      <w:numFmt w:val="decimal"/>
      <w:lvlText w:val="%1."/>
      <w:lvlJc w:val="left"/>
      <w:pPr>
        <w:ind w:left="821" w:hanging="361"/>
        <w:jc w:val="left"/>
      </w:pPr>
      <w:rPr>
        <w:rFonts w:hint="default" w:ascii="Arial" w:hAnsi="Arial" w:eastAsia="Arial" w:cs="Arial"/>
        <w:spacing w:val="-28"/>
        <w:w w:val="99"/>
        <w:sz w:val="24"/>
        <w:szCs w:val="24"/>
      </w:rPr>
    </w:lvl>
    <w:lvl w:ilvl="1">
      <w:start w:val="1"/>
      <w:numFmt w:val="bullet"/>
      <w:lvlText w:val="•"/>
      <w:lvlJc w:val="left"/>
      <w:pPr>
        <w:ind w:left="2260" w:hanging="361"/>
      </w:pPr>
      <w:rPr>
        <w:rFonts w:hint="default"/>
      </w:rPr>
    </w:lvl>
    <w:lvl w:ilvl="2">
      <w:start w:val="1"/>
      <w:numFmt w:val="bullet"/>
      <w:lvlText w:val="•"/>
      <w:lvlJc w:val="left"/>
      <w:pPr>
        <w:ind w:left="3000" w:hanging="361"/>
      </w:pPr>
      <w:rPr>
        <w:rFonts w:hint="default"/>
      </w:rPr>
    </w:lvl>
    <w:lvl w:ilvl="3">
      <w:start w:val="1"/>
      <w:numFmt w:val="bullet"/>
      <w:lvlText w:val="•"/>
      <w:lvlJc w:val="left"/>
      <w:pPr>
        <w:ind w:left="3740" w:hanging="361"/>
      </w:pPr>
      <w:rPr>
        <w:rFonts w:hint="default"/>
      </w:rPr>
    </w:lvl>
    <w:lvl w:ilvl="4">
      <w:start w:val="1"/>
      <w:numFmt w:val="bullet"/>
      <w:lvlText w:val="•"/>
      <w:lvlJc w:val="left"/>
      <w:pPr>
        <w:ind w:left="4480" w:hanging="361"/>
      </w:pPr>
      <w:rPr>
        <w:rFonts w:hint="default"/>
      </w:rPr>
    </w:lvl>
    <w:lvl w:ilvl="5">
      <w:start w:val="1"/>
      <w:numFmt w:val="bullet"/>
      <w:lvlText w:val="•"/>
      <w:lvlJc w:val="left"/>
      <w:pPr>
        <w:ind w:left="5220" w:hanging="361"/>
      </w:pPr>
      <w:rPr>
        <w:rFonts w:hint="default"/>
      </w:rPr>
    </w:lvl>
    <w:lvl w:ilvl="6">
      <w:start w:val="1"/>
      <w:numFmt w:val="bullet"/>
      <w:lvlText w:val="•"/>
      <w:lvlJc w:val="left"/>
      <w:pPr>
        <w:ind w:left="5960" w:hanging="361"/>
      </w:pPr>
      <w:rPr>
        <w:rFonts w:hint="default"/>
      </w:rPr>
    </w:lvl>
    <w:lvl w:ilvl="7">
      <w:start w:val="1"/>
      <w:numFmt w:val="bullet"/>
      <w:lvlText w:val="•"/>
      <w:lvlJc w:val="left"/>
      <w:pPr>
        <w:ind w:left="6700" w:hanging="361"/>
      </w:pPr>
      <w:rPr>
        <w:rFonts w:hint="default"/>
      </w:rPr>
    </w:lvl>
    <w:lvl w:ilvl="8">
      <w:start w:val="1"/>
      <w:numFmt w:val="bullet"/>
      <w:lvlText w:val="•"/>
      <w:lvlJc w:val="left"/>
      <w:pPr>
        <w:ind w:left="7440" w:hanging="361"/>
      </w:pPr>
      <w:rPr>
        <w:rFonts w:hint="default"/>
      </w:rPr>
    </w:lvl>
  </w:abstractNum>
  <w:abstractNum w:abstractNumId="25">
    <w:multiLevelType w:val="hybridMultilevel"/>
    <w:lvl w:ilvl="0">
      <w:start w:val="2"/>
      <w:numFmt w:val="decimal"/>
      <w:lvlText w:val="%1"/>
      <w:lvlJc w:val="left"/>
      <w:pPr>
        <w:ind w:left="821" w:hanging="797"/>
        <w:jc w:val="left"/>
      </w:pPr>
      <w:rPr>
        <w:rFonts w:hint="default"/>
      </w:rPr>
    </w:lvl>
    <w:lvl w:ilvl="1">
      <w:start w:val="7"/>
      <w:numFmt w:val="decimal"/>
      <w:lvlText w:val="%1.%2"/>
      <w:lvlJc w:val="left"/>
      <w:pPr>
        <w:ind w:left="821" w:hanging="797"/>
        <w:jc w:val="left"/>
      </w:pPr>
      <w:rPr>
        <w:rFonts w:hint="default"/>
      </w:rPr>
    </w:lvl>
    <w:lvl w:ilvl="2">
      <w:start w:val="1"/>
      <w:numFmt w:val="decimal"/>
      <w:lvlText w:val="%1.%2.%3."/>
      <w:lvlJc w:val="left"/>
      <w:pPr>
        <w:ind w:left="821" w:hanging="797"/>
        <w:jc w:val="left"/>
      </w:pPr>
      <w:rPr>
        <w:rFonts w:hint="default" w:ascii="Arial" w:hAnsi="Arial" w:eastAsia="Arial" w:cs="Arial"/>
        <w:spacing w:val="-2"/>
        <w:w w:val="100"/>
        <w:sz w:val="28"/>
        <w:szCs w:val="28"/>
      </w:rPr>
    </w:lvl>
    <w:lvl w:ilvl="3">
      <w:start w:val="1"/>
      <w:numFmt w:val="decimal"/>
      <w:lvlText w:val="%1.%2.%3.%4."/>
      <w:lvlJc w:val="left"/>
      <w:pPr>
        <w:ind w:left="1593" w:hanging="1493"/>
        <w:jc w:val="left"/>
      </w:pPr>
      <w:rPr>
        <w:rFonts w:hint="default" w:ascii="Arial" w:hAnsi="Arial" w:eastAsia="Arial" w:cs="Arial"/>
        <w:spacing w:val="-2"/>
        <w:w w:val="99"/>
        <w:sz w:val="28"/>
        <w:szCs w:val="28"/>
      </w:rPr>
    </w:lvl>
    <w:lvl w:ilvl="4">
      <w:start w:val="1"/>
      <w:numFmt w:val="bullet"/>
      <w:lvlText w:val=""/>
      <w:lvlJc w:val="left"/>
      <w:pPr>
        <w:ind w:left="821" w:hanging="361"/>
      </w:pPr>
      <w:rPr>
        <w:rFonts w:hint="default" w:ascii="Symbol" w:hAnsi="Symbol" w:eastAsia="Symbol" w:cs="Symbol"/>
        <w:w w:val="100"/>
        <w:sz w:val="20"/>
        <w:szCs w:val="20"/>
      </w:rPr>
    </w:lvl>
    <w:lvl w:ilvl="5">
      <w:start w:val="1"/>
      <w:numFmt w:val="bullet"/>
      <w:lvlText w:val="•"/>
      <w:lvlJc w:val="left"/>
      <w:pPr>
        <w:ind w:left="4906" w:hanging="361"/>
      </w:pPr>
      <w:rPr>
        <w:rFonts w:hint="default"/>
      </w:rPr>
    </w:lvl>
    <w:lvl w:ilvl="6">
      <w:start w:val="1"/>
      <w:numFmt w:val="bullet"/>
      <w:lvlText w:val="•"/>
      <w:lvlJc w:val="left"/>
      <w:pPr>
        <w:ind w:left="5733" w:hanging="361"/>
      </w:pPr>
      <w:rPr>
        <w:rFonts w:hint="default"/>
      </w:rPr>
    </w:lvl>
    <w:lvl w:ilvl="7">
      <w:start w:val="1"/>
      <w:numFmt w:val="bullet"/>
      <w:lvlText w:val="•"/>
      <w:lvlJc w:val="left"/>
      <w:pPr>
        <w:ind w:left="6560" w:hanging="361"/>
      </w:pPr>
      <w:rPr>
        <w:rFonts w:hint="default"/>
      </w:rPr>
    </w:lvl>
    <w:lvl w:ilvl="8">
      <w:start w:val="1"/>
      <w:numFmt w:val="bullet"/>
      <w:lvlText w:val="•"/>
      <w:lvlJc w:val="left"/>
      <w:pPr>
        <w:ind w:left="7386" w:hanging="361"/>
      </w:pPr>
      <w:rPr>
        <w:rFonts w:hint="default"/>
      </w:rPr>
    </w:lvl>
  </w:abstractNum>
  <w:abstractNum w:abstractNumId="24">
    <w:multiLevelType w:val="hybridMultilevel"/>
    <w:lvl w:ilvl="0">
      <w:start w:val="1"/>
      <w:numFmt w:val="bullet"/>
      <w:lvlText w:val=""/>
      <w:lvlJc w:val="left"/>
      <w:pPr>
        <w:ind w:left="821" w:hanging="361"/>
      </w:pPr>
      <w:rPr>
        <w:rFonts w:hint="default" w:ascii="Wingdings" w:hAnsi="Wingdings" w:eastAsia="Wingdings" w:cs="Wingdings"/>
        <w:w w:val="99"/>
        <w:sz w:val="24"/>
        <w:szCs w:val="24"/>
      </w:rPr>
    </w:lvl>
    <w:lvl w:ilvl="1">
      <w:start w:val="1"/>
      <w:numFmt w:val="bullet"/>
      <w:lvlText w:val="•"/>
      <w:lvlJc w:val="left"/>
      <w:pPr>
        <w:ind w:left="1644" w:hanging="361"/>
      </w:pPr>
      <w:rPr>
        <w:rFonts w:hint="default"/>
      </w:rPr>
    </w:lvl>
    <w:lvl w:ilvl="2">
      <w:start w:val="1"/>
      <w:numFmt w:val="bullet"/>
      <w:lvlText w:val="•"/>
      <w:lvlJc w:val="left"/>
      <w:pPr>
        <w:ind w:left="2468" w:hanging="361"/>
      </w:pPr>
      <w:rPr>
        <w:rFonts w:hint="default"/>
      </w:rPr>
    </w:lvl>
    <w:lvl w:ilvl="3">
      <w:start w:val="1"/>
      <w:numFmt w:val="bullet"/>
      <w:lvlText w:val="•"/>
      <w:lvlJc w:val="left"/>
      <w:pPr>
        <w:ind w:left="3292" w:hanging="361"/>
      </w:pPr>
      <w:rPr>
        <w:rFonts w:hint="default"/>
      </w:rPr>
    </w:lvl>
    <w:lvl w:ilvl="4">
      <w:start w:val="1"/>
      <w:numFmt w:val="bullet"/>
      <w:lvlText w:val="•"/>
      <w:lvlJc w:val="left"/>
      <w:pPr>
        <w:ind w:left="4116" w:hanging="361"/>
      </w:pPr>
      <w:rPr>
        <w:rFonts w:hint="default"/>
      </w:rPr>
    </w:lvl>
    <w:lvl w:ilvl="5">
      <w:start w:val="1"/>
      <w:numFmt w:val="bullet"/>
      <w:lvlText w:val="•"/>
      <w:lvlJc w:val="left"/>
      <w:pPr>
        <w:ind w:left="4940" w:hanging="361"/>
      </w:pPr>
      <w:rPr>
        <w:rFonts w:hint="default"/>
      </w:rPr>
    </w:lvl>
    <w:lvl w:ilvl="6">
      <w:start w:val="1"/>
      <w:numFmt w:val="bullet"/>
      <w:lvlText w:val="•"/>
      <w:lvlJc w:val="left"/>
      <w:pPr>
        <w:ind w:left="5764" w:hanging="361"/>
      </w:pPr>
      <w:rPr>
        <w:rFonts w:hint="default"/>
      </w:rPr>
    </w:lvl>
    <w:lvl w:ilvl="7">
      <w:start w:val="1"/>
      <w:numFmt w:val="bullet"/>
      <w:lvlText w:val="•"/>
      <w:lvlJc w:val="left"/>
      <w:pPr>
        <w:ind w:left="6588" w:hanging="361"/>
      </w:pPr>
      <w:rPr>
        <w:rFonts w:hint="default"/>
      </w:rPr>
    </w:lvl>
    <w:lvl w:ilvl="8">
      <w:start w:val="1"/>
      <w:numFmt w:val="bullet"/>
      <w:lvlText w:val="•"/>
      <w:lvlJc w:val="left"/>
      <w:pPr>
        <w:ind w:left="7412" w:hanging="361"/>
      </w:pPr>
      <w:rPr>
        <w:rFonts w:hint="default"/>
      </w:rPr>
    </w:lvl>
  </w:abstractNum>
  <w:abstractNum w:abstractNumId="23">
    <w:multiLevelType w:val="hybridMultilevel"/>
    <w:lvl w:ilvl="0">
      <w:start w:val="1"/>
      <w:numFmt w:val="bullet"/>
      <w:lvlText w:val="o"/>
      <w:lvlJc w:val="left"/>
      <w:pPr>
        <w:ind w:left="821" w:hanging="361"/>
      </w:pPr>
      <w:rPr>
        <w:rFonts w:hint="default" w:ascii="Courier New" w:hAnsi="Courier New" w:eastAsia="Courier New" w:cs="Courier New"/>
        <w:spacing w:val="-72"/>
        <w:w w:val="99"/>
        <w:sz w:val="24"/>
        <w:szCs w:val="24"/>
      </w:rPr>
    </w:lvl>
    <w:lvl w:ilvl="1">
      <w:start w:val="1"/>
      <w:numFmt w:val="bullet"/>
      <w:lvlText w:val="•"/>
      <w:lvlJc w:val="left"/>
      <w:pPr>
        <w:ind w:left="1644" w:hanging="361"/>
      </w:pPr>
      <w:rPr>
        <w:rFonts w:hint="default"/>
      </w:rPr>
    </w:lvl>
    <w:lvl w:ilvl="2">
      <w:start w:val="1"/>
      <w:numFmt w:val="bullet"/>
      <w:lvlText w:val="•"/>
      <w:lvlJc w:val="left"/>
      <w:pPr>
        <w:ind w:left="2468" w:hanging="361"/>
      </w:pPr>
      <w:rPr>
        <w:rFonts w:hint="default"/>
      </w:rPr>
    </w:lvl>
    <w:lvl w:ilvl="3">
      <w:start w:val="1"/>
      <w:numFmt w:val="bullet"/>
      <w:lvlText w:val="•"/>
      <w:lvlJc w:val="left"/>
      <w:pPr>
        <w:ind w:left="3292" w:hanging="361"/>
      </w:pPr>
      <w:rPr>
        <w:rFonts w:hint="default"/>
      </w:rPr>
    </w:lvl>
    <w:lvl w:ilvl="4">
      <w:start w:val="1"/>
      <w:numFmt w:val="bullet"/>
      <w:lvlText w:val="•"/>
      <w:lvlJc w:val="left"/>
      <w:pPr>
        <w:ind w:left="4116" w:hanging="361"/>
      </w:pPr>
      <w:rPr>
        <w:rFonts w:hint="default"/>
      </w:rPr>
    </w:lvl>
    <w:lvl w:ilvl="5">
      <w:start w:val="1"/>
      <w:numFmt w:val="bullet"/>
      <w:lvlText w:val="•"/>
      <w:lvlJc w:val="left"/>
      <w:pPr>
        <w:ind w:left="4940" w:hanging="361"/>
      </w:pPr>
      <w:rPr>
        <w:rFonts w:hint="default"/>
      </w:rPr>
    </w:lvl>
    <w:lvl w:ilvl="6">
      <w:start w:val="1"/>
      <w:numFmt w:val="bullet"/>
      <w:lvlText w:val="•"/>
      <w:lvlJc w:val="left"/>
      <w:pPr>
        <w:ind w:left="5764" w:hanging="361"/>
      </w:pPr>
      <w:rPr>
        <w:rFonts w:hint="default"/>
      </w:rPr>
    </w:lvl>
    <w:lvl w:ilvl="7">
      <w:start w:val="1"/>
      <w:numFmt w:val="bullet"/>
      <w:lvlText w:val="•"/>
      <w:lvlJc w:val="left"/>
      <w:pPr>
        <w:ind w:left="6588" w:hanging="361"/>
      </w:pPr>
      <w:rPr>
        <w:rFonts w:hint="default"/>
      </w:rPr>
    </w:lvl>
    <w:lvl w:ilvl="8">
      <w:start w:val="1"/>
      <w:numFmt w:val="bullet"/>
      <w:lvlText w:val="•"/>
      <w:lvlJc w:val="left"/>
      <w:pPr>
        <w:ind w:left="7412" w:hanging="361"/>
      </w:pPr>
      <w:rPr>
        <w:rFonts w:hint="default"/>
      </w:rPr>
    </w:lvl>
  </w:abstractNum>
  <w:abstractNum w:abstractNumId="22">
    <w:multiLevelType w:val="hybridMultilevel"/>
    <w:lvl w:ilvl="0">
      <w:start w:val="2"/>
      <w:numFmt w:val="decimal"/>
      <w:lvlText w:val="%1"/>
      <w:lvlJc w:val="left"/>
      <w:pPr>
        <w:ind w:left="676" w:hanging="576"/>
        <w:jc w:val="left"/>
      </w:pPr>
      <w:rPr>
        <w:rFonts w:hint="default"/>
      </w:rPr>
    </w:lvl>
    <w:lvl w:ilvl="1">
      <w:start w:val="5"/>
      <w:numFmt w:val="decimal"/>
      <w:lvlText w:val="%1.%2."/>
      <w:lvlJc w:val="left"/>
      <w:pPr>
        <w:ind w:left="676" w:hanging="576"/>
        <w:jc w:val="left"/>
      </w:pPr>
      <w:rPr>
        <w:rFonts w:hint="default" w:ascii="Arial" w:hAnsi="Arial" w:eastAsia="Arial" w:cs="Arial"/>
        <w:spacing w:val="-2"/>
        <w:w w:val="100"/>
        <w:sz w:val="28"/>
        <w:szCs w:val="28"/>
      </w:rPr>
    </w:lvl>
    <w:lvl w:ilvl="2">
      <w:start w:val="1"/>
      <w:numFmt w:val="decimal"/>
      <w:lvlText w:val="%3."/>
      <w:lvlJc w:val="left"/>
      <w:pPr>
        <w:ind w:left="821" w:hanging="361"/>
        <w:jc w:val="left"/>
      </w:pPr>
      <w:rPr>
        <w:rFonts w:hint="default" w:ascii="Arial" w:hAnsi="Arial" w:eastAsia="Arial" w:cs="Arial"/>
        <w:spacing w:val="-29"/>
        <w:w w:val="99"/>
        <w:sz w:val="24"/>
        <w:szCs w:val="24"/>
      </w:rPr>
    </w:lvl>
    <w:lvl w:ilvl="3">
      <w:start w:val="1"/>
      <w:numFmt w:val="bullet"/>
      <w:lvlText w:val="•"/>
      <w:lvlJc w:val="left"/>
      <w:pPr>
        <w:ind w:left="2651" w:hanging="361"/>
      </w:pPr>
      <w:rPr>
        <w:rFonts w:hint="default"/>
      </w:rPr>
    </w:lvl>
    <w:lvl w:ilvl="4">
      <w:start w:val="1"/>
      <w:numFmt w:val="bullet"/>
      <w:lvlText w:val="•"/>
      <w:lvlJc w:val="left"/>
      <w:pPr>
        <w:ind w:left="3566" w:hanging="361"/>
      </w:pPr>
      <w:rPr>
        <w:rFonts w:hint="default"/>
      </w:rPr>
    </w:lvl>
    <w:lvl w:ilvl="5">
      <w:start w:val="1"/>
      <w:numFmt w:val="bullet"/>
      <w:lvlText w:val="•"/>
      <w:lvlJc w:val="left"/>
      <w:pPr>
        <w:ind w:left="4482" w:hanging="361"/>
      </w:pPr>
      <w:rPr>
        <w:rFonts w:hint="default"/>
      </w:rPr>
    </w:lvl>
    <w:lvl w:ilvl="6">
      <w:start w:val="1"/>
      <w:numFmt w:val="bullet"/>
      <w:lvlText w:val="•"/>
      <w:lvlJc w:val="left"/>
      <w:pPr>
        <w:ind w:left="5397" w:hanging="361"/>
      </w:pPr>
      <w:rPr>
        <w:rFonts w:hint="default"/>
      </w:rPr>
    </w:lvl>
    <w:lvl w:ilvl="7">
      <w:start w:val="1"/>
      <w:numFmt w:val="bullet"/>
      <w:lvlText w:val="•"/>
      <w:lvlJc w:val="left"/>
      <w:pPr>
        <w:ind w:left="6313" w:hanging="361"/>
      </w:pPr>
      <w:rPr>
        <w:rFonts w:hint="default"/>
      </w:rPr>
    </w:lvl>
    <w:lvl w:ilvl="8">
      <w:start w:val="1"/>
      <w:numFmt w:val="bullet"/>
      <w:lvlText w:val="•"/>
      <w:lvlJc w:val="left"/>
      <w:pPr>
        <w:ind w:left="7228" w:hanging="361"/>
      </w:pPr>
      <w:rPr>
        <w:rFonts w:hint="default"/>
      </w:rPr>
    </w:lvl>
  </w:abstractNum>
  <w:abstractNum w:abstractNumId="21">
    <w:multiLevelType w:val="hybridMultilevel"/>
    <w:lvl w:ilvl="0">
      <w:start w:val="1"/>
      <w:numFmt w:val="bullet"/>
      <w:lvlText w:val="•"/>
      <w:lvlJc w:val="left"/>
      <w:pPr>
        <w:ind w:left="100" w:hanging="172"/>
      </w:pPr>
      <w:rPr>
        <w:rFonts w:hint="default" w:ascii="Arial" w:hAnsi="Arial" w:eastAsia="Arial" w:cs="Arial"/>
        <w:w w:val="99"/>
        <w:sz w:val="24"/>
        <w:szCs w:val="24"/>
      </w:rPr>
    </w:lvl>
    <w:lvl w:ilvl="1">
      <w:start w:val="1"/>
      <w:numFmt w:val="bullet"/>
      <w:lvlText w:val="•"/>
      <w:lvlJc w:val="left"/>
      <w:pPr>
        <w:ind w:left="996" w:hanging="172"/>
      </w:pPr>
      <w:rPr>
        <w:rFonts w:hint="default"/>
      </w:rPr>
    </w:lvl>
    <w:lvl w:ilvl="2">
      <w:start w:val="1"/>
      <w:numFmt w:val="bullet"/>
      <w:lvlText w:val="•"/>
      <w:lvlJc w:val="left"/>
      <w:pPr>
        <w:ind w:left="1892" w:hanging="172"/>
      </w:pPr>
      <w:rPr>
        <w:rFonts w:hint="default"/>
      </w:rPr>
    </w:lvl>
    <w:lvl w:ilvl="3">
      <w:start w:val="1"/>
      <w:numFmt w:val="bullet"/>
      <w:lvlText w:val="•"/>
      <w:lvlJc w:val="left"/>
      <w:pPr>
        <w:ind w:left="2788" w:hanging="172"/>
      </w:pPr>
      <w:rPr>
        <w:rFonts w:hint="default"/>
      </w:rPr>
    </w:lvl>
    <w:lvl w:ilvl="4">
      <w:start w:val="1"/>
      <w:numFmt w:val="bullet"/>
      <w:lvlText w:val="•"/>
      <w:lvlJc w:val="left"/>
      <w:pPr>
        <w:ind w:left="3684" w:hanging="172"/>
      </w:pPr>
      <w:rPr>
        <w:rFonts w:hint="default"/>
      </w:rPr>
    </w:lvl>
    <w:lvl w:ilvl="5">
      <w:start w:val="1"/>
      <w:numFmt w:val="bullet"/>
      <w:lvlText w:val="•"/>
      <w:lvlJc w:val="left"/>
      <w:pPr>
        <w:ind w:left="4580" w:hanging="172"/>
      </w:pPr>
      <w:rPr>
        <w:rFonts w:hint="default"/>
      </w:rPr>
    </w:lvl>
    <w:lvl w:ilvl="6">
      <w:start w:val="1"/>
      <w:numFmt w:val="bullet"/>
      <w:lvlText w:val="•"/>
      <w:lvlJc w:val="left"/>
      <w:pPr>
        <w:ind w:left="5476" w:hanging="172"/>
      </w:pPr>
      <w:rPr>
        <w:rFonts w:hint="default"/>
      </w:rPr>
    </w:lvl>
    <w:lvl w:ilvl="7">
      <w:start w:val="1"/>
      <w:numFmt w:val="bullet"/>
      <w:lvlText w:val="•"/>
      <w:lvlJc w:val="left"/>
      <w:pPr>
        <w:ind w:left="6372" w:hanging="172"/>
      </w:pPr>
      <w:rPr>
        <w:rFonts w:hint="default"/>
      </w:rPr>
    </w:lvl>
    <w:lvl w:ilvl="8">
      <w:start w:val="1"/>
      <w:numFmt w:val="bullet"/>
      <w:lvlText w:val="•"/>
      <w:lvlJc w:val="left"/>
      <w:pPr>
        <w:ind w:left="7268" w:hanging="172"/>
      </w:pPr>
      <w:rPr>
        <w:rFonts w:hint="default"/>
      </w:rPr>
    </w:lvl>
  </w:abstractNum>
  <w:abstractNum w:abstractNumId="20">
    <w:multiLevelType w:val="hybridMultilevel"/>
    <w:lvl w:ilvl="0">
      <w:start w:val="1"/>
      <w:numFmt w:val="decimal"/>
      <w:lvlText w:val="%1."/>
      <w:lvlJc w:val="left"/>
      <w:pPr>
        <w:ind w:left="809" w:hanging="645"/>
        <w:jc w:val="left"/>
      </w:pPr>
      <w:rPr>
        <w:rFonts w:hint="default" w:ascii="Arial" w:hAnsi="Arial" w:eastAsia="Arial" w:cs="Arial"/>
        <w:spacing w:val="-21"/>
        <w:w w:val="99"/>
        <w:sz w:val="24"/>
        <w:szCs w:val="24"/>
      </w:rPr>
    </w:lvl>
    <w:lvl w:ilvl="1">
      <w:start w:val="1"/>
      <w:numFmt w:val="bullet"/>
      <w:lvlText w:val="-"/>
      <w:lvlJc w:val="left"/>
      <w:pPr>
        <w:ind w:left="668" w:hanging="361"/>
      </w:pPr>
      <w:rPr>
        <w:rFonts w:hint="default" w:ascii="Arial" w:hAnsi="Arial" w:eastAsia="Arial" w:cs="Arial"/>
        <w:b/>
        <w:bCs/>
        <w:spacing w:val="-19"/>
        <w:w w:val="99"/>
        <w:sz w:val="22"/>
        <w:szCs w:val="22"/>
      </w:rPr>
    </w:lvl>
    <w:lvl w:ilvl="2">
      <w:start w:val="1"/>
      <w:numFmt w:val="bullet"/>
      <w:lvlText w:val="•"/>
      <w:lvlJc w:val="left"/>
      <w:pPr>
        <w:ind w:left="1717" w:hanging="361"/>
      </w:pPr>
      <w:rPr>
        <w:rFonts w:hint="default"/>
      </w:rPr>
    </w:lvl>
    <w:lvl w:ilvl="3">
      <w:start w:val="1"/>
      <w:numFmt w:val="bullet"/>
      <w:lvlText w:val="•"/>
      <w:lvlJc w:val="left"/>
      <w:pPr>
        <w:ind w:left="2635" w:hanging="361"/>
      </w:pPr>
      <w:rPr>
        <w:rFonts w:hint="default"/>
      </w:rPr>
    </w:lvl>
    <w:lvl w:ilvl="4">
      <w:start w:val="1"/>
      <w:numFmt w:val="bullet"/>
      <w:lvlText w:val="•"/>
      <w:lvlJc w:val="left"/>
      <w:pPr>
        <w:ind w:left="3553" w:hanging="361"/>
      </w:pPr>
      <w:rPr>
        <w:rFonts w:hint="default"/>
      </w:rPr>
    </w:lvl>
    <w:lvl w:ilvl="5">
      <w:start w:val="1"/>
      <w:numFmt w:val="bullet"/>
      <w:lvlText w:val="•"/>
      <w:lvlJc w:val="left"/>
      <w:pPr>
        <w:ind w:left="4471" w:hanging="361"/>
      </w:pPr>
      <w:rPr>
        <w:rFonts w:hint="default"/>
      </w:rPr>
    </w:lvl>
    <w:lvl w:ilvl="6">
      <w:start w:val="1"/>
      <w:numFmt w:val="bullet"/>
      <w:lvlText w:val="•"/>
      <w:lvlJc w:val="left"/>
      <w:pPr>
        <w:ind w:left="5388" w:hanging="361"/>
      </w:pPr>
      <w:rPr>
        <w:rFonts w:hint="default"/>
      </w:rPr>
    </w:lvl>
    <w:lvl w:ilvl="7">
      <w:start w:val="1"/>
      <w:numFmt w:val="bullet"/>
      <w:lvlText w:val="•"/>
      <w:lvlJc w:val="left"/>
      <w:pPr>
        <w:ind w:left="6306" w:hanging="361"/>
      </w:pPr>
      <w:rPr>
        <w:rFonts w:hint="default"/>
      </w:rPr>
    </w:lvl>
    <w:lvl w:ilvl="8">
      <w:start w:val="1"/>
      <w:numFmt w:val="bullet"/>
      <w:lvlText w:val="•"/>
      <w:lvlJc w:val="left"/>
      <w:pPr>
        <w:ind w:left="7224" w:hanging="361"/>
      </w:pPr>
      <w:rPr>
        <w:rFonts w:hint="default"/>
      </w:rPr>
    </w:lvl>
  </w:abstractNum>
  <w:abstractNum w:abstractNumId="19">
    <w:multiLevelType w:val="hybridMultilevel"/>
    <w:lvl w:ilvl="0">
      <w:start w:val="2"/>
      <w:numFmt w:val="decimal"/>
      <w:lvlText w:val="%1"/>
      <w:lvlJc w:val="left"/>
      <w:pPr>
        <w:ind w:left="897" w:hanging="797"/>
        <w:jc w:val="left"/>
      </w:pPr>
      <w:rPr>
        <w:rFonts w:hint="default"/>
      </w:rPr>
    </w:lvl>
    <w:lvl w:ilvl="1">
      <w:start w:val="4"/>
      <w:numFmt w:val="decimal"/>
      <w:lvlText w:val="%1.%2"/>
      <w:lvlJc w:val="left"/>
      <w:pPr>
        <w:ind w:left="897" w:hanging="797"/>
        <w:jc w:val="left"/>
      </w:pPr>
      <w:rPr>
        <w:rFonts w:hint="default"/>
      </w:rPr>
    </w:lvl>
    <w:lvl w:ilvl="2">
      <w:start w:val="1"/>
      <w:numFmt w:val="decimal"/>
      <w:lvlText w:val="%1.%2.%3."/>
      <w:lvlJc w:val="left"/>
      <w:pPr>
        <w:ind w:left="897" w:hanging="797"/>
        <w:jc w:val="left"/>
      </w:pPr>
      <w:rPr>
        <w:rFonts w:hint="default" w:ascii="Arial" w:hAnsi="Arial" w:eastAsia="Arial" w:cs="Arial"/>
        <w:spacing w:val="-2"/>
        <w:w w:val="100"/>
        <w:sz w:val="28"/>
        <w:szCs w:val="28"/>
      </w:rPr>
    </w:lvl>
    <w:lvl w:ilvl="3">
      <w:start w:val="1"/>
      <w:numFmt w:val="bullet"/>
      <w:lvlText w:val="•"/>
      <w:lvlJc w:val="left"/>
      <w:pPr>
        <w:ind w:left="3348" w:hanging="797"/>
      </w:pPr>
      <w:rPr>
        <w:rFonts w:hint="default"/>
      </w:rPr>
    </w:lvl>
    <w:lvl w:ilvl="4">
      <w:start w:val="1"/>
      <w:numFmt w:val="bullet"/>
      <w:lvlText w:val="•"/>
      <w:lvlJc w:val="left"/>
      <w:pPr>
        <w:ind w:left="4164" w:hanging="797"/>
      </w:pPr>
      <w:rPr>
        <w:rFonts w:hint="default"/>
      </w:rPr>
    </w:lvl>
    <w:lvl w:ilvl="5">
      <w:start w:val="1"/>
      <w:numFmt w:val="bullet"/>
      <w:lvlText w:val="•"/>
      <w:lvlJc w:val="left"/>
      <w:pPr>
        <w:ind w:left="4980" w:hanging="797"/>
      </w:pPr>
      <w:rPr>
        <w:rFonts w:hint="default"/>
      </w:rPr>
    </w:lvl>
    <w:lvl w:ilvl="6">
      <w:start w:val="1"/>
      <w:numFmt w:val="bullet"/>
      <w:lvlText w:val="•"/>
      <w:lvlJc w:val="left"/>
      <w:pPr>
        <w:ind w:left="5796" w:hanging="797"/>
      </w:pPr>
      <w:rPr>
        <w:rFonts w:hint="default"/>
      </w:rPr>
    </w:lvl>
    <w:lvl w:ilvl="7">
      <w:start w:val="1"/>
      <w:numFmt w:val="bullet"/>
      <w:lvlText w:val="•"/>
      <w:lvlJc w:val="left"/>
      <w:pPr>
        <w:ind w:left="6612" w:hanging="797"/>
      </w:pPr>
      <w:rPr>
        <w:rFonts w:hint="default"/>
      </w:rPr>
    </w:lvl>
    <w:lvl w:ilvl="8">
      <w:start w:val="1"/>
      <w:numFmt w:val="bullet"/>
      <w:lvlText w:val="•"/>
      <w:lvlJc w:val="left"/>
      <w:pPr>
        <w:ind w:left="7428" w:hanging="797"/>
      </w:pPr>
      <w:rPr>
        <w:rFonts w:hint="default"/>
      </w:rPr>
    </w:lvl>
  </w:abstractNum>
  <w:abstractNum w:abstractNumId="18">
    <w:multiLevelType w:val="hybridMultilevel"/>
    <w:lvl w:ilvl="0">
      <w:start w:val="1"/>
      <w:numFmt w:val="bullet"/>
      <w:lvlText w:val="-"/>
      <w:lvlJc w:val="left"/>
      <w:pPr>
        <w:ind w:left="821" w:hanging="361"/>
      </w:pPr>
      <w:rPr>
        <w:rFonts w:hint="default" w:ascii="Arial" w:hAnsi="Arial" w:eastAsia="Arial" w:cs="Arial"/>
        <w:spacing w:val="-21"/>
        <w:w w:val="99"/>
        <w:sz w:val="24"/>
        <w:szCs w:val="24"/>
      </w:rPr>
    </w:lvl>
    <w:lvl w:ilvl="1">
      <w:start w:val="1"/>
      <w:numFmt w:val="bullet"/>
      <w:lvlText w:val="•"/>
      <w:lvlJc w:val="left"/>
      <w:pPr>
        <w:ind w:left="1642" w:hanging="361"/>
      </w:pPr>
      <w:rPr>
        <w:rFonts w:hint="default"/>
      </w:rPr>
    </w:lvl>
    <w:lvl w:ilvl="2">
      <w:start w:val="1"/>
      <w:numFmt w:val="bullet"/>
      <w:lvlText w:val="•"/>
      <w:lvlJc w:val="left"/>
      <w:pPr>
        <w:ind w:left="2464" w:hanging="361"/>
      </w:pPr>
      <w:rPr>
        <w:rFonts w:hint="default"/>
      </w:rPr>
    </w:lvl>
    <w:lvl w:ilvl="3">
      <w:start w:val="1"/>
      <w:numFmt w:val="bullet"/>
      <w:lvlText w:val="•"/>
      <w:lvlJc w:val="left"/>
      <w:pPr>
        <w:ind w:left="3286" w:hanging="361"/>
      </w:pPr>
      <w:rPr>
        <w:rFonts w:hint="default"/>
      </w:rPr>
    </w:lvl>
    <w:lvl w:ilvl="4">
      <w:start w:val="1"/>
      <w:numFmt w:val="bullet"/>
      <w:lvlText w:val="•"/>
      <w:lvlJc w:val="left"/>
      <w:pPr>
        <w:ind w:left="4108" w:hanging="361"/>
      </w:pPr>
      <w:rPr>
        <w:rFonts w:hint="default"/>
      </w:rPr>
    </w:lvl>
    <w:lvl w:ilvl="5">
      <w:start w:val="1"/>
      <w:numFmt w:val="bullet"/>
      <w:lvlText w:val="•"/>
      <w:lvlJc w:val="left"/>
      <w:pPr>
        <w:ind w:left="4930" w:hanging="361"/>
      </w:pPr>
      <w:rPr>
        <w:rFonts w:hint="default"/>
      </w:rPr>
    </w:lvl>
    <w:lvl w:ilvl="6">
      <w:start w:val="1"/>
      <w:numFmt w:val="bullet"/>
      <w:lvlText w:val="•"/>
      <w:lvlJc w:val="left"/>
      <w:pPr>
        <w:ind w:left="5752" w:hanging="361"/>
      </w:pPr>
      <w:rPr>
        <w:rFonts w:hint="default"/>
      </w:rPr>
    </w:lvl>
    <w:lvl w:ilvl="7">
      <w:start w:val="1"/>
      <w:numFmt w:val="bullet"/>
      <w:lvlText w:val="•"/>
      <w:lvlJc w:val="left"/>
      <w:pPr>
        <w:ind w:left="6574" w:hanging="361"/>
      </w:pPr>
      <w:rPr>
        <w:rFonts w:hint="default"/>
      </w:rPr>
    </w:lvl>
    <w:lvl w:ilvl="8">
      <w:start w:val="1"/>
      <w:numFmt w:val="bullet"/>
      <w:lvlText w:val="•"/>
      <w:lvlJc w:val="left"/>
      <w:pPr>
        <w:ind w:left="7396" w:hanging="361"/>
      </w:pPr>
      <w:rPr>
        <w:rFonts w:hint="default"/>
      </w:rPr>
    </w:lvl>
  </w:abstractNum>
  <w:abstractNum w:abstractNumId="17">
    <w:multiLevelType w:val="hybridMultilevel"/>
    <w:lvl w:ilvl="0">
      <w:start w:val="2"/>
      <w:numFmt w:val="decimal"/>
      <w:lvlText w:val="%1"/>
      <w:lvlJc w:val="left"/>
      <w:pPr>
        <w:ind w:left="676" w:hanging="576"/>
        <w:jc w:val="left"/>
      </w:pPr>
      <w:rPr>
        <w:rFonts w:hint="default"/>
      </w:rPr>
    </w:lvl>
    <w:lvl w:ilvl="1">
      <w:start w:val="4"/>
      <w:numFmt w:val="decimal"/>
      <w:lvlText w:val="%1.%2."/>
      <w:lvlJc w:val="left"/>
      <w:pPr>
        <w:ind w:left="676" w:hanging="576"/>
        <w:jc w:val="left"/>
      </w:pPr>
      <w:rPr>
        <w:rFonts w:hint="default" w:ascii="Arial" w:hAnsi="Arial" w:eastAsia="Arial" w:cs="Arial"/>
        <w:spacing w:val="-2"/>
        <w:w w:val="100"/>
        <w:sz w:val="28"/>
        <w:szCs w:val="28"/>
      </w:rPr>
    </w:lvl>
    <w:lvl w:ilvl="2">
      <w:start w:val="1"/>
      <w:numFmt w:val="lowerLetter"/>
      <w:lvlText w:val="%3)"/>
      <w:lvlJc w:val="left"/>
      <w:pPr>
        <w:ind w:left="821" w:hanging="361"/>
        <w:jc w:val="left"/>
      </w:pPr>
      <w:rPr>
        <w:rFonts w:hint="default" w:ascii="Arial" w:hAnsi="Arial" w:eastAsia="Arial" w:cs="Arial"/>
        <w:spacing w:val="-2"/>
        <w:w w:val="99"/>
        <w:sz w:val="24"/>
        <w:szCs w:val="24"/>
      </w:rPr>
    </w:lvl>
    <w:lvl w:ilvl="3">
      <w:start w:val="1"/>
      <w:numFmt w:val="bullet"/>
      <w:lvlText w:val="•"/>
      <w:lvlJc w:val="left"/>
      <w:pPr>
        <w:ind w:left="2646" w:hanging="361"/>
      </w:pPr>
      <w:rPr>
        <w:rFonts w:hint="default"/>
      </w:rPr>
    </w:lvl>
    <w:lvl w:ilvl="4">
      <w:start w:val="1"/>
      <w:numFmt w:val="bullet"/>
      <w:lvlText w:val="•"/>
      <w:lvlJc w:val="left"/>
      <w:pPr>
        <w:ind w:left="3560" w:hanging="361"/>
      </w:pPr>
      <w:rPr>
        <w:rFonts w:hint="default"/>
      </w:rPr>
    </w:lvl>
    <w:lvl w:ilvl="5">
      <w:start w:val="1"/>
      <w:numFmt w:val="bullet"/>
      <w:lvlText w:val="•"/>
      <w:lvlJc w:val="left"/>
      <w:pPr>
        <w:ind w:left="4473" w:hanging="361"/>
      </w:pPr>
      <w:rPr>
        <w:rFonts w:hint="default"/>
      </w:rPr>
    </w:lvl>
    <w:lvl w:ilvl="6">
      <w:start w:val="1"/>
      <w:numFmt w:val="bullet"/>
      <w:lvlText w:val="•"/>
      <w:lvlJc w:val="left"/>
      <w:pPr>
        <w:ind w:left="5386" w:hanging="361"/>
      </w:pPr>
      <w:rPr>
        <w:rFonts w:hint="default"/>
      </w:rPr>
    </w:lvl>
    <w:lvl w:ilvl="7">
      <w:start w:val="1"/>
      <w:numFmt w:val="bullet"/>
      <w:lvlText w:val="•"/>
      <w:lvlJc w:val="left"/>
      <w:pPr>
        <w:ind w:left="6300" w:hanging="361"/>
      </w:pPr>
      <w:rPr>
        <w:rFonts w:hint="default"/>
      </w:rPr>
    </w:lvl>
    <w:lvl w:ilvl="8">
      <w:start w:val="1"/>
      <w:numFmt w:val="bullet"/>
      <w:lvlText w:val="•"/>
      <w:lvlJc w:val="left"/>
      <w:pPr>
        <w:ind w:left="7213" w:hanging="361"/>
      </w:pPr>
      <w:rPr>
        <w:rFonts w:hint="default"/>
      </w:rPr>
    </w:lvl>
  </w:abstractNum>
  <w:abstractNum w:abstractNumId="16">
    <w:multiLevelType w:val="hybridMultilevel"/>
    <w:lvl w:ilvl="0">
      <w:start w:val="1"/>
      <w:numFmt w:val="bullet"/>
      <w:lvlText w:val=""/>
      <w:lvlJc w:val="left"/>
      <w:pPr>
        <w:ind w:left="821" w:hanging="361"/>
      </w:pPr>
      <w:rPr>
        <w:rFonts w:hint="default"/>
        <w:w w:val="100"/>
      </w:rPr>
    </w:lvl>
    <w:lvl w:ilvl="1">
      <w:start w:val="1"/>
      <w:numFmt w:val="bullet"/>
      <w:lvlText w:val="•"/>
      <w:lvlJc w:val="left"/>
      <w:pPr>
        <w:ind w:left="1642" w:hanging="361"/>
      </w:pPr>
      <w:rPr>
        <w:rFonts w:hint="default"/>
      </w:rPr>
    </w:lvl>
    <w:lvl w:ilvl="2">
      <w:start w:val="1"/>
      <w:numFmt w:val="bullet"/>
      <w:lvlText w:val="•"/>
      <w:lvlJc w:val="left"/>
      <w:pPr>
        <w:ind w:left="2464" w:hanging="361"/>
      </w:pPr>
      <w:rPr>
        <w:rFonts w:hint="default"/>
      </w:rPr>
    </w:lvl>
    <w:lvl w:ilvl="3">
      <w:start w:val="1"/>
      <w:numFmt w:val="bullet"/>
      <w:lvlText w:val="•"/>
      <w:lvlJc w:val="left"/>
      <w:pPr>
        <w:ind w:left="3286" w:hanging="361"/>
      </w:pPr>
      <w:rPr>
        <w:rFonts w:hint="default"/>
      </w:rPr>
    </w:lvl>
    <w:lvl w:ilvl="4">
      <w:start w:val="1"/>
      <w:numFmt w:val="bullet"/>
      <w:lvlText w:val="•"/>
      <w:lvlJc w:val="left"/>
      <w:pPr>
        <w:ind w:left="4108" w:hanging="361"/>
      </w:pPr>
      <w:rPr>
        <w:rFonts w:hint="default"/>
      </w:rPr>
    </w:lvl>
    <w:lvl w:ilvl="5">
      <w:start w:val="1"/>
      <w:numFmt w:val="bullet"/>
      <w:lvlText w:val="•"/>
      <w:lvlJc w:val="left"/>
      <w:pPr>
        <w:ind w:left="4930" w:hanging="361"/>
      </w:pPr>
      <w:rPr>
        <w:rFonts w:hint="default"/>
      </w:rPr>
    </w:lvl>
    <w:lvl w:ilvl="6">
      <w:start w:val="1"/>
      <w:numFmt w:val="bullet"/>
      <w:lvlText w:val="•"/>
      <w:lvlJc w:val="left"/>
      <w:pPr>
        <w:ind w:left="5752" w:hanging="361"/>
      </w:pPr>
      <w:rPr>
        <w:rFonts w:hint="default"/>
      </w:rPr>
    </w:lvl>
    <w:lvl w:ilvl="7">
      <w:start w:val="1"/>
      <w:numFmt w:val="bullet"/>
      <w:lvlText w:val="•"/>
      <w:lvlJc w:val="left"/>
      <w:pPr>
        <w:ind w:left="6574" w:hanging="361"/>
      </w:pPr>
      <w:rPr>
        <w:rFonts w:hint="default"/>
      </w:rPr>
    </w:lvl>
    <w:lvl w:ilvl="8">
      <w:start w:val="1"/>
      <w:numFmt w:val="bullet"/>
      <w:lvlText w:val="•"/>
      <w:lvlJc w:val="left"/>
      <w:pPr>
        <w:ind w:left="7396" w:hanging="361"/>
      </w:pPr>
      <w:rPr>
        <w:rFonts w:hint="default"/>
      </w:rPr>
    </w:lvl>
  </w:abstractNum>
  <w:abstractNum w:abstractNumId="15">
    <w:multiLevelType w:val="hybridMultilevel"/>
    <w:lvl w:ilvl="0">
      <w:start w:val="1"/>
      <w:numFmt w:val="bullet"/>
      <w:lvlText w:val=""/>
      <w:lvlJc w:val="left"/>
      <w:pPr>
        <w:ind w:left="701" w:hanging="361"/>
      </w:pPr>
      <w:rPr>
        <w:rFonts w:hint="default" w:ascii="Wingdings" w:hAnsi="Wingdings" w:eastAsia="Wingdings" w:cs="Wingdings"/>
        <w:w w:val="99"/>
        <w:sz w:val="24"/>
        <w:szCs w:val="24"/>
      </w:rPr>
    </w:lvl>
    <w:lvl w:ilvl="1">
      <w:start w:val="1"/>
      <w:numFmt w:val="bullet"/>
      <w:lvlText w:val=""/>
      <w:lvlJc w:val="left"/>
      <w:pPr>
        <w:ind w:left="821" w:hanging="361"/>
      </w:pPr>
      <w:rPr>
        <w:rFonts w:hint="default" w:ascii="Wingdings" w:hAnsi="Wingdings" w:eastAsia="Wingdings" w:cs="Wingdings"/>
        <w:w w:val="99"/>
        <w:sz w:val="24"/>
        <w:szCs w:val="24"/>
      </w:rPr>
    </w:lvl>
    <w:lvl w:ilvl="2">
      <w:start w:val="1"/>
      <w:numFmt w:val="bullet"/>
      <w:lvlText w:val="•"/>
      <w:lvlJc w:val="left"/>
      <w:pPr>
        <w:ind w:left="1720" w:hanging="361"/>
      </w:pPr>
      <w:rPr>
        <w:rFonts w:hint="default"/>
      </w:rPr>
    </w:lvl>
    <w:lvl w:ilvl="3">
      <w:start w:val="1"/>
      <w:numFmt w:val="bullet"/>
      <w:lvlText w:val="•"/>
      <w:lvlJc w:val="left"/>
      <w:pPr>
        <w:ind w:left="2620" w:hanging="361"/>
      </w:pPr>
      <w:rPr>
        <w:rFonts w:hint="default"/>
      </w:rPr>
    </w:lvl>
    <w:lvl w:ilvl="4">
      <w:start w:val="1"/>
      <w:numFmt w:val="bullet"/>
      <w:lvlText w:val="•"/>
      <w:lvlJc w:val="left"/>
      <w:pPr>
        <w:ind w:left="3520" w:hanging="361"/>
      </w:pPr>
      <w:rPr>
        <w:rFonts w:hint="default"/>
      </w:rPr>
    </w:lvl>
    <w:lvl w:ilvl="5">
      <w:start w:val="1"/>
      <w:numFmt w:val="bullet"/>
      <w:lvlText w:val="•"/>
      <w:lvlJc w:val="left"/>
      <w:pPr>
        <w:ind w:left="4420" w:hanging="361"/>
      </w:pPr>
      <w:rPr>
        <w:rFonts w:hint="default"/>
      </w:rPr>
    </w:lvl>
    <w:lvl w:ilvl="6">
      <w:start w:val="1"/>
      <w:numFmt w:val="bullet"/>
      <w:lvlText w:val="•"/>
      <w:lvlJc w:val="left"/>
      <w:pPr>
        <w:ind w:left="5320" w:hanging="361"/>
      </w:pPr>
      <w:rPr>
        <w:rFonts w:hint="default"/>
      </w:rPr>
    </w:lvl>
    <w:lvl w:ilvl="7">
      <w:start w:val="1"/>
      <w:numFmt w:val="bullet"/>
      <w:lvlText w:val="•"/>
      <w:lvlJc w:val="left"/>
      <w:pPr>
        <w:ind w:left="6220" w:hanging="361"/>
      </w:pPr>
      <w:rPr>
        <w:rFonts w:hint="default"/>
      </w:rPr>
    </w:lvl>
    <w:lvl w:ilvl="8">
      <w:start w:val="1"/>
      <w:numFmt w:val="bullet"/>
      <w:lvlText w:val="•"/>
      <w:lvlJc w:val="left"/>
      <w:pPr>
        <w:ind w:left="7120" w:hanging="361"/>
      </w:pPr>
      <w:rPr>
        <w:rFonts w:hint="default"/>
      </w:rPr>
    </w:lvl>
  </w:abstractNum>
  <w:abstractNum w:abstractNumId="14">
    <w:multiLevelType w:val="hybridMultilevel"/>
    <w:lvl w:ilvl="0">
      <w:start w:val="1"/>
      <w:numFmt w:val="bullet"/>
      <w:lvlText w:val=""/>
      <w:lvlJc w:val="left"/>
      <w:pPr>
        <w:ind w:left="821" w:hanging="361"/>
      </w:pPr>
      <w:rPr>
        <w:rFonts w:hint="default" w:ascii="Wingdings" w:hAnsi="Wingdings" w:eastAsia="Wingdings" w:cs="Wingdings"/>
        <w:w w:val="99"/>
        <w:sz w:val="24"/>
        <w:szCs w:val="24"/>
      </w:rPr>
    </w:lvl>
    <w:lvl w:ilvl="1">
      <w:start w:val="1"/>
      <w:numFmt w:val="bullet"/>
      <w:lvlText w:val="•"/>
      <w:lvlJc w:val="left"/>
      <w:pPr>
        <w:ind w:left="1644" w:hanging="361"/>
      </w:pPr>
      <w:rPr>
        <w:rFonts w:hint="default"/>
      </w:rPr>
    </w:lvl>
    <w:lvl w:ilvl="2">
      <w:start w:val="1"/>
      <w:numFmt w:val="bullet"/>
      <w:lvlText w:val="•"/>
      <w:lvlJc w:val="left"/>
      <w:pPr>
        <w:ind w:left="2468" w:hanging="361"/>
      </w:pPr>
      <w:rPr>
        <w:rFonts w:hint="default"/>
      </w:rPr>
    </w:lvl>
    <w:lvl w:ilvl="3">
      <w:start w:val="1"/>
      <w:numFmt w:val="bullet"/>
      <w:lvlText w:val="•"/>
      <w:lvlJc w:val="left"/>
      <w:pPr>
        <w:ind w:left="3292" w:hanging="361"/>
      </w:pPr>
      <w:rPr>
        <w:rFonts w:hint="default"/>
      </w:rPr>
    </w:lvl>
    <w:lvl w:ilvl="4">
      <w:start w:val="1"/>
      <w:numFmt w:val="bullet"/>
      <w:lvlText w:val="•"/>
      <w:lvlJc w:val="left"/>
      <w:pPr>
        <w:ind w:left="4116" w:hanging="361"/>
      </w:pPr>
      <w:rPr>
        <w:rFonts w:hint="default"/>
      </w:rPr>
    </w:lvl>
    <w:lvl w:ilvl="5">
      <w:start w:val="1"/>
      <w:numFmt w:val="bullet"/>
      <w:lvlText w:val="•"/>
      <w:lvlJc w:val="left"/>
      <w:pPr>
        <w:ind w:left="4940" w:hanging="361"/>
      </w:pPr>
      <w:rPr>
        <w:rFonts w:hint="default"/>
      </w:rPr>
    </w:lvl>
    <w:lvl w:ilvl="6">
      <w:start w:val="1"/>
      <w:numFmt w:val="bullet"/>
      <w:lvlText w:val="•"/>
      <w:lvlJc w:val="left"/>
      <w:pPr>
        <w:ind w:left="5764" w:hanging="361"/>
      </w:pPr>
      <w:rPr>
        <w:rFonts w:hint="default"/>
      </w:rPr>
    </w:lvl>
    <w:lvl w:ilvl="7">
      <w:start w:val="1"/>
      <w:numFmt w:val="bullet"/>
      <w:lvlText w:val="•"/>
      <w:lvlJc w:val="left"/>
      <w:pPr>
        <w:ind w:left="6588" w:hanging="361"/>
      </w:pPr>
      <w:rPr>
        <w:rFonts w:hint="default"/>
      </w:rPr>
    </w:lvl>
    <w:lvl w:ilvl="8">
      <w:start w:val="1"/>
      <w:numFmt w:val="bullet"/>
      <w:lvlText w:val="•"/>
      <w:lvlJc w:val="left"/>
      <w:pPr>
        <w:ind w:left="7412" w:hanging="361"/>
      </w:pPr>
      <w:rPr>
        <w:rFonts w:hint="default"/>
      </w:rPr>
    </w:lvl>
  </w:abstractNum>
  <w:abstractNum w:abstractNumId="13">
    <w:multiLevelType w:val="hybridMultilevel"/>
    <w:lvl w:ilvl="0">
      <w:start w:val="1"/>
      <w:numFmt w:val="bullet"/>
      <w:lvlText w:val="-"/>
      <w:lvlJc w:val="left"/>
      <w:pPr>
        <w:ind w:left="1052" w:hanging="112"/>
      </w:pPr>
      <w:rPr>
        <w:rFonts w:hint="default" w:ascii="Arial" w:hAnsi="Arial" w:eastAsia="Arial" w:cs="Arial"/>
        <w:w w:val="99"/>
        <w:sz w:val="18"/>
        <w:szCs w:val="18"/>
      </w:rPr>
    </w:lvl>
    <w:lvl w:ilvl="1">
      <w:start w:val="1"/>
      <w:numFmt w:val="bullet"/>
      <w:lvlText w:val="•"/>
      <w:lvlJc w:val="left"/>
      <w:pPr>
        <w:ind w:left="1259" w:hanging="112"/>
      </w:pPr>
      <w:rPr>
        <w:rFonts w:hint="default"/>
      </w:rPr>
    </w:lvl>
    <w:lvl w:ilvl="2">
      <w:start w:val="1"/>
      <w:numFmt w:val="bullet"/>
      <w:lvlText w:val="•"/>
      <w:lvlJc w:val="left"/>
      <w:pPr>
        <w:ind w:left="1458" w:hanging="112"/>
      </w:pPr>
      <w:rPr>
        <w:rFonts w:hint="default"/>
      </w:rPr>
    </w:lvl>
    <w:lvl w:ilvl="3">
      <w:start w:val="1"/>
      <w:numFmt w:val="bullet"/>
      <w:lvlText w:val="•"/>
      <w:lvlJc w:val="left"/>
      <w:pPr>
        <w:ind w:left="1657" w:hanging="112"/>
      </w:pPr>
      <w:rPr>
        <w:rFonts w:hint="default"/>
      </w:rPr>
    </w:lvl>
    <w:lvl w:ilvl="4">
      <w:start w:val="1"/>
      <w:numFmt w:val="bullet"/>
      <w:lvlText w:val="•"/>
      <w:lvlJc w:val="left"/>
      <w:pPr>
        <w:ind w:left="1857" w:hanging="112"/>
      </w:pPr>
      <w:rPr>
        <w:rFonts w:hint="default"/>
      </w:rPr>
    </w:lvl>
    <w:lvl w:ilvl="5">
      <w:start w:val="1"/>
      <w:numFmt w:val="bullet"/>
      <w:lvlText w:val="•"/>
      <w:lvlJc w:val="left"/>
      <w:pPr>
        <w:ind w:left="2056" w:hanging="112"/>
      </w:pPr>
      <w:rPr>
        <w:rFonts w:hint="default"/>
      </w:rPr>
    </w:lvl>
    <w:lvl w:ilvl="6">
      <w:start w:val="1"/>
      <w:numFmt w:val="bullet"/>
      <w:lvlText w:val="•"/>
      <w:lvlJc w:val="left"/>
      <w:pPr>
        <w:ind w:left="2255" w:hanging="112"/>
      </w:pPr>
      <w:rPr>
        <w:rFonts w:hint="default"/>
      </w:rPr>
    </w:lvl>
    <w:lvl w:ilvl="7">
      <w:start w:val="1"/>
      <w:numFmt w:val="bullet"/>
      <w:lvlText w:val="•"/>
      <w:lvlJc w:val="left"/>
      <w:pPr>
        <w:ind w:left="2455" w:hanging="112"/>
      </w:pPr>
      <w:rPr>
        <w:rFonts w:hint="default"/>
      </w:rPr>
    </w:lvl>
    <w:lvl w:ilvl="8">
      <w:start w:val="1"/>
      <w:numFmt w:val="bullet"/>
      <w:lvlText w:val="•"/>
      <w:lvlJc w:val="left"/>
      <w:pPr>
        <w:ind w:left="2654" w:hanging="112"/>
      </w:pPr>
      <w:rPr>
        <w:rFonts w:hint="default"/>
      </w:rPr>
    </w:lvl>
  </w:abstractNum>
  <w:abstractNum w:abstractNumId="12">
    <w:multiLevelType w:val="hybridMultilevel"/>
    <w:lvl w:ilvl="0">
      <w:start w:val="1"/>
      <w:numFmt w:val="bullet"/>
      <w:lvlText w:val="-"/>
      <w:lvlJc w:val="left"/>
      <w:pPr>
        <w:ind w:left="972" w:hanging="113"/>
      </w:pPr>
      <w:rPr>
        <w:rFonts w:hint="default" w:ascii="Arial" w:hAnsi="Arial" w:eastAsia="Arial" w:cs="Arial"/>
        <w:w w:val="99"/>
        <w:sz w:val="18"/>
        <w:szCs w:val="18"/>
      </w:rPr>
    </w:lvl>
    <w:lvl w:ilvl="1">
      <w:start w:val="1"/>
      <w:numFmt w:val="bullet"/>
      <w:lvlText w:val="•"/>
      <w:lvlJc w:val="left"/>
      <w:pPr>
        <w:ind w:left="1187" w:hanging="113"/>
      </w:pPr>
      <w:rPr>
        <w:rFonts w:hint="default"/>
      </w:rPr>
    </w:lvl>
    <w:lvl w:ilvl="2">
      <w:start w:val="1"/>
      <w:numFmt w:val="bullet"/>
      <w:lvlText w:val="•"/>
      <w:lvlJc w:val="left"/>
      <w:pPr>
        <w:ind w:left="1394" w:hanging="113"/>
      </w:pPr>
      <w:rPr>
        <w:rFonts w:hint="default"/>
      </w:rPr>
    </w:lvl>
    <w:lvl w:ilvl="3">
      <w:start w:val="1"/>
      <w:numFmt w:val="bullet"/>
      <w:lvlText w:val="•"/>
      <w:lvlJc w:val="left"/>
      <w:pPr>
        <w:ind w:left="1601" w:hanging="113"/>
      </w:pPr>
      <w:rPr>
        <w:rFonts w:hint="default"/>
      </w:rPr>
    </w:lvl>
    <w:lvl w:ilvl="4">
      <w:start w:val="1"/>
      <w:numFmt w:val="bullet"/>
      <w:lvlText w:val="•"/>
      <w:lvlJc w:val="left"/>
      <w:pPr>
        <w:ind w:left="1809" w:hanging="113"/>
      </w:pPr>
      <w:rPr>
        <w:rFonts w:hint="default"/>
      </w:rPr>
    </w:lvl>
    <w:lvl w:ilvl="5">
      <w:start w:val="1"/>
      <w:numFmt w:val="bullet"/>
      <w:lvlText w:val="•"/>
      <w:lvlJc w:val="left"/>
      <w:pPr>
        <w:ind w:left="2016" w:hanging="113"/>
      </w:pPr>
      <w:rPr>
        <w:rFonts w:hint="default"/>
      </w:rPr>
    </w:lvl>
    <w:lvl w:ilvl="6">
      <w:start w:val="1"/>
      <w:numFmt w:val="bullet"/>
      <w:lvlText w:val="•"/>
      <w:lvlJc w:val="left"/>
      <w:pPr>
        <w:ind w:left="2223" w:hanging="113"/>
      </w:pPr>
      <w:rPr>
        <w:rFonts w:hint="default"/>
      </w:rPr>
    </w:lvl>
    <w:lvl w:ilvl="7">
      <w:start w:val="1"/>
      <w:numFmt w:val="bullet"/>
      <w:lvlText w:val="•"/>
      <w:lvlJc w:val="left"/>
      <w:pPr>
        <w:ind w:left="2431" w:hanging="113"/>
      </w:pPr>
      <w:rPr>
        <w:rFonts w:hint="default"/>
      </w:rPr>
    </w:lvl>
    <w:lvl w:ilvl="8">
      <w:start w:val="1"/>
      <w:numFmt w:val="bullet"/>
      <w:lvlText w:val="•"/>
      <w:lvlJc w:val="left"/>
      <w:pPr>
        <w:ind w:left="2638" w:hanging="113"/>
      </w:pPr>
      <w:rPr>
        <w:rFonts w:hint="default"/>
      </w:rPr>
    </w:lvl>
  </w:abstractNum>
  <w:abstractNum w:abstractNumId="11">
    <w:multiLevelType w:val="hybridMultilevel"/>
    <w:lvl w:ilvl="0">
      <w:start w:val="1"/>
      <w:numFmt w:val="bullet"/>
      <w:lvlText w:val="-"/>
      <w:lvlJc w:val="left"/>
      <w:pPr>
        <w:ind w:left="600" w:hanging="112"/>
      </w:pPr>
      <w:rPr>
        <w:rFonts w:hint="default" w:ascii="Arial" w:hAnsi="Arial" w:eastAsia="Arial" w:cs="Arial"/>
        <w:w w:val="99"/>
        <w:sz w:val="18"/>
        <w:szCs w:val="18"/>
      </w:rPr>
    </w:lvl>
    <w:lvl w:ilvl="1">
      <w:start w:val="1"/>
      <w:numFmt w:val="bullet"/>
      <w:lvlText w:val="•"/>
      <w:lvlJc w:val="left"/>
      <w:pPr>
        <w:ind w:left="845" w:hanging="112"/>
      </w:pPr>
      <w:rPr>
        <w:rFonts w:hint="default"/>
      </w:rPr>
    </w:lvl>
    <w:lvl w:ilvl="2">
      <w:start w:val="1"/>
      <w:numFmt w:val="bullet"/>
      <w:lvlText w:val="•"/>
      <w:lvlJc w:val="left"/>
      <w:pPr>
        <w:ind w:left="1090" w:hanging="112"/>
      </w:pPr>
      <w:rPr>
        <w:rFonts w:hint="default"/>
      </w:rPr>
    </w:lvl>
    <w:lvl w:ilvl="3">
      <w:start w:val="1"/>
      <w:numFmt w:val="bullet"/>
      <w:lvlText w:val="•"/>
      <w:lvlJc w:val="left"/>
      <w:pPr>
        <w:ind w:left="1335" w:hanging="112"/>
      </w:pPr>
      <w:rPr>
        <w:rFonts w:hint="default"/>
      </w:rPr>
    </w:lvl>
    <w:lvl w:ilvl="4">
      <w:start w:val="1"/>
      <w:numFmt w:val="bullet"/>
      <w:lvlText w:val="•"/>
      <w:lvlJc w:val="left"/>
      <w:pPr>
        <w:ind w:left="1581" w:hanging="112"/>
      </w:pPr>
      <w:rPr>
        <w:rFonts w:hint="default"/>
      </w:rPr>
    </w:lvl>
    <w:lvl w:ilvl="5">
      <w:start w:val="1"/>
      <w:numFmt w:val="bullet"/>
      <w:lvlText w:val="•"/>
      <w:lvlJc w:val="left"/>
      <w:pPr>
        <w:ind w:left="1826" w:hanging="112"/>
      </w:pPr>
      <w:rPr>
        <w:rFonts w:hint="default"/>
      </w:rPr>
    </w:lvl>
    <w:lvl w:ilvl="6">
      <w:start w:val="1"/>
      <w:numFmt w:val="bullet"/>
      <w:lvlText w:val="•"/>
      <w:lvlJc w:val="left"/>
      <w:pPr>
        <w:ind w:left="2071" w:hanging="112"/>
      </w:pPr>
      <w:rPr>
        <w:rFonts w:hint="default"/>
      </w:rPr>
    </w:lvl>
    <w:lvl w:ilvl="7">
      <w:start w:val="1"/>
      <w:numFmt w:val="bullet"/>
      <w:lvlText w:val="•"/>
      <w:lvlJc w:val="left"/>
      <w:pPr>
        <w:ind w:left="2317" w:hanging="112"/>
      </w:pPr>
      <w:rPr>
        <w:rFonts w:hint="default"/>
      </w:rPr>
    </w:lvl>
    <w:lvl w:ilvl="8">
      <w:start w:val="1"/>
      <w:numFmt w:val="bullet"/>
      <w:lvlText w:val="•"/>
      <w:lvlJc w:val="left"/>
      <w:pPr>
        <w:ind w:left="2562" w:hanging="112"/>
      </w:pPr>
      <w:rPr>
        <w:rFonts w:hint="default"/>
      </w:rPr>
    </w:lvl>
  </w:abstractNum>
  <w:abstractNum w:abstractNumId="10">
    <w:multiLevelType w:val="hybridMultilevel"/>
    <w:lvl w:ilvl="0">
      <w:start w:val="1"/>
      <w:numFmt w:val="bullet"/>
      <w:lvlText w:val="-"/>
      <w:lvlJc w:val="left"/>
      <w:pPr>
        <w:ind w:left="821" w:hanging="148"/>
      </w:pPr>
      <w:rPr>
        <w:rFonts w:hint="default" w:ascii="Arial" w:hAnsi="Arial" w:eastAsia="Arial" w:cs="Arial"/>
        <w:w w:val="99"/>
        <w:sz w:val="24"/>
        <w:szCs w:val="24"/>
      </w:rPr>
    </w:lvl>
    <w:lvl w:ilvl="1">
      <w:start w:val="1"/>
      <w:numFmt w:val="bullet"/>
      <w:lvlText w:val="•"/>
      <w:lvlJc w:val="left"/>
      <w:pPr>
        <w:ind w:left="1642" w:hanging="148"/>
      </w:pPr>
      <w:rPr>
        <w:rFonts w:hint="default"/>
      </w:rPr>
    </w:lvl>
    <w:lvl w:ilvl="2">
      <w:start w:val="1"/>
      <w:numFmt w:val="bullet"/>
      <w:lvlText w:val="•"/>
      <w:lvlJc w:val="left"/>
      <w:pPr>
        <w:ind w:left="2464" w:hanging="148"/>
      </w:pPr>
      <w:rPr>
        <w:rFonts w:hint="default"/>
      </w:rPr>
    </w:lvl>
    <w:lvl w:ilvl="3">
      <w:start w:val="1"/>
      <w:numFmt w:val="bullet"/>
      <w:lvlText w:val="•"/>
      <w:lvlJc w:val="left"/>
      <w:pPr>
        <w:ind w:left="3286" w:hanging="148"/>
      </w:pPr>
      <w:rPr>
        <w:rFonts w:hint="default"/>
      </w:rPr>
    </w:lvl>
    <w:lvl w:ilvl="4">
      <w:start w:val="1"/>
      <w:numFmt w:val="bullet"/>
      <w:lvlText w:val="•"/>
      <w:lvlJc w:val="left"/>
      <w:pPr>
        <w:ind w:left="4108" w:hanging="148"/>
      </w:pPr>
      <w:rPr>
        <w:rFonts w:hint="default"/>
      </w:rPr>
    </w:lvl>
    <w:lvl w:ilvl="5">
      <w:start w:val="1"/>
      <w:numFmt w:val="bullet"/>
      <w:lvlText w:val="•"/>
      <w:lvlJc w:val="left"/>
      <w:pPr>
        <w:ind w:left="4930" w:hanging="148"/>
      </w:pPr>
      <w:rPr>
        <w:rFonts w:hint="default"/>
      </w:rPr>
    </w:lvl>
    <w:lvl w:ilvl="6">
      <w:start w:val="1"/>
      <w:numFmt w:val="bullet"/>
      <w:lvlText w:val="•"/>
      <w:lvlJc w:val="left"/>
      <w:pPr>
        <w:ind w:left="5752" w:hanging="148"/>
      </w:pPr>
      <w:rPr>
        <w:rFonts w:hint="default"/>
      </w:rPr>
    </w:lvl>
    <w:lvl w:ilvl="7">
      <w:start w:val="1"/>
      <w:numFmt w:val="bullet"/>
      <w:lvlText w:val="•"/>
      <w:lvlJc w:val="left"/>
      <w:pPr>
        <w:ind w:left="6574" w:hanging="148"/>
      </w:pPr>
      <w:rPr>
        <w:rFonts w:hint="default"/>
      </w:rPr>
    </w:lvl>
    <w:lvl w:ilvl="8">
      <w:start w:val="1"/>
      <w:numFmt w:val="bullet"/>
      <w:lvlText w:val="•"/>
      <w:lvlJc w:val="left"/>
      <w:pPr>
        <w:ind w:left="7396" w:hanging="148"/>
      </w:pPr>
      <w:rPr>
        <w:rFonts w:hint="default"/>
      </w:rPr>
    </w:lvl>
  </w:abstractNum>
  <w:abstractNum w:abstractNumId="9">
    <w:multiLevelType w:val="hybridMultilevel"/>
    <w:lvl w:ilvl="0">
      <w:start w:val="1"/>
      <w:numFmt w:val="decimal"/>
      <w:lvlText w:val="%1."/>
      <w:lvlJc w:val="left"/>
      <w:pPr>
        <w:ind w:left="821" w:hanging="268"/>
        <w:jc w:val="left"/>
      </w:pPr>
      <w:rPr>
        <w:rFonts w:hint="default" w:ascii="Arial" w:hAnsi="Arial" w:eastAsia="Arial" w:cs="Arial"/>
        <w:spacing w:val="-2"/>
        <w:w w:val="99"/>
        <w:sz w:val="24"/>
        <w:szCs w:val="24"/>
      </w:rPr>
    </w:lvl>
    <w:lvl w:ilvl="1">
      <w:start w:val="1"/>
      <w:numFmt w:val="bullet"/>
      <w:lvlText w:val="•"/>
      <w:lvlJc w:val="left"/>
      <w:pPr>
        <w:ind w:left="1644" w:hanging="268"/>
      </w:pPr>
      <w:rPr>
        <w:rFonts w:hint="default"/>
      </w:rPr>
    </w:lvl>
    <w:lvl w:ilvl="2">
      <w:start w:val="1"/>
      <w:numFmt w:val="bullet"/>
      <w:lvlText w:val="•"/>
      <w:lvlJc w:val="left"/>
      <w:pPr>
        <w:ind w:left="2468" w:hanging="268"/>
      </w:pPr>
      <w:rPr>
        <w:rFonts w:hint="default"/>
      </w:rPr>
    </w:lvl>
    <w:lvl w:ilvl="3">
      <w:start w:val="1"/>
      <w:numFmt w:val="bullet"/>
      <w:lvlText w:val="•"/>
      <w:lvlJc w:val="left"/>
      <w:pPr>
        <w:ind w:left="3292" w:hanging="268"/>
      </w:pPr>
      <w:rPr>
        <w:rFonts w:hint="default"/>
      </w:rPr>
    </w:lvl>
    <w:lvl w:ilvl="4">
      <w:start w:val="1"/>
      <w:numFmt w:val="bullet"/>
      <w:lvlText w:val="•"/>
      <w:lvlJc w:val="left"/>
      <w:pPr>
        <w:ind w:left="4116" w:hanging="268"/>
      </w:pPr>
      <w:rPr>
        <w:rFonts w:hint="default"/>
      </w:rPr>
    </w:lvl>
    <w:lvl w:ilvl="5">
      <w:start w:val="1"/>
      <w:numFmt w:val="bullet"/>
      <w:lvlText w:val="•"/>
      <w:lvlJc w:val="left"/>
      <w:pPr>
        <w:ind w:left="4940" w:hanging="268"/>
      </w:pPr>
      <w:rPr>
        <w:rFonts w:hint="default"/>
      </w:rPr>
    </w:lvl>
    <w:lvl w:ilvl="6">
      <w:start w:val="1"/>
      <w:numFmt w:val="bullet"/>
      <w:lvlText w:val="•"/>
      <w:lvlJc w:val="left"/>
      <w:pPr>
        <w:ind w:left="5764" w:hanging="268"/>
      </w:pPr>
      <w:rPr>
        <w:rFonts w:hint="default"/>
      </w:rPr>
    </w:lvl>
    <w:lvl w:ilvl="7">
      <w:start w:val="1"/>
      <w:numFmt w:val="bullet"/>
      <w:lvlText w:val="•"/>
      <w:lvlJc w:val="left"/>
      <w:pPr>
        <w:ind w:left="6588" w:hanging="268"/>
      </w:pPr>
      <w:rPr>
        <w:rFonts w:hint="default"/>
      </w:rPr>
    </w:lvl>
    <w:lvl w:ilvl="8">
      <w:start w:val="1"/>
      <w:numFmt w:val="bullet"/>
      <w:lvlText w:val="•"/>
      <w:lvlJc w:val="left"/>
      <w:pPr>
        <w:ind w:left="7412" w:hanging="268"/>
      </w:pPr>
      <w:rPr>
        <w:rFonts w:hint="default"/>
      </w:rPr>
    </w:lvl>
  </w:abstractNum>
  <w:abstractNum w:abstractNumId="8">
    <w:multiLevelType w:val="hybridMultilevel"/>
    <w:lvl w:ilvl="0">
      <w:start w:val="1"/>
      <w:numFmt w:val="bullet"/>
      <w:lvlText w:val="-"/>
      <w:lvlJc w:val="left"/>
      <w:pPr>
        <w:ind w:left="100" w:hanging="148"/>
      </w:pPr>
      <w:rPr>
        <w:rFonts w:hint="default" w:ascii="Arial" w:hAnsi="Arial" w:eastAsia="Arial" w:cs="Arial"/>
        <w:w w:val="99"/>
        <w:sz w:val="24"/>
        <w:szCs w:val="24"/>
      </w:rPr>
    </w:lvl>
    <w:lvl w:ilvl="1">
      <w:start w:val="1"/>
      <w:numFmt w:val="bullet"/>
      <w:lvlText w:val=""/>
      <w:lvlJc w:val="left"/>
      <w:pPr>
        <w:ind w:left="100" w:hanging="361"/>
      </w:pPr>
      <w:rPr>
        <w:rFonts w:hint="default" w:ascii="Wingdings" w:hAnsi="Wingdings" w:eastAsia="Wingdings" w:cs="Wingdings"/>
        <w:w w:val="99"/>
        <w:sz w:val="24"/>
        <w:szCs w:val="24"/>
      </w:rPr>
    </w:lvl>
    <w:lvl w:ilvl="2">
      <w:start w:val="1"/>
      <w:numFmt w:val="bullet"/>
      <w:lvlText w:val="•"/>
      <w:lvlJc w:val="left"/>
      <w:pPr>
        <w:ind w:left="960" w:hanging="361"/>
      </w:pPr>
      <w:rPr>
        <w:rFonts w:hint="default"/>
      </w:rPr>
    </w:lvl>
    <w:lvl w:ilvl="3">
      <w:start w:val="1"/>
      <w:numFmt w:val="bullet"/>
      <w:lvlText w:val="•"/>
      <w:lvlJc w:val="left"/>
      <w:pPr>
        <w:ind w:left="1970" w:hanging="361"/>
      </w:pPr>
      <w:rPr>
        <w:rFonts w:hint="default"/>
      </w:rPr>
    </w:lvl>
    <w:lvl w:ilvl="4">
      <w:start w:val="1"/>
      <w:numFmt w:val="bullet"/>
      <w:lvlText w:val="•"/>
      <w:lvlJc w:val="left"/>
      <w:pPr>
        <w:ind w:left="2980" w:hanging="361"/>
      </w:pPr>
      <w:rPr>
        <w:rFonts w:hint="default"/>
      </w:rPr>
    </w:lvl>
    <w:lvl w:ilvl="5">
      <w:start w:val="1"/>
      <w:numFmt w:val="bullet"/>
      <w:lvlText w:val="•"/>
      <w:lvlJc w:val="left"/>
      <w:pPr>
        <w:ind w:left="3990" w:hanging="361"/>
      </w:pPr>
      <w:rPr>
        <w:rFonts w:hint="default"/>
      </w:rPr>
    </w:lvl>
    <w:lvl w:ilvl="6">
      <w:start w:val="1"/>
      <w:numFmt w:val="bullet"/>
      <w:lvlText w:val="•"/>
      <w:lvlJc w:val="left"/>
      <w:pPr>
        <w:ind w:left="5000" w:hanging="361"/>
      </w:pPr>
      <w:rPr>
        <w:rFonts w:hint="default"/>
      </w:rPr>
    </w:lvl>
    <w:lvl w:ilvl="7">
      <w:start w:val="1"/>
      <w:numFmt w:val="bullet"/>
      <w:lvlText w:val="•"/>
      <w:lvlJc w:val="left"/>
      <w:pPr>
        <w:ind w:left="6010" w:hanging="361"/>
      </w:pPr>
      <w:rPr>
        <w:rFonts w:hint="default"/>
      </w:rPr>
    </w:lvl>
    <w:lvl w:ilvl="8">
      <w:start w:val="1"/>
      <w:numFmt w:val="bullet"/>
      <w:lvlText w:val="•"/>
      <w:lvlJc w:val="left"/>
      <w:pPr>
        <w:ind w:left="7020" w:hanging="361"/>
      </w:pPr>
      <w:rPr>
        <w:rFonts w:hint="default"/>
      </w:rPr>
    </w:lvl>
  </w:abstractNum>
  <w:abstractNum w:abstractNumId="7">
    <w:multiLevelType w:val="hybridMultilevel"/>
    <w:lvl w:ilvl="0">
      <w:start w:val="2"/>
      <w:numFmt w:val="decimal"/>
      <w:lvlText w:val="%1"/>
      <w:lvlJc w:val="left"/>
      <w:pPr>
        <w:ind w:left="897" w:hanging="797"/>
        <w:jc w:val="left"/>
      </w:pPr>
      <w:rPr>
        <w:rFonts w:hint="default"/>
      </w:rPr>
    </w:lvl>
    <w:lvl w:ilvl="1">
      <w:start w:val="3"/>
      <w:numFmt w:val="decimal"/>
      <w:lvlText w:val="%1.%2"/>
      <w:lvlJc w:val="left"/>
      <w:pPr>
        <w:ind w:left="897" w:hanging="797"/>
        <w:jc w:val="left"/>
      </w:pPr>
      <w:rPr>
        <w:rFonts w:hint="default"/>
      </w:rPr>
    </w:lvl>
    <w:lvl w:ilvl="2">
      <w:start w:val="1"/>
      <w:numFmt w:val="decimal"/>
      <w:lvlText w:val="%1.%2.%3."/>
      <w:lvlJc w:val="left"/>
      <w:pPr>
        <w:ind w:left="897" w:hanging="797"/>
        <w:jc w:val="right"/>
      </w:pPr>
      <w:rPr>
        <w:rFonts w:hint="default" w:ascii="Arial" w:hAnsi="Arial" w:eastAsia="Arial" w:cs="Arial"/>
        <w:spacing w:val="-2"/>
        <w:w w:val="100"/>
        <w:sz w:val="28"/>
        <w:szCs w:val="28"/>
      </w:rPr>
    </w:lvl>
    <w:lvl w:ilvl="3">
      <w:start w:val="1"/>
      <w:numFmt w:val="bullet"/>
      <w:lvlText w:val=""/>
      <w:lvlJc w:val="left"/>
      <w:pPr>
        <w:ind w:left="701" w:hanging="361"/>
      </w:pPr>
      <w:rPr>
        <w:rFonts w:hint="default" w:ascii="Wingdings" w:hAnsi="Wingdings" w:eastAsia="Wingdings" w:cs="Wingdings"/>
        <w:w w:val="99"/>
        <w:sz w:val="24"/>
        <w:szCs w:val="24"/>
      </w:rPr>
    </w:lvl>
    <w:lvl w:ilvl="4">
      <w:start w:val="1"/>
      <w:numFmt w:val="bullet"/>
      <w:lvlText w:val=""/>
      <w:lvlJc w:val="left"/>
      <w:pPr>
        <w:ind w:left="821" w:hanging="361"/>
      </w:pPr>
      <w:rPr>
        <w:rFonts w:hint="default" w:ascii="Wingdings" w:hAnsi="Wingdings" w:eastAsia="Wingdings" w:cs="Wingdings"/>
        <w:w w:val="99"/>
        <w:sz w:val="24"/>
        <w:szCs w:val="24"/>
      </w:rPr>
    </w:lvl>
    <w:lvl w:ilvl="5">
      <w:start w:val="1"/>
      <w:numFmt w:val="bullet"/>
      <w:lvlText w:val="•"/>
      <w:lvlJc w:val="left"/>
      <w:pPr>
        <w:ind w:left="3907" w:hanging="361"/>
      </w:pPr>
      <w:rPr>
        <w:rFonts w:hint="default"/>
      </w:rPr>
    </w:lvl>
    <w:lvl w:ilvl="6">
      <w:start w:val="1"/>
      <w:numFmt w:val="bullet"/>
      <w:lvlText w:val="•"/>
      <w:lvlJc w:val="left"/>
      <w:pPr>
        <w:ind w:left="4910" w:hanging="361"/>
      </w:pPr>
      <w:rPr>
        <w:rFonts w:hint="default"/>
      </w:rPr>
    </w:lvl>
    <w:lvl w:ilvl="7">
      <w:start w:val="1"/>
      <w:numFmt w:val="bullet"/>
      <w:lvlText w:val="•"/>
      <w:lvlJc w:val="left"/>
      <w:pPr>
        <w:ind w:left="5912" w:hanging="361"/>
      </w:pPr>
      <w:rPr>
        <w:rFonts w:hint="default"/>
      </w:rPr>
    </w:lvl>
    <w:lvl w:ilvl="8">
      <w:start w:val="1"/>
      <w:numFmt w:val="bullet"/>
      <w:lvlText w:val="•"/>
      <w:lvlJc w:val="left"/>
      <w:pPr>
        <w:ind w:left="6915" w:hanging="361"/>
      </w:pPr>
      <w:rPr>
        <w:rFonts w:hint="default"/>
      </w:rPr>
    </w:lvl>
  </w:abstractNum>
  <w:abstractNum w:abstractNumId="6">
    <w:multiLevelType w:val="hybridMultilevel"/>
    <w:lvl w:ilvl="0">
      <w:start w:val="1"/>
      <w:numFmt w:val="decimal"/>
      <w:lvlText w:val="%1)"/>
      <w:lvlJc w:val="left"/>
      <w:pPr>
        <w:ind w:left="100" w:hanging="280"/>
        <w:jc w:val="left"/>
      </w:pPr>
      <w:rPr>
        <w:rFonts w:hint="default" w:ascii="Arial" w:hAnsi="Arial" w:eastAsia="Arial" w:cs="Arial"/>
        <w:spacing w:val="-2"/>
        <w:w w:val="99"/>
        <w:sz w:val="24"/>
        <w:szCs w:val="24"/>
      </w:rPr>
    </w:lvl>
    <w:lvl w:ilvl="1">
      <w:start w:val="1"/>
      <w:numFmt w:val="bullet"/>
      <w:lvlText w:val="•"/>
      <w:lvlJc w:val="left"/>
      <w:pPr>
        <w:ind w:left="994" w:hanging="280"/>
      </w:pPr>
      <w:rPr>
        <w:rFonts w:hint="default"/>
      </w:rPr>
    </w:lvl>
    <w:lvl w:ilvl="2">
      <w:start w:val="1"/>
      <w:numFmt w:val="bullet"/>
      <w:lvlText w:val="•"/>
      <w:lvlJc w:val="left"/>
      <w:pPr>
        <w:ind w:left="1888" w:hanging="280"/>
      </w:pPr>
      <w:rPr>
        <w:rFonts w:hint="default"/>
      </w:rPr>
    </w:lvl>
    <w:lvl w:ilvl="3">
      <w:start w:val="1"/>
      <w:numFmt w:val="bullet"/>
      <w:lvlText w:val="•"/>
      <w:lvlJc w:val="left"/>
      <w:pPr>
        <w:ind w:left="2782" w:hanging="280"/>
      </w:pPr>
      <w:rPr>
        <w:rFonts w:hint="default"/>
      </w:rPr>
    </w:lvl>
    <w:lvl w:ilvl="4">
      <w:start w:val="1"/>
      <w:numFmt w:val="bullet"/>
      <w:lvlText w:val="•"/>
      <w:lvlJc w:val="left"/>
      <w:pPr>
        <w:ind w:left="3676" w:hanging="280"/>
      </w:pPr>
      <w:rPr>
        <w:rFonts w:hint="default"/>
      </w:rPr>
    </w:lvl>
    <w:lvl w:ilvl="5">
      <w:start w:val="1"/>
      <w:numFmt w:val="bullet"/>
      <w:lvlText w:val="•"/>
      <w:lvlJc w:val="left"/>
      <w:pPr>
        <w:ind w:left="4570" w:hanging="280"/>
      </w:pPr>
      <w:rPr>
        <w:rFonts w:hint="default"/>
      </w:rPr>
    </w:lvl>
    <w:lvl w:ilvl="6">
      <w:start w:val="1"/>
      <w:numFmt w:val="bullet"/>
      <w:lvlText w:val="•"/>
      <w:lvlJc w:val="left"/>
      <w:pPr>
        <w:ind w:left="5464" w:hanging="280"/>
      </w:pPr>
      <w:rPr>
        <w:rFonts w:hint="default"/>
      </w:rPr>
    </w:lvl>
    <w:lvl w:ilvl="7">
      <w:start w:val="1"/>
      <w:numFmt w:val="bullet"/>
      <w:lvlText w:val="•"/>
      <w:lvlJc w:val="left"/>
      <w:pPr>
        <w:ind w:left="6358" w:hanging="280"/>
      </w:pPr>
      <w:rPr>
        <w:rFonts w:hint="default"/>
      </w:rPr>
    </w:lvl>
    <w:lvl w:ilvl="8">
      <w:start w:val="1"/>
      <w:numFmt w:val="bullet"/>
      <w:lvlText w:val="•"/>
      <w:lvlJc w:val="left"/>
      <w:pPr>
        <w:ind w:left="7252" w:hanging="280"/>
      </w:pPr>
      <w:rPr>
        <w:rFonts w:hint="default"/>
      </w:rPr>
    </w:lvl>
  </w:abstractNum>
  <w:abstractNum w:abstractNumId="5">
    <w:multiLevelType w:val="hybridMultilevel"/>
    <w:lvl w:ilvl="0">
      <w:start w:val="2"/>
      <w:numFmt w:val="decimal"/>
      <w:lvlText w:val="%1"/>
      <w:lvlJc w:val="left"/>
      <w:pPr>
        <w:ind w:left="901" w:hanging="801"/>
        <w:jc w:val="left"/>
      </w:pPr>
      <w:rPr>
        <w:rFonts w:hint="default"/>
      </w:rPr>
    </w:lvl>
    <w:lvl w:ilvl="1">
      <w:start w:val="2"/>
      <w:numFmt w:val="decimal"/>
      <w:lvlText w:val="%1.%2"/>
      <w:lvlJc w:val="left"/>
      <w:pPr>
        <w:ind w:left="901" w:hanging="801"/>
        <w:jc w:val="left"/>
      </w:pPr>
      <w:rPr>
        <w:rFonts w:hint="default"/>
      </w:rPr>
    </w:lvl>
    <w:lvl w:ilvl="2">
      <w:start w:val="1"/>
      <w:numFmt w:val="decimal"/>
      <w:lvlText w:val="%1.%2.%3."/>
      <w:lvlJc w:val="left"/>
      <w:pPr>
        <w:ind w:left="901" w:hanging="801"/>
        <w:jc w:val="left"/>
      </w:pPr>
      <w:rPr>
        <w:rFonts w:hint="default" w:ascii="Arial" w:hAnsi="Arial" w:eastAsia="Arial" w:cs="Arial"/>
        <w:spacing w:val="-2"/>
        <w:w w:val="100"/>
        <w:sz w:val="28"/>
        <w:szCs w:val="28"/>
      </w:rPr>
    </w:lvl>
    <w:lvl w:ilvl="3">
      <w:start w:val="1"/>
      <w:numFmt w:val="bullet"/>
      <w:lvlText w:val="•"/>
      <w:lvlJc w:val="left"/>
      <w:pPr>
        <w:ind w:left="3348" w:hanging="801"/>
      </w:pPr>
      <w:rPr>
        <w:rFonts w:hint="default"/>
      </w:rPr>
    </w:lvl>
    <w:lvl w:ilvl="4">
      <w:start w:val="1"/>
      <w:numFmt w:val="bullet"/>
      <w:lvlText w:val="•"/>
      <w:lvlJc w:val="left"/>
      <w:pPr>
        <w:ind w:left="4164" w:hanging="801"/>
      </w:pPr>
      <w:rPr>
        <w:rFonts w:hint="default"/>
      </w:rPr>
    </w:lvl>
    <w:lvl w:ilvl="5">
      <w:start w:val="1"/>
      <w:numFmt w:val="bullet"/>
      <w:lvlText w:val="•"/>
      <w:lvlJc w:val="left"/>
      <w:pPr>
        <w:ind w:left="4980" w:hanging="801"/>
      </w:pPr>
      <w:rPr>
        <w:rFonts w:hint="default"/>
      </w:rPr>
    </w:lvl>
    <w:lvl w:ilvl="6">
      <w:start w:val="1"/>
      <w:numFmt w:val="bullet"/>
      <w:lvlText w:val="•"/>
      <w:lvlJc w:val="left"/>
      <w:pPr>
        <w:ind w:left="5796" w:hanging="801"/>
      </w:pPr>
      <w:rPr>
        <w:rFonts w:hint="default"/>
      </w:rPr>
    </w:lvl>
    <w:lvl w:ilvl="7">
      <w:start w:val="1"/>
      <w:numFmt w:val="bullet"/>
      <w:lvlText w:val="•"/>
      <w:lvlJc w:val="left"/>
      <w:pPr>
        <w:ind w:left="6612" w:hanging="801"/>
      </w:pPr>
      <w:rPr>
        <w:rFonts w:hint="default"/>
      </w:rPr>
    </w:lvl>
    <w:lvl w:ilvl="8">
      <w:start w:val="1"/>
      <w:numFmt w:val="bullet"/>
      <w:lvlText w:val="•"/>
      <w:lvlJc w:val="left"/>
      <w:pPr>
        <w:ind w:left="7428" w:hanging="801"/>
      </w:pPr>
      <w:rPr>
        <w:rFonts w:hint="default"/>
      </w:rPr>
    </w:lvl>
  </w:abstractNum>
  <w:abstractNum w:abstractNumId="4">
    <w:multiLevelType w:val="hybridMultilevel"/>
    <w:lvl w:ilvl="0">
      <w:start w:val="2"/>
      <w:numFmt w:val="decimal"/>
      <w:lvlText w:val="%1"/>
      <w:lvlJc w:val="left"/>
      <w:pPr>
        <w:ind w:left="676" w:hanging="576"/>
        <w:jc w:val="left"/>
      </w:pPr>
      <w:rPr>
        <w:rFonts w:hint="default"/>
      </w:rPr>
    </w:lvl>
    <w:lvl w:ilvl="1">
      <w:start w:val="1"/>
      <w:numFmt w:val="decimal"/>
      <w:lvlText w:val="%1.%2."/>
      <w:lvlJc w:val="left"/>
      <w:pPr>
        <w:ind w:left="676" w:hanging="576"/>
        <w:jc w:val="left"/>
      </w:pPr>
      <w:rPr>
        <w:rFonts w:hint="default" w:ascii="Arial" w:hAnsi="Arial" w:eastAsia="Arial" w:cs="Arial"/>
        <w:spacing w:val="-2"/>
        <w:w w:val="100"/>
        <w:sz w:val="28"/>
        <w:szCs w:val="28"/>
      </w:rPr>
    </w:lvl>
    <w:lvl w:ilvl="2">
      <w:start w:val="1"/>
      <w:numFmt w:val="bullet"/>
      <w:lvlText w:val=""/>
      <w:lvlJc w:val="left"/>
      <w:pPr>
        <w:ind w:left="821" w:hanging="361"/>
      </w:pPr>
      <w:rPr>
        <w:rFonts w:hint="default" w:ascii="Symbol" w:hAnsi="Symbol" w:eastAsia="Symbol" w:cs="Symbol"/>
        <w:w w:val="100"/>
        <w:sz w:val="24"/>
        <w:szCs w:val="24"/>
      </w:rPr>
    </w:lvl>
    <w:lvl w:ilvl="3">
      <w:start w:val="1"/>
      <w:numFmt w:val="bullet"/>
      <w:lvlText w:val="•"/>
      <w:lvlJc w:val="left"/>
      <w:pPr>
        <w:ind w:left="2651" w:hanging="361"/>
      </w:pPr>
      <w:rPr>
        <w:rFonts w:hint="default"/>
      </w:rPr>
    </w:lvl>
    <w:lvl w:ilvl="4">
      <w:start w:val="1"/>
      <w:numFmt w:val="bullet"/>
      <w:lvlText w:val="•"/>
      <w:lvlJc w:val="left"/>
      <w:pPr>
        <w:ind w:left="3566" w:hanging="361"/>
      </w:pPr>
      <w:rPr>
        <w:rFonts w:hint="default"/>
      </w:rPr>
    </w:lvl>
    <w:lvl w:ilvl="5">
      <w:start w:val="1"/>
      <w:numFmt w:val="bullet"/>
      <w:lvlText w:val="•"/>
      <w:lvlJc w:val="left"/>
      <w:pPr>
        <w:ind w:left="4482" w:hanging="361"/>
      </w:pPr>
      <w:rPr>
        <w:rFonts w:hint="default"/>
      </w:rPr>
    </w:lvl>
    <w:lvl w:ilvl="6">
      <w:start w:val="1"/>
      <w:numFmt w:val="bullet"/>
      <w:lvlText w:val="•"/>
      <w:lvlJc w:val="left"/>
      <w:pPr>
        <w:ind w:left="5397" w:hanging="361"/>
      </w:pPr>
      <w:rPr>
        <w:rFonts w:hint="default"/>
      </w:rPr>
    </w:lvl>
    <w:lvl w:ilvl="7">
      <w:start w:val="1"/>
      <w:numFmt w:val="bullet"/>
      <w:lvlText w:val="•"/>
      <w:lvlJc w:val="left"/>
      <w:pPr>
        <w:ind w:left="6313" w:hanging="361"/>
      </w:pPr>
      <w:rPr>
        <w:rFonts w:hint="default"/>
      </w:rPr>
    </w:lvl>
    <w:lvl w:ilvl="8">
      <w:start w:val="1"/>
      <w:numFmt w:val="bullet"/>
      <w:lvlText w:val="•"/>
      <w:lvlJc w:val="left"/>
      <w:pPr>
        <w:ind w:left="7228" w:hanging="361"/>
      </w:pPr>
      <w:rPr>
        <w:rFonts w:hint="default"/>
      </w:rPr>
    </w:lvl>
  </w:abstractNum>
  <w:abstractNum w:abstractNumId="3">
    <w:multiLevelType w:val="hybridMultilevel"/>
    <w:lvl w:ilvl="0">
      <w:start w:val="1"/>
      <w:numFmt w:val="decimal"/>
      <w:lvlText w:val="%1."/>
      <w:lvlJc w:val="left"/>
      <w:pPr>
        <w:ind w:left="120" w:hanging="361"/>
        <w:jc w:val="left"/>
      </w:pPr>
      <w:rPr>
        <w:rFonts w:hint="default" w:ascii="Arial" w:hAnsi="Arial" w:eastAsia="Arial" w:cs="Arial"/>
        <w:spacing w:val="-5"/>
        <w:w w:val="99"/>
        <w:sz w:val="24"/>
        <w:szCs w:val="24"/>
      </w:rPr>
    </w:lvl>
    <w:lvl w:ilvl="1">
      <w:start w:val="1"/>
      <w:numFmt w:val="bullet"/>
      <w:lvlText w:val="•"/>
      <w:lvlJc w:val="left"/>
      <w:pPr>
        <w:ind w:left="1060" w:hanging="361"/>
      </w:pPr>
      <w:rPr>
        <w:rFonts w:hint="default"/>
      </w:rPr>
    </w:lvl>
    <w:lvl w:ilvl="2">
      <w:start w:val="1"/>
      <w:numFmt w:val="bullet"/>
      <w:lvlText w:val="•"/>
      <w:lvlJc w:val="left"/>
      <w:pPr>
        <w:ind w:left="1933" w:hanging="361"/>
      </w:pPr>
      <w:rPr>
        <w:rFonts w:hint="default"/>
      </w:rPr>
    </w:lvl>
    <w:lvl w:ilvl="3">
      <w:start w:val="1"/>
      <w:numFmt w:val="bullet"/>
      <w:lvlText w:val="•"/>
      <w:lvlJc w:val="left"/>
      <w:pPr>
        <w:ind w:left="2806" w:hanging="361"/>
      </w:pPr>
      <w:rPr>
        <w:rFonts w:hint="default"/>
      </w:rPr>
    </w:lvl>
    <w:lvl w:ilvl="4">
      <w:start w:val="1"/>
      <w:numFmt w:val="bullet"/>
      <w:lvlText w:val="•"/>
      <w:lvlJc w:val="left"/>
      <w:pPr>
        <w:ind w:left="3680" w:hanging="361"/>
      </w:pPr>
      <w:rPr>
        <w:rFonts w:hint="default"/>
      </w:rPr>
    </w:lvl>
    <w:lvl w:ilvl="5">
      <w:start w:val="1"/>
      <w:numFmt w:val="bullet"/>
      <w:lvlText w:val="•"/>
      <w:lvlJc w:val="left"/>
      <w:pPr>
        <w:ind w:left="4553" w:hanging="361"/>
      </w:pPr>
      <w:rPr>
        <w:rFonts w:hint="default"/>
      </w:rPr>
    </w:lvl>
    <w:lvl w:ilvl="6">
      <w:start w:val="1"/>
      <w:numFmt w:val="bullet"/>
      <w:lvlText w:val="•"/>
      <w:lvlJc w:val="left"/>
      <w:pPr>
        <w:ind w:left="5426" w:hanging="361"/>
      </w:pPr>
      <w:rPr>
        <w:rFonts w:hint="default"/>
      </w:rPr>
    </w:lvl>
    <w:lvl w:ilvl="7">
      <w:start w:val="1"/>
      <w:numFmt w:val="bullet"/>
      <w:lvlText w:val="•"/>
      <w:lvlJc w:val="left"/>
      <w:pPr>
        <w:ind w:left="6300" w:hanging="361"/>
      </w:pPr>
      <w:rPr>
        <w:rFonts w:hint="default"/>
      </w:rPr>
    </w:lvl>
    <w:lvl w:ilvl="8">
      <w:start w:val="1"/>
      <w:numFmt w:val="bullet"/>
      <w:lvlText w:val="•"/>
      <w:lvlJc w:val="left"/>
      <w:pPr>
        <w:ind w:left="7173" w:hanging="361"/>
      </w:pPr>
      <w:rPr>
        <w:rFonts w:hint="default"/>
      </w:rPr>
    </w:lvl>
  </w:abstractNum>
  <w:abstractNum w:abstractNumId="1">
    <w:multiLevelType w:val="hybridMultilevel"/>
    <w:lvl w:ilvl="0">
      <w:start w:val="1"/>
      <w:numFmt w:val="decimal"/>
      <w:lvlText w:val="%1"/>
      <w:lvlJc w:val="left"/>
      <w:pPr>
        <w:ind w:left="676" w:hanging="576"/>
        <w:jc w:val="left"/>
      </w:pPr>
      <w:rPr>
        <w:rFonts w:hint="default"/>
      </w:rPr>
    </w:lvl>
    <w:lvl w:ilvl="1">
      <w:start w:val="1"/>
      <w:numFmt w:val="decimal"/>
      <w:lvlText w:val="%1.%2."/>
      <w:lvlJc w:val="left"/>
      <w:pPr>
        <w:ind w:left="676" w:hanging="576"/>
        <w:jc w:val="left"/>
      </w:pPr>
      <w:rPr>
        <w:rFonts w:hint="default" w:ascii="Arial" w:hAnsi="Arial" w:eastAsia="Arial" w:cs="Arial"/>
        <w:spacing w:val="-2"/>
        <w:w w:val="100"/>
        <w:sz w:val="28"/>
        <w:szCs w:val="28"/>
      </w:rPr>
    </w:lvl>
    <w:lvl w:ilvl="2">
      <w:start w:val="1"/>
      <w:numFmt w:val="decimal"/>
      <w:lvlText w:val="%1.%2.%3."/>
      <w:lvlJc w:val="left"/>
      <w:pPr>
        <w:ind w:left="897" w:hanging="797"/>
        <w:jc w:val="left"/>
      </w:pPr>
      <w:rPr>
        <w:rFonts w:hint="default" w:ascii="Arial" w:hAnsi="Arial" w:eastAsia="Arial" w:cs="Arial"/>
        <w:spacing w:val="-2"/>
        <w:w w:val="100"/>
        <w:sz w:val="28"/>
        <w:szCs w:val="28"/>
      </w:rPr>
    </w:lvl>
    <w:lvl w:ilvl="3">
      <w:start w:val="1"/>
      <w:numFmt w:val="bullet"/>
      <w:lvlText w:val=""/>
      <w:lvlJc w:val="left"/>
      <w:pPr>
        <w:ind w:left="100" w:hanging="361"/>
      </w:pPr>
      <w:rPr>
        <w:rFonts w:hint="default" w:ascii="Wingdings" w:hAnsi="Wingdings" w:eastAsia="Wingdings" w:cs="Wingdings"/>
        <w:w w:val="99"/>
        <w:sz w:val="24"/>
        <w:szCs w:val="24"/>
      </w:rPr>
    </w:lvl>
    <w:lvl w:ilvl="4">
      <w:start w:val="1"/>
      <w:numFmt w:val="bullet"/>
      <w:lvlText w:val="•"/>
      <w:lvlJc w:val="left"/>
      <w:pPr>
        <w:ind w:left="2935" w:hanging="361"/>
      </w:pPr>
      <w:rPr>
        <w:rFonts w:hint="default"/>
      </w:rPr>
    </w:lvl>
    <w:lvl w:ilvl="5">
      <w:start w:val="1"/>
      <w:numFmt w:val="bullet"/>
      <w:lvlText w:val="•"/>
      <w:lvlJc w:val="left"/>
      <w:pPr>
        <w:ind w:left="3952" w:hanging="361"/>
      </w:pPr>
      <w:rPr>
        <w:rFonts w:hint="default"/>
      </w:rPr>
    </w:lvl>
    <w:lvl w:ilvl="6">
      <w:start w:val="1"/>
      <w:numFmt w:val="bullet"/>
      <w:lvlText w:val="•"/>
      <w:lvlJc w:val="left"/>
      <w:pPr>
        <w:ind w:left="4970" w:hanging="361"/>
      </w:pPr>
      <w:rPr>
        <w:rFonts w:hint="default"/>
      </w:rPr>
    </w:lvl>
    <w:lvl w:ilvl="7">
      <w:start w:val="1"/>
      <w:numFmt w:val="bullet"/>
      <w:lvlText w:val="•"/>
      <w:lvlJc w:val="left"/>
      <w:pPr>
        <w:ind w:left="5987" w:hanging="361"/>
      </w:pPr>
      <w:rPr>
        <w:rFonts w:hint="default"/>
      </w:rPr>
    </w:lvl>
    <w:lvl w:ilvl="8">
      <w:start w:val="1"/>
      <w:numFmt w:val="bullet"/>
      <w:lvlText w:val="•"/>
      <w:lvlJc w:val="left"/>
      <w:pPr>
        <w:ind w:left="7005" w:hanging="361"/>
      </w:pPr>
      <w:rPr>
        <w:rFonts w:hint="default"/>
      </w:rPr>
    </w:lvl>
  </w:abstractNum>
  <w:abstractNum w:abstractNumId="0">
    <w:multiLevelType w:val="hybridMultilevel"/>
    <w:lvl w:ilvl="0">
      <w:start w:val="1"/>
      <w:numFmt w:val="decimal"/>
      <w:lvlText w:val="%1."/>
      <w:lvlJc w:val="left"/>
      <w:pPr>
        <w:ind w:left="100" w:hanging="440"/>
        <w:jc w:val="left"/>
      </w:pPr>
      <w:rPr>
        <w:rFonts w:hint="default" w:ascii="Arial" w:hAnsi="Arial" w:eastAsia="Arial" w:cs="Arial"/>
        <w:b/>
        <w:bCs/>
        <w:w w:val="99"/>
        <w:sz w:val="20"/>
        <w:szCs w:val="20"/>
      </w:rPr>
    </w:lvl>
    <w:lvl w:ilvl="1">
      <w:start w:val="1"/>
      <w:numFmt w:val="decimal"/>
      <w:lvlText w:val="%1.%2."/>
      <w:lvlJc w:val="left"/>
      <w:pPr>
        <w:ind w:left="981" w:hanging="661"/>
        <w:jc w:val="left"/>
      </w:pPr>
      <w:rPr>
        <w:rFonts w:hint="default" w:ascii="Arial" w:hAnsi="Arial" w:eastAsia="Arial" w:cs="Arial"/>
        <w:w w:val="99"/>
        <w:sz w:val="20"/>
        <w:szCs w:val="20"/>
      </w:rPr>
    </w:lvl>
    <w:lvl w:ilvl="2">
      <w:start w:val="1"/>
      <w:numFmt w:val="decimal"/>
      <w:lvlText w:val="%1.%2.%3."/>
      <w:lvlJc w:val="left"/>
      <w:pPr>
        <w:ind w:left="1421" w:hanging="881"/>
        <w:jc w:val="left"/>
      </w:pPr>
      <w:rPr>
        <w:rFonts w:hint="default" w:ascii="Arial" w:hAnsi="Arial" w:eastAsia="Arial" w:cs="Arial"/>
        <w:i/>
        <w:spacing w:val="-5"/>
        <w:w w:val="99"/>
        <w:sz w:val="20"/>
        <w:szCs w:val="20"/>
      </w:rPr>
    </w:lvl>
    <w:lvl w:ilvl="3">
      <w:start w:val="1"/>
      <w:numFmt w:val="decimal"/>
      <w:lvlText w:val="%1.%2.%3.%4."/>
      <w:lvlJc w:val="left"/>
      <w:pPr>
        <w:ind w:left="1641" w:hanging="880"/>
        <w:jc w:val="left"/>
      </w:pPr>
      <w:rPr>
        <w:rFonts w:hint="default" w:ascii="Arial" w:hAnsi="Arial" w:eastAsia="Arial" w:cs="Arial"/>
        <w:spacing w:val="-5"/>
        <w:w w:val="99"/>
        <w:sz w:val="18"/>
        <w:szCs w:val="18"/>
      </w:rPr>
    </w:lvl>
    <w:lvl w:ilvl="4">
      <w:start w:val="1"/>
      <w:numFmt w:val="bullet"/>
      <w:lvlText w:val="•"/>
      <w:lvlJc w:val="left"/>
      <w:pPr>
        <w:ind w:left="2697" w:hanging="880"/>
      </w:pPr>
      <w:rPr>
        <w:rFonts w:hint="default"/>
      </w:rPr>
    </w:lvl>
    <w:lvl w:ilvl="5">
      <w:start w:val="1"/>
      <w:numFmt w:val="bullet"/>
      <w:lvlText w:val="•"/>
      <w:lvlJc w:val="left"/>
      <w:pPr>
        <w:ind w:left="3754" w:hanging="880"/>
      </w:pPr>
      <w:rPr>
        <w:rFonts w:hint="default"/>
      </w:rPr>
    </w:lvl>
    <w:lvl w:ilvl="6">
      <w:start w:val="1"/>
      <w:numFmt w:val="bullet"/>
      <w:lvlText w:val="•"/>
      <w:lvlJc w:val="left"/>
      <w:pPr>
        <w:ind w:left="4811" w:hanging="880"/>
      </w:pPr>
      <w:rPr>
        <w:rFonts w:hint="default"/>
      </w:rPr>
    </w:lvl>
    <w:lvl w:ilvl="7">
      <w:start w:val="1"/>
      <w:numFmt w:val="bullet"/>
      <w:lvlText w:val="•"/>
      <w:lvlJc w:val="left"/>
      <w:pPr>
        <w:ind w:left="5868" w:hanging="880"/>
      </w:pPr>
      <w:rPr>
        <w:rFonts w:hint="default"/>
      </w:rPr>
    </w:lvl>
    <w:lvl w:ilvl="8">
      <w:start w:val="1"/>
      <w:numFmt w:val="bullet"/>
      <w:lvlText w:val="•"/>
      <w:lvlJc w:val="left"/>
      <w:pPr>
        <w:ind w:left="6925" w:hanging="880"/>
      </w:pPr>
      <w:rPr>
        <w:rFonts w:hint="default"/>
      </w:rPr>
    </w:lvl>
  </w:abstractNum>
  <w:num w:numId="3">
    <w:abstractNumId w:val="2"/>
  </w:num>
  <w:num w:numId="64">
    <w:abstractNumId w:val="63"/>
  </w:num>
  <w:num w:numId="63">
    <w:abstractNumId w:val="62"/>
  </w:num>
  <w:num w:numId="62">
    <w:abstractNumId w:val="61"/>
  </w:num>
  <w:num w:numId="61">
    <w:abstractNumId w:val="60"/>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230"/>
      <w:ind w:left="540" w:hanging="440"/>
    </w:pPr>
    <w:rPr>
      <w:rFonts w:ascii="Arial" w:hAnsi="Arial" w:eastAsia="Arial" w:cs="Arial"/>
      <w:b/>
      <w:bCs/>
      <w:sz w:val="20"/>
      <w:szCs w:val="20"/>
    </w:rPr>
  </w:style>
  <w:style w:styleId="TOC2" w:type="paragraph">
    <w:name w:val="TOC 2"/>
    <w:basedOn w:val="Normal"/>
    <w:uiPriority w:val="1"/>
    <w:qFormat/>
    <w:pPr>
      <w:spacing w:before="114"/>
      <w:ind w:left="981" w:hanging="661"/>
    </w:pPr>
    <w:rPr>
      <w:rFonts w:ascii="Arial" w:hAnsi="Arial" w:eastAsia="Arial" w:cs="Arial"/>
      <w:sz w:val="16"/>
      <w:szCs w:val="16"/>
    </w:rPr>
  </w:style>
  <w:style w:styleId="TOC3" w:type="paragraph">
    <w:name w:val="TOC 3"/>
    <w:basedOn w:val="Normal"/>
    <w:uiPriority w:val="1"/>
    <w:qFormat/>
    <w:pPr>
      <w:spacing w:before="114"/>
      <w:ind w:left="981" w:hanging="661"/>
    </w:pPr>
    <w:rPr>
      <w:rFonts w:ascii="Arial" w:hAnsi="Arial" w:eastAsia="Arial" w:cs="Arial"/>
      <w:b/>
      <w:bCs/>
      <w:i/>
    </w:rPr>
  </w:style>
  <w:style w:styleId="TOC4" w:type="paragraph">
    <w:name w:val="TOC 4"/>
    <w:basedOn w:val="Normal"/>
    <w:uiPriority w:val="1"/>
    <w:qFormat/>
    <w:pPr>
      <w:spacing w:before="114"/>
      <w:ind w:left="1421" w:hanging="881"/>
    </w:pPr>
    <w:rPr>
      <w:rFonts w:ascii="Arial" w:hAnsi="Arial" w:eastAsia="Arial" w:cs="Arial"/>
      <w:i/>
      <w:sz w:val="20"/>
      <w:szCs w:val="20"/>
    </w:rPr>
  </w:style>
  <w:style w:styleId="TOC5" w:type="paragraph">
    <w:name w:val="TOC 5"/>
    <w:basedOn w:val="Normal"/>
    <w:uiPriority w:val="1"/>
    <w:qFormat/>
    <w:pPr>
      <w:spacing w:before="105"/>
      <w:ind w:left="1641" w:hanging="880"/>
    </w:pPr>
    <w:rPr>
      <w:rFonts w:ascii="Arial" w:hAnsi="Arial" w:eastAsia="Arial" w:cs="Arial"/>
      <w:sz w:val="18"/>
      <w:szCs w:val="18"/>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179"/>
      <w:ind w:left="2964" w:right="2486"/>
      <w:jc w:val="center"/>
      <w:outlineLvl w:val="1"/>
    </w:pPr>
    <w:rPr>
      <w:rFonts w:ascii="Arial" w:hAnsi="Arial" w:eastAsia="Arial" w:cs="Arial"/>
      <w:sz w:val="40"/>
      <w:szCs w:val="40"/>
    </w:rPr>
  </w:style>
  <w:style w:styleId="Heading2" w:type="paragraph">
    <w:name w:val="Heading 2"/>
    <w:basedOn w:val="Normal"/>
    <w:uiPriority w:val="1"/>
    <w:qFormat/>
    <w:pPr>
      <w:ind w:left="897" w:hanging="797"/>
      <w:jc w:val="both"/>
      <w:outlineLvl w:val="2"/>
    </w:pPr>
    <w:rPr>
      <w:rFonts w:ascii="Arial" w:hAnsi="Arial" w:eastAsia="Arial" w:cs="Arial"/>
      <w:sz w:val="28"/>
      <w:szCs w:val="28"/>
    </w:rPr>
  </w:style>
  <w:style w:styleId="Heading3" w:type="paragraph">
    <w:name w:val="Heading 3"/>
    <w:basedOn w:val="Normal"/>
    <w:uiPriority w:val="1"/>
    <w:qFormat/>
    <w:pPr>
      <w:ind w:left="100"/>
      <w:jc w:val="both"/>
      <w:outlineLvl w:val="3"/>
    </w:pPr>
    <w:rPr>
      <w:rFonts w:ascii="Arial" w:hAnsi="Arial" w:eastAsia="Arial" w:cs="Arial"/>
      <w:b/>
      <w:bCs/>
      <w:sz w:val="24"/>
      <w:szCs w:val="24"/>
    </w:rPr>
  </w:style>
  <w:style w:styleId="Heading4" w:type="paragraph">
    <w:name w:val="Heading 4"/>
    <w:basedOn w:val="Normal"/>
    <w:uiPriority w:val="1"/>
    <w:qFormat/>
    <w:pPr>
      <w:ind w:left="821" w:hanging="361"/>
      <w:outlineLvl w:val="4"/>
    </w:pPr>
    <w:rPr>
      <w:rFonts w:ascii="Arial" w:hAnsi="Arial" w:eastAsia="Arial" w:cs="Arial"/>
      <w:b/>
      <w:bCs/>
      <w:i/>
      <w:sz w:val="24"/>
      <w:szCs w:val="24"/>
    </w:rPr>
  </w:style>
  <w:style w:styleId="ListParagraph" w:type="paragraph">
    <w:name w:val="List Paragraph"/>
    <w:basedOn w:val="Normal"/>
    <w:uiPriority w:val="1"/>
    <w:qFormat/>
    <w:pPr>
      <w:ind w:left="821" w:hanging="361"/>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hyperlink" Target="http://reprap.org/wiki/RepRap/es" TargetMode="External"/><Relationship Id="rId10" Type="http://schemas.openxmlformats.org/officeDocument/2006/relationships/image" Target="media/image3.jpeg"/><Relationship Id="rId11" Type="http://schemas.openxmlformats.org/officeDocument/2006/relationships/hyperlink" Target="http://cursosrhino.com/" TargetMode="External"/><Relationship Id="rId12" Type="http://schemas.openxmlformats.org/officeDocument/2006/relationships/image" Target="media/image4.jpeg"/><Relationship Id="rId13" Type="http://schemas.openxmlformats.org/officeDocument/2006/relationships/image" Target="media/image5.jpeg"/><Relationship Id="rId14" Type="http://schemas.openxmlformats.org/officeDocument/2006/relationships/image" Target="media/image6.png"/><Relationship Id="rId15" Type="http://schemas.openxmlformats.org/officeDocument/2006/relationships/image" Target="media/image7.jpeg"/><Relationship Id="rId16" Type="http://schemas.openxmlformats.org/officeDocument/2006/relationships/image" Target="media/image8.jpeg"/><Relationship Id="rId17" Type="http://schemas.openxmlformats.org/officeDocument/2006/relationships/image" Target="media/image9.jpeg"/><Relationship Id="rId18" Type="http://schemas.openxmlformats.org/officeDocument/2006/relationships/image" Target="media/image10.jpeg"/><Relationship Id="rId19" Type="http://schemas.openxmlformats.org/officeDocument/2006/relationships/image" Target="media/image11.jpeg"/><Relationship Id="rId20" Type="http://schemas.openxmlformats.org/officeDocument/2006/relationships/hyperlink" Target="http://gallery.bridgesmathart.org/exhibitions/2012-bridges-conference/wduffy" TargetMode="External"/><Relationship Id="rId21" Type="http://schemas.openxmlformats.org/officeDocument/2006/relationships/hyperlink" Target="http://www.a1-tech.com.uk/" TargetMode="External"/><Relationship Id="rId22" Type="http://schemas.openxmlformats.org/officeDocument/2006/relationships/hyperlink" Target="http://www.bitsfrombytes.com/" TargetMode="External"/><Relationship Id="rId23" Type="http://schemas.openxmlformats.org/officeDocument/2006/relationships/hyperlink" Target="http://cubify.com/" TargetMode="External"/><Relationship Id="rId24" Type="http://schemas.openxmlformats.org/officeDocument/2006/relationships/hyperlink" Target="http://desktopfactory.com/" TargetMode="External"/><Relationship Id="rId25" Type="http://schemas.openxmlformats.org/officeDocument/2006/relationships/hyperlink" Target="http://www.fabbster.com/" TargetMode="External"/><Relationship Id="rId26" Type="http://schemas.openxmlformats.org/officeDocument/2006/relationships/hyperlink" Target="http://www.makerbot.com/" TargetMode="External"/><Relationship Id="rId27" Type="http://schemas.openxmlformats.org/officeDocument/2006/relationships/hyperlink" Target="http://pp3dp.com/" TargetMode="External"/><Relationship Id="rId28" Type="http://schemas.openxmlformats.org/officeDocument/2006/relationships/image" Target="media/image12.jpeg"/><Relationship Id="rId29" Type="http://schemas.openxmlformats.org/officeDocument/2006/relationships/image" Target="media/image13.jpeg"/><Relationship Id="rId30" Type="http://schemas.openxmlformats.org/officeDocument/2006/relationships/hyperlink" Target="http://www.econolyst.co.uk/" TargetMode="External"/><Relationship Id="rId31" Type="http://schemas.openxmlformats.org/officeDocument/2006/relationships/hyperlink" Target="http://www.fabbaloo.com/" TargetMode="External"/><Relationship Id="rId32" Type="http://schemas.openxmlformats.org/officeDocument/2006/relationships/hyperlink" Target="http://www.thingiverse.com/" TargetMode="External"/><Relationship Id="rId33" Type="http://schemas.openxmlformats.org/officeDocument/2006/relationships/hyperlink" Target="http://www.additive3d.com/" TargetMode="External"/><Relationship Id="rId34" Type="http://schemas.openxmlformats.org/officeDocument/2006/relationships/hyperlink" Target="http://www.rapidtoday.com/" TargetMode="External"/><Relationship Id="rId35" Type="http://schemas.openxmlformats.org/officeDocument/2006/relationships/hyperlink" Target="http://www.theengineer.co.uk/" TargetMode="External"/><Relationship Id="rId36" Type="http://schemas.openxmlformats.org/officeDocument/2006/relationships/hyperlink" Target="http://www.manufacturingthefuture.co.uk/" TargetMode="External"/><Relationship Id="rId37" Type="http://schemas.openxmlformats.org/officeDocument/2006/relationships/hyperlink" Target="http://candyfab.org/" TargetMode="External"/><Relationship Id="rId38" Type="http://schemas.openxmlformats.org/officeDocument/2006/relationships/hyperlink" Target="http://www.paramountind.com/selective-laser-sintering.thml" TargetMode="External"/><Relationship Id="rId39" Type="http://schemas.openxmlformats.org/officeDocument/2006/relationships/hyperlink" Target="http://wohlersassociates.com/" TargetMode="External"/><Relationship Id="rId40" Type="http://schemas.openxmlformats.org/officeDocument/2006/relationships/image" Target="media/image14.jpeg"/><Relationship Id="rId41" Type="http://schemas.openxmlformats.org/officeDocument/2006/relationships/hyperlink" Target="http://www.custompartnet.com/" TargetMode="External"/><Relationship Id="rId42" Type="http://schemas.openxmlformats.org/officeDocument/2006/relationships/image" Target="media/image15.jpeg"/><Relationship Id="rId43" Type="http://schemas.openxmlformats.org/officeDocument/2006/relationships/image" Target="media/image16.jpeg"/><Relationship Id="rId44" Type="http://schemas.openxmlformats.org/officeDocument/2006/relationships/image" Target="media/image17.jpeg"/><Relationship Id="rId45" Type="http://schemas.openxmlformats.org/officeDocument/2006/relationships/image" Target="media/image18.jpeg"/><Relationship Id="rId46" Type="http://schemas.openxmlformats.org/officeDocument/2006/relationships/image" Target="media/image19.png"/><Relationship Id="rId47" Type="http://schemas.openxmlformats.org/officeDocument/2006/relationships/image" Target="media/image20.jpeg"/><Relationship Id="rId48" Type="http://schemas.openxmlformats.org/officeDocument/2006/relationships/image" Target="media/image21.jpeg"/><Relationship Id="rId49" Type="http://schemas.openxmlformats.org/officeDocument/2006/relationships/hyperlink" Target="http://diagramasde.com/controles-numericos-cnc" TargetMode="External"/><Relationship Id="rId50" Type="http://schemas.openxmlformats.org/officeDocument/2006/relationships/image" Target="media/image22.jpeg"/><Relationship Id="rId51" Type="http://schemas.openxmlformats.org/officeDocument/2006/relationships/hyperlink" Target="http://www.interempresas.net/MetalMecanica/Articulos/12110-Tecnologias-de-corte-" TargetMode="External"/><Relationship Id="rId52" Type="http://schemas.openxmlformats.org/officeDocument/2006/relationships/image" Target="media/image23.jpeg"/><Relationship Id="rId53" Type="http://schemas.openxmlformats.org/officeDocument/2006/relationships/image" Target="media/image24.jpeg"/><Relationship Id="rId54" Type="http://schemas.openxmlformats.org/officeDocument/2006/relationships/image" Target="media/image25.jpeg"/><Relationship Id="rId55" Type="http://schemas.openxmlformats.org/officeDocument/2006/relationships/hyperlink" Target="http://www.interempresas.net/MetalMecanica/Articulos/12110-Tecnologias-" TargetMode="External"/><Relationship Id="rId56" Type="http://schemas.openxmlformats.org/officeDocument/2006/relationships/image" Target="media/image26.png"/><Relationship Id="rId57" Type="http://schemas.openxmlformats.org/officeDocument/2006/relationships/image" Target="media/image27.jpeg"/><Relationship Id="rId58" Type="http://schemas.openxmlformats.org/officeDocument/2006/relationships/hyperlink" Target="http://www.siggraph.org/publications/newsletter/v33n4/" TargetMode="External"/><Relationship Id="rId59" Type="http://schemas.openxmlformats.org/officeDocument/2006/relationships/image" Target="media/image28.jpeg"/><Relationship Id="rId60" Type="http://schemas.openxmlformats.org/officeDocument/2006/relationships/image" Target="media/image29.jpeg"/><Relationship Id="rId61" Type="http://schemas.openxmlformats.org/officeDocument/2006/relationships/image" Target="media/image30.jpeg"/><Relationship Id="rId62" Type="http://schemas.openxmlformats.org/officeDocument/2006/relationships/hyperlink" Target="http://www.extremetech.com/extreme/143552-3d-printing-with-metal-the-final-frontier-" TargetMode="External"/><Relationship Id="rId63" Type="http://schemas.openxmlformats.org/officeDocument/2006/relationships/image" Target="media/image31.jpeg"/><Relationship Id="rId64" Type="http://schemas.openxmlformats.org/officeDocument/2006/relationships/image" Target="media/image32.png"/><Relationship Id="rId65" Type="http://schemas.openxmlformats.org/officeDocument/2006/relationships/image" Target="media/image33.jpeg"/><Relationship Id="rId66" Type="http://schemas.openxmlformats.org/officeDocument/2006/relationships/hyperlink" Target="http://www.kevinmackart.com/standing-mind-over-matter.html" TargetMode="External"/><Relationship Id="rId67" Type="http://schemas.openxmlformats.org/officeDocument/2006/relationships/image" Target="media/image34.jpeg"/><Relationship Id="rId68" Type="http://schemas.openxmlformats.org/officeDocument/2006/relationships/hyperlink" Target="http://www.smartsculpture.com/2011/04/sculptural-motion-gallery-installation.html?view=classic" TargetMode="External"/><Relationship Id="rId69" Type="http://schemas.openxmlformats.org/officeDocument/2006/relationships/image" Target="media/image35.png"/><Relationship Id="rId70" Type="http://schemas.openxmlformats.org/officeDocument/2006/relationships/hyperlink" Target="http://www/" TargetMode="External"/><Relationship Id="rId71" Type="http://schemas.openxmlformats.org/officeDocument/2006/relationships/hyperlink" Target="https://plus.google.com/117777428735185083972" TargetMode="External"/><Relationship Id="rId72" Type="http://schemas.openxmlformats.org/officeDocument/2006/relationships/image" Target="media/image36.jpeg"/><Relationship Id="rId73" Type="http://schemas.openxmlformats.org/officeDocument/2006/relationships/hyperlink" Target="http://www.smartsculpture.com/2010/12/frozen-motion-sculpture-model.html" TargetMode="External"/><Relationship Id="rId74" Type="http://schemas.openxmlformats.org/officeDocument/2006/relationships/image" Target="media/image37.png"/><Relationship Id="rId75" Type="http://schemas.openxmlformats.org/officeDocument/2006/relationships/image" Target="media/image38.jpeg"/><Relationship Id="rId76" Type="http://schemas.openxmlformats.org/officeDocument/2006/relationships/hyperlink" Target="http://un-tethered.net/eevege/" TargetMode="External"/><Relationship Id="rId77" Type="http://schemas.openxmlformats.org/officeDocument/2006/relationships/image" Target="media/image39.jpeg"/><Relationship Id="rId78" Type="http://schemas.openxmlformats.org/officeDocument/2006/relationships/hyperlink" Target="http://www.youtube.com/watch?v=aFq15otTjjs" TargetMode="External"/><Relationship Id="rId79" Type="http://schemas.openxmlformats.org/officeDocument/2006/relationships/image" Target="media/image40.jpeg"/><Relationship Id="rId80" Type="http://schemas.openxmlformats.org/officeDocument/2006/relationships/hyperlink" Target="http://inhabitat.com/the-sugar-lab-uses-a-3d-printer-to-create-sweet-edible-geometric-sculptures/" TargetMode="External"/><Relationship Id="rId81" Type="http://schemas.openxmlformats.org/officeDocument/2006/relationships/image" Target="media/image41.jpeg"/><Relationship Id="rId82" Type="http://schemas.openxmlformats.org/officeDocument/2006/relationships/hyperlink" Target="http://inhabitat.com/artist-uses-3d-printer-to-turn-human-ashes-into-objects/" TargetMode="External"/><Relationship Id="rId83" Type="http://schemas.openxmlformats.org/officeDocument/2006/relationships/image" Target="media/image42.jpeg"/><Relationship Id="rId84" Type="http://schemas.openxmlformats.org/officeDocument/2006/relationships/hyperlink" Target="http://3dprintingindustry.com/2014/03/27/neri-oxman-pursues-3d-printing-multi-materials-latest-mythical-installation-gemini/?utm_source=Facebook&amp;amp;utm_medium=social&amp;amp;utm_campaign=3DPI%2BFacebook" TargetMode="External"/><Relationship Id="rId85" Type="http://schemas.openxmlformats.org/officeDocument/2006/relationships/image" Target="media/image43.jpeg"/><Relationship Id="rId86" Type="http://schemas.openxmlformats.org/officeDocument/2006/relationships/hyperlink" Target="http://inhabitat.com/3d-printed-vegan-bacon-mobius-" TargetMode="External"/><Relationship Id="rId87" Type="http://schemas.openxmlformats.org/officeDocument/2006/relationships/hyperlink" Target="http://projectegg.org/" TargetMode="External"/><Relationship Id="rId88" Type="http://schemas.openxmlformats.org/officeDocument/2006/relationships/image" Target="media/image44.jpeg"/><Relationship Id="rId89" Type="http://schemas.openxmlformats.org/officeDocument/2006/relationships/hyperlink" Target="http://blog.es.rhino3d.com/" TargetMode="External"/><Relationship Id="rId90" Type="http://schemas.openxmlformats.org/officeDocument/2006/relationships/image" Target="media/image45.jpeg"/><Relationship Id="rId91" Type="http://schemas.openxmlformats.org/officeDocument/2006/relationships/hyperlink" Target="http://proyectolleona.blogspot.mx/search?updated-min=2012-12-31T15%3A00%3A00-08%3A00&amp;amp;updated-max=2013-06-22T15%3A31%3A00%2B02%3A00&amp;amp;max-results=3&amp;amp;start=3&amp;amp;by-date=false" TargetMode="External"/><Relationship Id="rId92" Type="http://schemas.openxmlformats.org/officeDocument/2006/relationships/image" Target="media/image46.jpeg"/><Relationship Id="rId93" Type="http://schemas.openxmlformats.org/officeDocument/2006/relationships/hyperlink" Target="http://www.kevinmackart.com/sculpture.html" TargetMode="External"/><Relationship Id="rId94" Type="http://schemas.openxmlformats.org/officeDocument/2006/relationships/image" Target="media/image47.jpeg"/><Relationship Id="rId95" Type="http://schemas.openxmlformats.org/officeDocument/2006/relationships/hyperlink" Target="http://digitaleyes2008.org/?q=gallery-twister" TargetMode="External"/><Relationship Id="rId96" Type="http://schemas.openxmlformats.org/officeDocument/2006/relationships/footer" Target="footer3.xml"/><Relationship Id="rId97" Type="http://schemas.openxmlformats.org/officeDocument/2006/relationships/footer" Target="footer4.xml"/><Relationship Id="rId98" Type="http://schemas.openxmlformats.org/officeDocument/2006/relationships/image" Target="media/image48.jpeg"/><Relationship Id="rId99" Type="http://schemas.openxmlformats.org/officeDocument/2006/relationships/hyperlink" Target="http://vimeo.com/52480287" TargetMode="External"/><Relationship Id="rId100" Type="http://schemas.openxmlformats.org/officeDocument/2006/relationships/image" Target="media/image49.jpeg"/><Relationship Id="rId101" Type="http://schemas.openxmlformats.org/officeDocument/2006/relationships/hyperlink" Target="http://www.youtube.com/watch?v=gjrgwZLGb4M" TargetMode="External"/><Relationship Id="rId102" Type="http://schemas.openxmlformats.org/officeDocument/2006/relationships/footer" Target="footer5.xml"/><Relationship Id="rId103" Type="http://schemas.openxmlformats.org/officeDocument/2006/relationships/footer" Target="footer6.xml"/><Relationship Id="rId104" Type="http://schemas.openxmlformats.org/officeDocument/2006/relationships/image" Target="media/image50.jpeg"/><Relationship Id="rId105" Type="http://schemas.openxmlformats.org/officeDocument/2006/relationships/image" Target="media/image51.jpeg"/><Relationship Id="rId106" Type="http://schemas.openxmlformats.org/officeDocument/2006/relationships/image" Target="media/image52.jpeg"/><Relationship Id="rId107" Type="http://schemas.openxmlformats.org/officeDocument/2006/relationships/image" Target="media/image53.jpeg"/><Relationship Id="rId108" Type="http://schemas.openxmlformats.org/officeDocument/2006/relationships/image" Target="media/image54.jpeg"/><Relationship Id="rId109" Type="http://schemas.openxmlformats.org/officeDocument/2006/relationships/image" Target="media/image55.jpeg"/><Relationship Id="rId110" Type="http://schemas.openxmlformats.org/officeDocument/2006/relationships/image" Target="media/image56.jpeg"/><Relationship Id="rId111" Type="http://schemas.openxmlformats.org/officeDocument/2006/relationships/image" Target="media/image57.jpeg"/><Relationship Id="rId112" Type="http://schemas.openxmlformats.org/officeDocument/2006/relationships/image" Target="media/image58.jpeg"/><Relationship Id="rId113" Type="http://schemas.openxmlformats.org/officeDocument/2006/relationships/image" Target="media/image59.jpeg"/><Relationship Id="rId114" Type="http://schemas.openxmlformats.org/officeDocument/2006/relationships/image" Target="media/image60.jpeg"/><Relationship Id="rId115" Type="http://schemas.openxmlformats.org/officeDocument/2006/relationships/image" Target="media/image61.jpeg"/><Relationship Id="rId116" Type="http://schemas.openxmlformats.org/officeDocument/2006/relationships/image" Target="media/image62.jpeg"/><Relationship Id="rId117" Type="http://schemas.openxmlformats.org/officeDocument/2006/relationships/image" Target="media/image63.jpeg"/><Relationship Id="rId118" Type="http://schemas.openxmlformats.org/officeDocument/2006/relationships/image" Target="media/image64.jpeg"/><Relationship Id="rId119" Type="http://schemas.openxmlformats.org/officeDocument/2006/relationships/image" Target="media/image65.jpeg"/><Relationship Id="rId120" Type="http://schemas.openxmlformats.org/officeDocument/2006/relationships/image" Target="media/image66.jpeg"/><Relationship Id="rId121" Type="http://schemas.openxmlformats.org/officeDocument/2006/relationships/image" Target="media/image67.jpeg"/><Relationship Id="rId122" Type="http://schemas.openxmlformats.org/officeDocument/2006/relationships/image" Target="media/image68.jpeg"/><Relationship Id="rId123" Type="http://schemas.openxmlformats.org/officeDocument/2006/relationships/image" Target="media/image69.jpeg"/><Relationship Id="rId124" Type="http://schemas.openxmlformats.org/officeDocument/2006/relationships/image" Target="media/image70.jpeg"/><Relationship Id="rId125" Type="http://schemas.openxmlformats.org/officeDocument/2006/relationships/image" Target="media/image71.jpeg"/><Relationship Id="rId126" Type="http://schemas.openxmlformats.org/officeDocument/2006/relationships/image" Target="media/image72.jpeg"/><Relationship Id="rId127" Type="http://schemas.openxmlformats.org/officeDocument/2006/relationships/hyperlink" Target="http://www.barryxball.com/process_cat.php?cat=1&amp;amp;process=31" TargetMode="External"/><Relationship Id="rId128" Type="http://schemas.openxmlformats.org/officeDocument/2006/relationships/image" Target="media/image73.jpeg"/><Relationship Id="rId129" Type="http://schemas.openxmlformats.org/officeDocument/2006/relationships/hyperlink" Target="http://inhabitat.com/d-torso-creates-a-giant-3d-t-rex-from-laser-cut-cardboard/" TargetMode="External"/><Relationship Id="rId130" Type="http://schemas.openxmlformats.org/officeDocument/2006/relationships/image" Target="media/image74.jpeg"/><Relationship Id="rId131" Type="http://schemas.openxmlformats.org/officeDocument/2006/relationships/image" Target="media/image75.jpeg"/><Relationship Id="rId132" Type="http://schemas.openxmlformats.org/officeDocument/2006/relationships/image" Target="media/image76.jpeg"/><Relationship Id="rId133" Type="http://schemas.openxmlformats.org/officeDocument/2006/relationships/image" Target="media/image77.jpeg"/><Relationship Id="rId134" Type="http://schemas.openxmlformats.org/officeDocument/2006/relationships/image" Target="media/image78.jpeg"/><Relationship Id="rId135" Type="http://schemas.openxmlformats.org/officeDocument/2006/relationships/image" Target="media/image79.jpeg"/><Relationship Id="rId136" Type="http://schemas.openxmlformats.org/officeDocument/2006/relationships/image" Target="media/image80.jpeg"/><Relationship Id="rId137" Type="http://schemas.openxmlformats.org/officeDocument/2006/relationships/hyperlink" Target="http://ares.cat/processos.php" TargetMode="External"/><Relationship Id="rId138" Type="http://schemas.openxmlformats.org/officeDocument/2006/relationships/image" Target="media/image81.jpeg"/><Relationship Id="rId139" Type="http://schemas.openxmlformats.org/officeDocument/2006/relationships/hyperlink" Target="http://carolinabronze.com/enlargement/" TargetMode="External"/><Relationship Id="rId140" Type="http://schemas.openxmlformats.org/officeDocument/2006/relationships/image" Target="media/image82.jpeg"/><Relationship Id="rId141" Type="http://schemas.openxmlformats.org/officeDocument/2006/relationships/hyperlink" Target="http://share.pdfonline.com/2dd940720a8a44098cd11ca4f82fc97a/Escultura%20digital.%20Resumen.Lasha%20M..htm" TargetMode="External"/><Relationship Id="rId142" Type="http://schemas.openxmlformats.org/officeDocument/2006/relationships/image" Target="media/image83.jpeg"/><Relationship Id="rId143" Type="http://schemas.openxmlformats.org/officeDocument/2006/relationships/hyperlink" Target="http://www.vvork.com/index.php?s=karin%2Bsander" TargetMode="External"/><Relationship Id="rId144" Type="http://schemas.openxmlformats.org/officeDocument/2006/relationships/image" Target="media/image84.jpeg"/><Relationship Id="rId145" Type="http://schemas.openxmlformats.org/officeDocument/2006/relationships/hyperlink" Target="http://www.innovmetric.com/polyworks/3D-scanners/pdf/PolyWorks_CaseStudy_Johnson_Atelier.pdf" TargetMode="External"/><Relationship Id="rId146" Type="http://schemas.openxmlformats.org/officeDocument/2006/relationships/image" Target="media/image85.jpeg"/><Relationship Id="rId147" Type="http://schemas.openxmlformats.org/officeDocument/2006/relationships/image" Target="media/image86.png"/><Relationship Id="rId148" Type="http://schemas.openxmlformats.org/officeDocument/2006/relationships/image" Target="media/image87.jpeg"/><Relationship Id="rId149" Type="http://schemas.openxmlformats.org/officeDocument/2006/relationships/image" Target="media/image88.png"/><Relationship Id="rId150" Type="http://schemas.openxmlformats.org/officeDocument/2006/relationships/hyperlink" Target="http://laranbronze.com/3d-" TargetMode="External"/><Relationship Id="rId151" Type="http://schemas.openxmlformats.org/officeDocument/2006/relationships/image" Target="media/image89.jpeg"/><Relationship Id="rId152" Type="http://schemas.openxmlformats.org/officeDocument/2006/relationships/hyperlink" Target="http://www.youtube.com/watch?v=1p-nTYKPo_I" TargetMode="External"/><Relationship Id="rId153" Type="http://schemas.openxmlformats.org/officeDocument/2006/relationships/image" Target="media/image90.jpeg"/><Relationship Id="rId154" Type="http://schemas.openxmlformats.org/officeDocument/2006/relationships/image" Target="media/image91.jpeg"/><Relationship Id="rId155" Type="http://schemas.openxmlformats.org/officeDocument/2006/relationships/image" Target="media/image92.jpeg"/><Relationship Id="rId156" Type="http://schemas.openxmlformats.org/officeDocument/2006/relationships/image" Target="media/image93.jpeg"/><Relationship Id="rId157" Type="http://schemas.openxmlformats.org/officeDocument/2006/relationships/image" Target="media/image94.jpeg"/><Relationship Id="rId158" Type="http://schemas.openxmlformats.org/officeDocument/2006/relationships/image" Target="media/image95.jpeg"/><Relationship Id="rId159" Type="http://schemas.openxmlformats.org/officeDocument/2006/relationships/image" Target="media/image96.jpeg"/><Relationship Id="rId160" Type="http://schemas.openxmlformats.org/officeDocument/2006/relationships/image" Target="media/image97.png"/><Relationship Id="rId161" Type="http://schemas.openxmlformats.org/officeDocument/2006/relationships/image" Target="media/image98.jpeg"/><Relationship Id="rId162" Type="http://schemas.openxmlformats.org/officeDocument/2006/relationships/image" Target="media/image99.png"/><Relationship Id="rId163" Type="http://schemas.openxmlformats.org/officeDocument/2006/relationships/image" Target="media/image100.jpeg"/><Relationship Id="rId164" Type="http://schemas.openxmlformats.org/officeDocument/2006/relationships/image" Target="media/image101.jpeg"/><Relationship Id="rId165" Type="http://schemas.openxmlformats.org/officeDocument/2006/relationships/image" Target="media/image102.jpeg"/><Relationship Id="rId166" Type="http://schemas.openxmlformats.org/officeDocument/2006/relationships/image" Target="media/image103.jpeg"/><Relationship Id="rId167" Type="http://schemas.openxmlformats.org/officeDocument/2006/relationships/image" Target="media/image104.jpeg"/><Relationship Id="rId168" Type="http://schemas.openxmlformats.org/officeDocument/2006/relationships/image" Target="media/image105.jpeg"/><Relationship Id="rId169" Type="http://schemas.openxmlformats.org/officeDocument/2006/relationships/image" Target="media/image106.jpeg"/><Relationship Id="rId170" Type="http://schemas.openxmlformats.org/officeDocument/2006/relationships/image" Target="media/image107.jpeg"/><Relationship Id="rId171" Type="http://schemas.openxmlformats.org/officeDocument/2006/relationships/image" Target="media/image108.jpeg"/><Relationship Id="rId172" Type="http://schemas.openxmlformats.org/officeDocument/2006/relationships/image" Target="media/image109.jpeg"/><Relationship Id="rId173" Type="http://schemas.openxmlformats.org/officeDocument/2006/relationships/hyperlink" Target="http://www.terminartors.com/artistprofile/Pan_Marta" TargetMode="External"/><Relationship Id="rId174" Type="http://schemas.openxmlformats.org/officeDocument/2006/relationships/image" Target="media/image110.jpeg"/><Relationship Id="rId175" Type="http://schemas.openxmlformats.org/officeDocument/2006/relationships/image" Target="media/image111.jpeg"/><Relationship Id="rId176" Type="http://schemas.openxmlformats.org/officeDocument/2006/relationships/image" Target="media/image112.jpeg"/><Relationship Id="rId177" Type="http://schemas.openxmlformats.org/officeDocument/2006/relationships/image" Target="media/image113.jpeg"/><Relationship Id="rId178" Type="http://schemas.openxmlformats.org/officeDocument/2006/relationships/image" Target="media/image114.jpeg"/><Relationship Id="rId179" Type="http://schemas.openxmlformats.org/officeDocument/2006/relationships/image" Target="media/image115.jpeg"/><Relationship Id="rId180" Type="http://schemas.openxmlformats.org/officeDocument/2006/relationships/image" Target="media/image116.jpeg"/><Relationship Id="rId181" Type="http://schemas.openxmlformats.org/officeDocument/2006/relationships/image" Target="media/image117.jpeg"/><Relationship Id="rId182" Type="http://schemas.openxmlformats.org/officeDocument/2006/relationships/image" Target="media/image118.jpeg"/><Relationship Id="rId183" Type="http://schemas.openxmlformats.org/officeDocument/2006/relationships/image" Target="media/image119.jpeg"/><Relationship Id="rId184" Type="http://schemas.openxmlformats.org/officeDocument/2006/relationships/image" Target="media/image120.jpeg"/><Relationship Id="rId185" Type="http://schemas.openxmlformats.org/officeDocument/2006/relationships/image" Target="media/image121.jpeg"/><Relationship Id="rId186" Type="http://schemas.openxmlformats.org/officeDocument/2006/relationships/image" Target="media/image122.jpeg"/><Relationship Id="rId187" Type="http://schemas.openxmlformats.org/officeDocument/2006/relationships/hyperlink" Target="http://es.wikipedia.org/wiki/Superficie_(matem%C3%A1tica)#Superficies_orientables" TargetMode="External"/><Relationship Id="rId188" Type="http://schemas.openxmlformats.org/officeDocument/2006/relationships/hyperlink" Target="http://es.wikipedia.org/wiki/Superficie_reglada" TargetMode="External"/><Relationship Id="rId189" Type="http://schemas.openxmlformats.org/officeDocument/2006/relationships/hyperlink" Target="http://es.wikipedia.org/wiki/Matem%C3%A1tico" TargetMode="External"/><Relationship Id="rId190" Type="http://schemas.openxmlformats.org/officeDocument/2006/relationships/hyperlink" Target="http://es.wikipedia.org/wiki/Alemania" TargetMode="External"/><Relationship Id="rId191" Type="http://schemas.openxmlformats.org/officeDocument/2006/relationships/hyperlink" Target="http://es.wikipedia.org/wiki/August_M%C3%B6bius" TargetMode="External"/><Relationship Id="rId192" Type="http://schemas.openxmlformats.org/officeDocument/2006/relationships/hyperlink" Target="http://es.wikipedia.org/wiki/Johann_Benedict_Listing" TargetMode="External"/><Relationship Id="rId193" Type="http://schemas.openxmlformats.org/officeDocument/2006/relationships/hyperlink" Target="http://es.wikipedia.org/wiki/1858" TargetMode="External"/><Relationship Id="rId194" Type="http://schemas.openxmlformats.org/officeDocument/2006/relationships/image" Target="media/image123.jpeg"/><Relationship Id="rId195" Type="http://schemas.openxmlformats.org/officeDocument/2006/relationships/image" Target="media/image124.png"/><Relationship Id="rId196" Type="http://schemas.openxmlformats.org/officeDocument/2006/relationships/image" Target="media/image125.jpeg"/><Relationship Id="rId197" Type="http://schemas.openxmlformats.org/officeDocument/2006/relationships/image" Target="media/image126.jpeg"/><Relationship Id="rId198" Type="http://schemas.openxmlformats.org/officeDocument/2006/relationships/image" Target="media/image127.jpeg"/><Relationship Id="rId199" Type="http://schemas.openxmlformats.org/officeDocument/2006/relationships/image" Target="media/image128.jpeg"/><Relationship Id="rId200" Type="http://schemas.openxmlformats.org/officeDocument/2006/relationships/hyperlink" Target="http://www.bcn3dtechnologies.com/" TargetMode="External"/><Relationship Id="rId201" Type="http://schemas.openxmlformats.org/officeDocument/2006/relationships/image" Target="media/image129.jpeg"/><Relationship Id="rId202" Type="http://schemas.openxmlformats.org/officeDocument/2006/relationships/hyperlink" Target="http://www.bcn3dtechnologies.com/es/catalog/product/fully-assembled-bcn3d" TargetMode="External"/><Relationship Id="rId203" Type="http://schemas.openxmlformats.org/officeDocument/2006/relationships/image" Target="media/image130.jpeg"/><Relationship Id="rId204" Type="http://schemas.openxmlformats.org/officeDocument/2006/relationships/image" Target="media/image131.jpeg"/><Relationship Id="rId205" Type="http://schemas.openxmlformats.org/officeDocument/2006/relationships/image" Target="media/image132.jpeg"/><Relationship Id="rId206" Type="http://schemas.openxmlformats.org/officeDocument/2006/relationships/image" Target="media/image133.jpeg"/><Relationship Id="rId207" Type="http://schemas.openxmlformats.org/officeDocument/2006/relationships/footer" Target="footer7.xml"/><Relationship Id="rId208" Type="http://schemas.openxmlformats.org/officeDocument/2006/relationships/footer" Target="footer8.xml"/><Relationship Id="rId209" Type="http://schemas.openxmlformats.org/officeDocument/2006/relationships/image" Target="media/image134.png"/><Relationship Id="rId210" Type="http://schemas.openxmlformats.org/officeDocument/2006/relationships/footer" Target="footer9.xml"/><Relationship Id="rId211" Type="http://schemas.openxmlformats.org/officeDocument/2006/relationships/footer" Target="footer10.xml"/><Relationship Id="rId212" Type="http://schemas.openxmlformats.org/officeDocument/2006/relationships/image" Target="media/image135.png"/><Relationship Id="rId213" Type="http://schemas.openxmlformats.org/officeDocument/2006/relationships/image" Target="media/image136.png"/><Relationship Id="rId214" Type="http://schemas.openxmlformats.org/officeDocument/2006/relationships/image" Target="media/image137.jpeg"/><Relationship Id="rId215" Type="http://schemas.openxmlformats.org/officeDocument/2006/relationships/footer" Target="footer11.xml"/><Relationship Id="rId216" Type="http://schemas.openxmlformats.org/officeDocument/2006/relationships/footer" Target="footer12.xml"/><Relationship Id="rId217" Type="http://schemas.openxmlformats.org/officeDocument/2006/relationships/footer" Target="footer13.xml"/><Relationship Id="rId218" Type="http://schemas.openxmlformats.org/officeDocument/2006/relationships/footer" Target="footer14.xml"/><Relationship Id="rId219" Type="http://schemas.openxmlformats.org/officeDocument/2006/relationships/hyperlink" Target="http://www.barryxball.com/works_cat.php?cat=1&amp;amp;folder=6" TargetMode="External"/><Relationship Id="rId220" Type="http://schemas.openxmlformats.org/officeDocument/2006/relationships/hyperlink" Target="http://www.mdaperu.com/XMLData/Publicaciones/Desarrollo%20Sostenible%201/I" TargetMode="External"/><Relationship Id="rId221" Type="http://schemas.openxmlformats.org/officeDocument/2006/relationships/hyperlink" Target="http://www.quadernsdigitals.net/datos_web/articles/telos/telos7/t7escultura.htm" TargetMode="External"/><Relationship Id="rId222" Type="http://schemas.openxmlformats.org/officeDocument/2006/relationships/hyperlink" Target="http://www.jimluntllc.com/publications/index.html" TargetMode="External"/><Relationship Id="rId223" Type="http://schemas.openxmlformats.org/officeDocument/2006/relationships/hyperlink" Target="http://impresiontresde.com/blog/una-nueva-revision-al-impacto-ambiental-de-la-impresion-3d/" TargetMode="External"/><Relationship Id="rId224" Type="http://schemas.openxmlformats.org/officeDocument/2006/relationships/hyperlink" Target="http://www.laranbronze.com/3d-scanning-for-bronze.html" TargetMode="External"/><Relationship Id="rId225" Type="http://schemas.openxmlformats.org/officeDocument/2006/relationships/hyperlink" Target="http://www.laserdesign.com/3d-technology-glossary" TargetMode="External"/><Relationship Id="rId226" Type="http://schemas.openxmlformats.org/officeDocument/2006/relationships/hyperlink" Target="http://dialnet.unirioja.es/ejemplar/371865" TargetMode="External"/><Relationship Id="rId227" Type="http://schemas.openxmlformats.org/officeDocument/2006/relationships/hyperlink" Target="http://dialnet.unirioja.es/servlet/articulo?codigo=4773014" TargetMode="External"/><Relationship Id="rId228" Type="http://schemas.openxmlformats.org/officeDocument/2006/relationships/hyperlink" Target="http://inhabitat.com/author/bethbot/" TargetMode="External"/><Relationship Id="rId229" Type="http://schemas.openxmlformats.org/officeDocument/2006/relationships/hyperlink" Target="http://inhabitat.com/author/morganamatus/" TargetMode="External"/><Relationship Id="rId230" Type="http://schemas.openxmlformats.org/officeDocument/2006/relationships/hyperlink" Target="http://inhabitat.com/3d-printed-vegan-bacon-mobius-strip-takes-fake-meat-to-infinity-and-beyond/" TargetMode="External"/><Relationship Id="rId231" Type="http://schemas.openxmlformats.org/officeDocument/2006/relationships/hyperlink" Target="http://inhabitat.com/d-torso-creates-a-giant-3d-t-rex-from-" TargetMode="External"/><Relationship Id="rId232" Type="http://schemas.openxmlformats.org/officeDocument/2006/relationships/hyperlink" Target="http://firstmonday.org/ojs/index.php/fm/article/view/4271/3738" TargetMode="External"/><Relationship Id="rId233" Type="http://schemas.openxmlformats.org/officeDocument/2006/relationships/hyperlink" Target="http://www.eoi.es/es/savia/publicaciones/20149/analisis-de-" TargetMode="External"/><Relationship Id="rId234" Type="http://schemas.openxmlformats.org/officeDocument/2006/relationships/hyperlink" Target="http://proyectolleona.blogspot.mx/2012_11_01_archive.html" TargetMode="External"/><Relationship Id="rId235" Type="http://schemas.openxmlformats.org/officeDocument/2006/relationships/hyperlink" Target="http://proyectolleona.blogspot.mx/search?updated-min=2012-12-31T15%3A00%3A00-" TargetMode="External"/><Relationship Id="rId236" Type="http://schemas.openxmlformats.org/officeDocument/2006/relationships/hyperlink" Target="http://blog.es.rhino3d.com/2013/10/project-egg-de-michiel-van-der-kley.html" TargetMode="External"/><Relationship Id="rId237" Type="http://schemas.openxmlformats.org/officeDocument/2006/relationships/hyperlink" Target="http://www.youtube.com/watch?v=blQ6kmNNHVY" TargetMode="External"/><Relationship Id="rId238" Type="http://schemas.openxmlformats.org/officeDocument/2006/relationships/hyperlink" Target="http://makezine.com/magazine/make-ultimate-guide-to-3d-printing/3d-printing-faqs/" TargetMode="External"/><Relationship Id="rId239" Type="http://schemas.openxmlformats.org/officeDocument/2006/relationships/image" Target="media/image138.jpeg"/><Relationship Id="rId240" Type="http://schemas.openxmlformats.org/officeDocument/2006/relationships/image" Target="media/image139.jpeg"/><Relationship Id="rId241" Type="http://schemas.openxmlformats.org/officeDocument/2006/relationships/image" Target="media/image140.jpeg"/><Relationship Id="rId242" Type="http://schemas.openxmlformats.org/officeDocument/2006/relationships/hyperlink" Target="http://www.interempresas.net/MetalMecanica/Articulos/12110-Tecnologias-de-corte-de-chapa.html" TargetMode="External"/><Relationship Id="rId243" Type="http://schemas.openxmlformats.org/officeDocument/2006/relationships/hyperlink" Target="http://www.extremetech.com/extreme/143552-3d-printing-with-metal-" TargetMode="External"/><Relationship Id="rId244" Type="http://schemas.openxmlformats.org/officeDocument/2006/relationships/hyperlink" Target="http://www.smartsculpture.com/2011/04/sculptural-motion-gallery-" TargetMode="External"/><Relationship Id="rId245" Type="http://schemas.openxmlformats.org/officeDocument/2006/relationships/hyperlink" Target="http://inhabitat.com/the-sugar-lab-uses-a-3d-printer-to-create-" TargetMode="External"/><Relationship Id="rId246" Type="http://schemas.openxmlformats.org/officeDocument/2006/relationships/hyperlink" Target="http://inhabitat.com/artist-uses-3d-printer-to-turn-human-ashes-" TargetMode="External"/><Relationship Id="rId247" Type="http://schemas.openxmlformats.org/officeDocument/2006/relationships/hyperlink" Target="http://3dprintingindustry.com/2014/03/27/neri-oxman-pursues-3d-" TargetMode="External"/><Relationship Id="rId248" Type="http://schemas.openxmlformats.org/officeDocument/2006/relationships/hyperlink" Target="http://proyectolleona.blogspot.mx/search?updated-min=2012-12-31T15%3A00%3A00-08%3A00&amp;amp;updated-max=2013-06-" TargetMode="External"/><Relationship Id="rId249" Type="http://schemas.openxmlformats.org/officeDocument/2006/relationships/hyperlink" Target="http://inhabitat.com/d-torso-creates-a-" TargetMode="External"/><Relationship Id="rId250" Type="http://schemas.openxmlformats.org/officeDocument/2006/relationships/hyperlink" Target="http://share.pdfonline.com/2dd940720a8a44098cd11ca4f82fc97a/Escultura%20digital.%20Resumen.Lasha%252" TargetMode="External"/><Relationship Id="rId251" Type="http://schemas.openxmlformats.org/officeDocument/2006/relationships/hyperlink" Target="http://www.innovmetric.com/polyworks/3D-" TargetMode="External"/><Relationship Id="rId252" Type="http://schemas.openxmlformats.org/officeDocument/2006/relationships/hyperlink" Target="http://laranbronze.com/3d-scanning-and-enlarging/" TargetMode="External"/><Relationship Id="rId25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2017-05-23T02:59:09Z</dcterms:created>
  <dcterms:modified xsi:type="dcterms:W3CDTF">2017-05-23T02:59:09Z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2017-05-23T00:00:00Z</vt:filetime>
  </property>
</Properties>
</file>